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9A43C" w14:textId="77777777" w:rsidR="00FB2ADD" w:rsidRDefault="00FB2ADD" w:rsidP="00FB2ADD">
      <w:pPr>
        <w:rPr>
          <w:rFonts w:ascii="Arial" w:hAnsi="Arial" w:cs="Arial"/>
          <w:b/>
        </w:rPr>
      </w:pPr>
    </w:p>
    <w:p w14:paraId="402E620C" w14:textId="77777777" w:rsidR="00FB2ADD" w:rsidRPr="004321F5" w:rsidRDefault="00FB2ADD" w:rsidP="00FB2ADD">
      <w:pPr>
        <w:pBdr>
          <w:top w:val="single" w:sz="4" w:space="1" w:color="auto"/>
        </w:pBdr>
      </w:pPr>
      <w:r w:rsidRPr="004321F5">
        <w:rPr>
          <w:rFonts w:ascii="Arial" w:hAnsi="Arial" w:cs="Arial"/>
          <w:b/>
        </w:rPr>
        <w:t>Advisory Board to the CTCN</w:t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 w:rsidRPr="004321F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4321F5">
        <w:rPr>
          <w:rFonts w:ascii="Arial" w:hAnsi="Arial" w:cs="Arial"/>
          <w:b/>
        </w:rPr>
        <w:t xml:space="preserve">19-21 March 2014     </w:t>
      </w:r>
    </w:p>
    <w:p w14:paraId="4E742E71" w14:textId="3B91F352" w:rsidR="00FB2ADD" w:rsidRPr="0037190D" w:rsidRDefault="00FB2ADD" w:rsidP="00FB2ADD">
      <w:pPr>
        <w:rPr>
          <w:rFonts w:ascii="Arial" w:hAnsi="Arial" w:cs="Arial"/>
          <w:sz w:val="20"/>
          <w:szCs w:val="20"/>
        </w:rPr>
      </w:pPr>
      <w:r w:rsidRPr="004321F5">
        <w:rPr>
          <w:rFonts w:ascii="Arial" w:hAnsi="Arial" w:cs="Arial"/>
          <w:sz w:val="20"/>
          <w:szCs w:val="20"/>
        </w:rPr>
        <w:t xml:space="preserve">Third meeting </w:t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 w:rsidRPr="004321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D9313D">
        <w:rPr>
          <w:rFonts w:ascii="Arial" w:hAnsi="Arial" w:cs="Arial"/>
          <w:sz w:val="20"/>
          <w:szCs w:val="20"/>
        </w:rPr>
        <w:t>AB/2014/3/4</w:t>
      </w:r>
      <w:bookmarkStart w:id="0" w:name="_GoBack"/>
      <w:bookmarkEnd w:id="0"/>
    </w:p>
    <w:p w14:paraId="5A2674D9" w14:textId="77777777" w:rsidR="00FB2ADD" w:rsidRDefault="00FB2ADD" w:rsidP="00FB2A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05D93D5" w14:textId="77777777" w:rsidR="00CD0A3D" w:rsidRDefault="004507D6" w:rsidP="00335D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Non-</w:t>
      </w:r>
      <w:r w:rsidR="003A24CB">
        <w:rPr>
          <w:rFonts w:ascii="Calibri" w:hAnsi="Calibri" w:cs="Calibri"/>
          <w:b/>
          <w:bCs/>
          <w:color w:val="000000"/>
          <w:sz w:val="28"/>
          <w:szCs w:val="28"/>
        </w:rPr>
        <w:t>Annex I</w:t>
      </w:r>
      <w:r w:rsidR="002C5C11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CD0A3D" w:rsidRPr="00CD0A3D">
        <w:rPr>
          <w:rFonts w:ascii="Calibri" w:hAnsi="Calibri" w:cs="Calibri"/>
          <w:b/>
          <w:bCs/>
          <w:color w:val="000000"/>
          <w:sz w:val="28"/>
          <w:szCs w:val="28"/>
        </w:rPr>
        <w:t>National Designated Entities (NDEs) for the CTCN</w:t>
      </w:r>
    </w:p>
    <w:p w14:paraId="70FD148A" w14:textId="77777777" w:rsidR="002C5C11" w:rsidRPr="00CD0A3D" w:rsidRDefault="002C5C11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809DAE2" w14:textId="77777777" w:rsidR="001656BC" w:rsidRDefault="00CD0A3D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</w:rPr>
      </w:pPr>
      <w:r w:rsidRPr="00CD0A3D">
        <w:rPr>
          <w:rFonts w:cs="Calibri"/>
          <w:i/>
          <w:iCs/>
          <w:color w:val="000000"/>
        </w:rPr>
        <w:t>The following description of possible</w:t>
      </w:r>
      <w:r w:rsidR="001656BC">
        <w:rPr>
          <w:rFonts w:cs="Calibri"/>
          <w:i/>
          <w:iCs/>
          <w:color w:val="000000"/>
        </w:rPr>
        <w:t xml:space="preserve"> </w:t>
      </w:r>
      <w:r w:rsidR="001656BC" w:rsidRPr="00CD0A3D">
        <w:rPr>
          <w:rFonts w:cs="Calibri"/>
          <w:i/>
          <w:iCs/>
          <w:color w:val="000000"/>
        </w:rPr>
        <w:t xml:space="preserve">roles </w:t>
      </w:r>
      <w:r w:rsidR="001656BC">
        <w:rPr>
          <w:rFonts w:cs="Calibri"/>
          <w:i/>
          <w:iCs/>
          <w:color w:val="000000"/>
        </w:rPr>
        <w:t>of</w:t>
      </w:r>
      <w:r w:rsidRPr="00CD0A3D">
        <w:rPr>
          <w:rFonts w:cs="Calibri"/>
          <w:i/>
          <w:iCs/>
          <w:color w:val="000000"/>
        </w:rPr>
        <w:t xml:space="preserve"> </w:t>
      </w:r>
      <w:r w:rsidR="004E75AA">
        <w:rPr>
          <w:rFonts w:cs="Calibri"/>
          <w:i/>
          <w:iCs/>
          <w:color w:val="000000"/>
        </w:rPr>
        <w:t>Non-</w:t>
      </w:r>
      <w:r w:rsidR="004507D6">
        <w:rPr>
          <w:rFonts w:cs="Calibri"/>
          <w:i/>
          <w:iCs/>
          <w:color w:val="000000"/>
        </w:rPr>
        <w:t>Annex I</w:t>
      </w:r>
      <w:r w:rsidR="00520F79">
        <w:rPr>
          <w:rFonts w:cs="Calibri"/>
          <w:i/>
          <w:iCs/>
          <w:color w:val="000000"/>
        </w:rPr>
        <w:t xml:space="preserve"> </w:t>
      </w:r>
      <w:r w:rsidRPr="00CD0A3D">
        <w:rPr>
          <w:rFonts w:cs="Calibri"/>
          <w:i/>
          <w:iCs/>
          <w:color w:val="000000"/>
        </w:rPr>
        <w:t>NDE</w:t>
      </w:r>
      <w:r w:rsidR="001656BC">
        <w:rPr>
          <w:rFonts w:cs="Calibri"/>
          <w:i/>
          <w:iCs/>
          <w:color w:val="000000"/>
        </w:rPr>
        <w:t>s</w:t>
      </w:r>
      <w:r w:rsidRPr="00CD0A3D">
        <w:rPr>
          <w:rFonts w:cs="Calibri"/>
          <w:i/>
          <w:iCs/>
          <w:color w:val="000000"/>
        </w:rPr>
        <w:t xml:space="preserve"> has been developed by the</w:t>
      </w:r>
      <w:r w:rsidR="00AB7CC0">
        <w:rPr>
          <w:rFonts w:cs="Calibri"/>
          <w:i/>
          <w:iCs/>
          <w:color w:val="000000"/>
        </w:rPr>
        <w:t xml:space="preserve"> Climate Technology Centre</w:t>
      </w:r>
      <w:r w:rsidRPr="00CD0A3D">
        <w:rPr>
          <w:rFonts w:cs="Calibri"/>
          <w:i/>
          <w:iCs/>
          <w:color w:val="000000"/>
        </w:rPr>
        <w:t xml:space="preserve"> </w:t>
      </w:r>
      <w:r w:rsidR="00AB7CC0">
        <w:rPr>
          <w:rFonts w:cs="Calibri"/>
          <w:i/>
          <w:iCs/>
          <w:color w:val="000000"/>
        </w:rPr>
        <w:t>(</w:t>
      </w:r>
      <w:r w:rsidRPr="00CD0A3D">
        <w:rPr>
          <w:rFonts w:cs="Calibri"/>
          <w:i/>
          <w:iCs/>
          <w:color w:val="000000"/>
        </w:rPr>
        <w:t>CTC</w:t>
      </w:r>
      <w:r w:rsidR="00AB7CC0">
        <w:rPr>
          <w:rFonts w:cs="Calibri"/>
          <w:i/>
          <w:iCs/>
          <w:color w:val="000000"/>
        </w:rPr>
        <w:t>)</w:t>
      </w:r>
      <w:r w:rsidRPr="00CD0A3D">
        <w:rPr>
          <w:rFonts w:cs="Calibri"/>
          <w:i/>
          <w:iCs/>
          <w:color w:val="000000"/>
        </w:rPr>
        <w:t xml:space="preserve"> as a guide. It represents a “work in progress” </w:t>
      </w:r>
      <w:r w:rsidR="001656BC">
        <w:rPr>
          <w:rFonts w:cs="Calibri"/>
          <w:i/>
          <w:iCs/>
          <w:color w:val="000000"/>
        </w:rPr>
        <w:t xml:space="preserve">and provides some thoughts and suggestions </w:t>
      </w:r>
      <w:r w:rsidR="003A24CB">
        <w:rPr>
          <w:rFonts w:cs="Calibri"/>
          <w:i/>
          <w:iCs/>
          <w:color w:val="000000"/>
        </w:rPr>
        <w:t>that</w:t>
      </w:r>
      <w:r w:rsidR="001656BC">
        <w:rPr>
          <w:rFonts w:cs="Calibri"/>
          <w:i/>
          <w:iCs/>
          <w:color w:val="000000"/>
        </w:rPr>
        <w:t xml:space="preserve"> countries might find helpful in defining the roles of their NDEs.</w:t>
      </w:r>
    </w:p>
    <w:p w14:paraId="6D1EE78A" w14:textId="77777777" w:rsidR="002C5C11" w:rsidRPr="00CD0A3D" w:rsidRDefault="002C5C11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5A5985C" w14:textId="77777777" w:rsidR="00CD0A3D" w:rsidRPr="00B4206E" w:rsidRDefault="001656BC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4206E">
        <w:rPr>
          <w:rFonts w:cs="Calibri"/>
          <w:b/>
          <w:bCs/>
          <w:color w:val="000000"/>
          <w:sz w:val="24"/>
          <w:szCs w:val="24"/>
        </w:rPr>
        <w:t>1. Purpose of this note</w:t>
      </w:r>
      <w:r w:rsidR="000C0899" w:rsidRPr="00B4206E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4CD2EBBF" w14:textId="77777777" w:rsidR="000F4BC1" w:rsidRDefault="000F4BC1" w:rsidP="006F1DE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2AACE8F" w14:textId="77777777" w:rsidR="000F4BC1" w:rsidRDefault="000F4BC1" w:rsidP="000F4BC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Cs/>
          <w:color w:val="000000"/>
        </w:rPr>
      </w:pPr>
      <w:r w:rsidRPr="00B128C0">
        <w:rPr>
          <w:rFonts w:cs="Calibri"/>
          <w:bCs/>
          <w:color w:val="000000"/>
        </w:rPr>
        <w:t>The Climate Technology Centre and Network (CTCN) is th</w:t>
      </w:r>
      <w:r>
        <w:rPr>
          <w:rFonts w:cs="Calibri"/>
          <w:bCs/>
          <w:color w:val="000000"/>
        </w:rPr>
        <w:t xml:space="preserve">e operational arm of the </w:t>
      </w:r>
      <w:r w:rsidRPr="00B128C0">
        <w:rPr>
          <w:rFonts w:cs="Calibri"/>
          <w:bCs/>
          <w:color w:val="000000"/>
        </w:rPr>
        <w:t>Technology Mechanism</w:t>
      </w:r>
      <w:r>
        <w:rPr>
          <w:rFonts w:cs="Calibri"/>
          <w:bCs/>
          <w:color w:val="000000"/>
        </w:rPr>
        <w:t xml:space="preserve"> of the United Nations Framework Convention on Climate Change (UNFCCC)</w:t>
      </w:r>
      <w:r w:rsidRPr="00B128C0">
        <w:rPr>
          <w:rFonts w:cs="Calibri"/>
          <w:bCs/>
          <w:color w:val="000000"/>
        </w:rPr>
        <w:t xml:space="preserve"> and it is hosted and managed by UNEP in collaboration with UNIDO and with the support of 11 Centres of Excellence located in developing and developed countries. </w:t>
      </w:r>
    </w:p>
    <w:p w14:paraId="7DC32B6C" w14:textId="77777777" w:rsidR="000F4BC1" w:rsidRDefault="000F4BC1" w:rsidP="000F4BC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National Designated Entities</w:t>
      </w:r>
      <w:r w:rsidRPr="00CD0A3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(</w:t>
      </w:r>
      <w:r w:rsidRPr="00CD0A3D">
        <w:rPr>
          <w:rFonts w:cs="Calibri"/>
          <w:color w:val="000000"/>
        </w:rPr>
        <w:t>NDEs</w:t>
      </w:r>
      <w:r>
        <w:rPr>
          <w:rFonts w:cs="Calibri"/>
          <w:color w:val="000000"/>
        </w:rPr>
        <w:t xml:space="preserve">) </w:t>
      </w:r>
      <w:r w:rsidRPr="004004B6">
        <w:rPr>
          <w:rFonts w:cs="Calibri"/>
          <w:color w:val="000000"/>
        </w:rPr>
        <w:t>are the bodies granted responsibility by each Party to manage technology collaboration activities supported through the CTCN</w:t>
      </w:r>
      <w:r>
        <w:rPr>
          <w:rFonts w:cs="Calibri"/>
          <w:color w:val="000000"/>
        </w:rPr>
        <w:t xml:space="preserve">. </w:t>
      </w:r>
      <w:r>
        <w:rPr>
          <w:rFonts w:cs="Calibri"/>
          <w:bCs/>
          <w:color w:val="000000"/>
        </w:rPr>
        <w:t xml:space="preserve">In its decision </w:t>
      </w:r>
      <w:r>
        <w:rPr>
          <w:rFonts w:cs="Calibri"/>
          <w:color w:val="000000"/>
        </w:rPr>
        <w:t>2/CP.18, the</w:t>
      </w:r>
      <w:r>
        <w:rPr>
          <w:rFonts w:cs="Calibri"/>
          <w:bCs/>
          <w:color w:val="000000"/>
        </w:rPr>
        <w:t xml:space="preserve"> </w:t>
      </w:r>
      <w:r>
        <w:rPr>
          <w:rFonts w:cs="Calibri"/>
          <w:color w:val="000000"/>
        </w:rPr>
        <w:t xml:space="preserve">Conference of Parties (COP) of the UNFCCC - </w:t>
      </w:r>
      <w:r w:rsidRPr="00B60883">
        <w:rPr>
          <w:rFonts w:cs="Calibri"/>
          <w:i/>
          <w:color w:val="000000"/>
        </w:rPr>
        <w:t>“invites Parties to nominate their national designated entities for the development and transfer of technologies, in order to facilitate the operationalization of the CTC”</w:t>
      </w:r>
      <w:r>
        <w:rPr>
          <w:rFonts w:cs="Calibri"/>
          <w:color w:val="000000"/>
        </w:rPr>
        <w:t xml:space="preserve">. </w:t>
      </w:r>
    </w:p>
    <w:p w14:paraId="4365C884" w14:textId="77777777" w:rsidR="0038067E" w:rsidRPr="0038067E" w:rsidRDefault="000F4BC1" w:rsidP="00380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The nomination of NDEs is thus a </w:t>
      </w:r>
      <w:r w:rsidRPr="00CD0A3D">
        <w:rPr>
          <w:rFonts w:cs="Calibri"/>
          <w:color w:val="000000"/>
        </w:rPr>
        <w:t xml:space="preserve">necessary step </w:t>
      </w:r>
      <w:r>
        <w:rPr>
          <w:rFonts w:cs="Calibri"/>
          <w:color w:val="000000"/>
        </w:rPr>
        <w:t xml:space="preserve">for Parties to participate in the CTCN process. Nonetheless, </w:t>
      </w:r>
      <w:r w:rsidRPr="00CD0A3D">
        <w:rPr>
          <w:rFonts w:cs="Calibri"/>
          <w:color w:val="000000"/>
        </w:rPr>
        <w:t xml:space="preserve">COP decisions </w:t>
      </w:r>
      <w:r>
        <w:rPr>
          <w:rFonts w:cs="Calibri"/>
          <w:color w:val="000000"/>
        </w:rPr>
        <w:t>provide only limited guidance on the roles of</w:t>
      </w:r>
      <w:r w:rsidRPr="000A288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NDEs, leaving these issues </w:t>
      </w:r>
      <w:r w:rsidRPr="00CD0A3D">
        <w:rPr>
          <w:rFonts w:cs="Calibri"/>
          <w:color w:val="000000"/>
        </w:rPr>
        <w:t xml:space="preserve">to </w:t>
      </w:r>
      <w:r>
        <w:rPr>
          <w:rFonts w:cs="Calibri"/>
          <w:color w:val="000000"/>
        </w:rPr>
        <w:t>each</w:t>
      </w:r>
      <w:r w:rsidRPr="00CD0A3D">
        <w:rPr>
          <w:rFonts w:cs="Calibri"/>
          <w:color w:val="000000"/>
        </w:rPr>
        <w:t xml:space="preserve"> Party to determine.</w:t>
      </w:r>
      <w:r>
        <w:rPr>
          <w:rFonts w:cs="Calibri"/>
          <w:color w:val="000000"/>
        </w:rPr>
        <w:t xml:space="preserve"> This note is intended</w:t>
      </w:r>
      <w:r w:rsidRPr="00CD0A3D">
        <w:rPr>
          <w:rFonts w:cs="Calibri"/>
          <w:color w:val="000000"/>
        </w:rPr>
        <w:t xml:space="preserve"> to provide some</w:t>
      </w:r>
      <w:r>
        <w:rPr>
          <w:rFonts w:cs="Calibri"/>
          <w:color w:val="000000"/>
        </w:rPr>
        <w:t xml:space="preserve"> </w:t>
      </w:r>
      <w:r w:rsidRPr="00CD0A3D">
        <w:rPr>
          <w:rFonts w:cs="Calibri"/>
          <w:color w:val="000000"/>
        </w:rPr>
        <w:t xml:space="preserve">thoughts </w:t>
      </w:r>
      <w:r w:rsidRPr="00C028D0">
        <w:rPr>
          <w:rFonts w:cs="Calibri"/>
          <w:color w:val="000000"/>
        </w:rPr>
        <w:t xml:space="preserve">on the tasks that </w:t>
      </w:r>
      <w:r w:rsidRPr="00CD0A3D">
        <w:rPr>
          <w:rFonts w:cs="Calibri"/>
          <w:color w:val="000000"/>
        </w:rPr>
        <w:t>NDEs</w:t>
      </w:r>
      <w:r>
        <w:rPr>
          <w:rFonts w:cs="Calibri"/>
          <w:color w:val="000000"/>
        </w:rPr>
        <w:t xml:space="preserve"> from </w:t>
      </w:r>
      <w:r w:rsidR="008431F2">
        <w:rPr>
          <w:rFonts w:cs="Calibri"/>
          <w:color w:val="000000"/>
        </w:rPr>
        <w:t>Non</w:t>
      </w:r>
      <w:r>
        <w:rPr>
          <w:rFonts w:cs="Calibri"/>
          <w:color w:val="000000"/>
        </w:rPr>
        <w:t xml:space="preserve"> Annex I</w:t>
      </w:r>
      <w:r w:rsidR="0028436D">
        <w:rPr>
          <w:rFonts w:cs="Calibri"/>
          <w:color w:val="000000"/>
        </w:rPr>
        <w:t xml:space="preserve"> </w:t>
      </w:r>
      <w:r w:rsidR="008431F2">
        <w:rPr>
          <w:rFonts w:cs="Calibri"/>
          <w:color w:val="000000"/>
        </w:rPr>
        <w:t xml:space="preserve">country parties </w:t>
      </w:r>
      <w:r>
        <w:rPr>
          <w:rFonts w:cs="Calibri"/>
          <w:color w:val="000000"/>
        </w:rPr>
        <w:t xml:space="preserve">– </w:t>
      </w:r>
      <w:r w:rsidR="008431F2">
        <w:rPr>
          <w:rFonts w:cs="Calibri"/>
          <w:color w:val="000000"/>
        </w:rPr>
        <w:t>Non-</w:t>
      </w:r>
      <w:r>
        <w:rPr>
          <w:rFonts w:cs="Calibri"/>
          <w:color w:val="000000"/>
        </w:rPr>
        <w:t xml:space="preserve">Annex I NDEs </w:t>
      </w:r>
      <w:r w:rsidR="0028436D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could perform </w:t>
      </w:r>
      <w:r>
        <w:rPr>
          <w:rFonts w:cs="Times New Roman"/>
          <w:iCs/>
        </w:rPr>
        <w:t xml:space="preserve">to facilitate </w:t>
      </w:r>
      <w:r w:rsidRPr="00C028D0">
        <w:rPr>
          <w:rFonts w:cs="Times New Roman"/>
          <w:iCs/>
        </w:rPr>
        <w:t>collab</w:t>
      </w:r>
      <w:r>
        <w:rPr>
          <w:rFonts w:cs="Times New Roman"/>
          <w:iCs/>
        </w:rPr>
        <w:t>oration between their</w:t>
      </w:r>
      <w:r w:rsidRPr="00C028D0">
        <w:rPr>
          <w:rFonts w:cs="Times New Roman"/>
          <w:iCs/>
        </w:rPr>
        <w:t xml:space="preserve"> countries, the CTCN, and </w:t>
      </w:r>
      <w:r>
        <w:rPr>
          <w:rFonts w:cs="Times New Roman"/>
          <w:iCs/>
        </w:rPr>
        <w:t xml:space="preserve">Annex I NDEs and </w:t>
      </w:r>
      <w:r w:rsidRPr="00B76AFC">
        <w:rPr>
          <w:rFonts w:cs="Calibri"/>
          <w:bCs/>
        </w:rPr>
        <w:t>to ensure the success of the CTCN and its positive impact in developing countries.</w:t>
      </w:r>
    </w:p>
    <w:p w14:paraId="32CA5A94" w14:textId="77777777" w:rsidR="003D7C03" w:rsidRDefault="003D7C03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1801A574" w14:textId="77777777" w:rsidR="00CD0A3D" w:rsidRPr="00B4206E" w:rsidRDefault="001656BC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B4206E">
        <w:rPr>
          <w:rFonts w:cs="Calibri"/>
          <w:b/>
          <w:bCs/>
          <w:color w:val="000000"/>
          <w:sz w:val="24"/>
          <w:szCs w:val="24"/>
        </w:rPr>
        <w:t xml:space="preserve">2. </w:t>
      </w:r>
      <w:r w:rsidR="00DC5DAA" w:rsidRPr="00B4206E">
        <w:rPr>
          <w:rFonts w:cs="Calibri"/>
          <w:b/>
          <w:bCs/>
          <w:color w:val="000000"/>
          <w:sz w:val="24"/>
          <w:szCs w:val="24"/>
        </w:rPr>
        <w:t xml:space="preserve">Role of </w:t>
      </w:r>
      <w:r w:rsidR="00A717DE" w:rsidRPr="00B4206E">
        <w:rPr>
          <w:rFonts w:cs="Calibri"/>
          <w:b/>
          <w:bCs/>
          <w:color w:val="000000"/>
          <w:sz w:val="24"/>
          <w:szCs w:val="24"/>
        </w:rPr>
        <w:t>Non-</w:t>
      </w:r>
      <w:r w:rsidR="00250260" w:rsidRPr="00B4206E">
        <w:rPr>
          <w:rFonts w:cs="Calibri"/>
          <w:b/>
          <w:bCs/>
          <w:color w:val="000000"/>
          <w:sz w:val="24"/>
          <w:szCs w:val="24"/>
        </w:rPr>
        <w:t>Annex</w:t>
      </w:r>
      <w:r w:rsidR="004507D6" w:rsidRPr="00B4206E">
        <w:rPr>
          <w:rFonts w:cs="Calibri"/>
          <w:b/>
          <w:bCs/>
          <w:color w:val="000000"/>
          <w:sz w:val="24"/>
          <w:szCs w:val="24"/>
        </w:rPr>
        <w:t xml:space="preserve"> I</w:t>
      </w:r>
      <w:r w:rsidR="00250260" w:rsidRPr="00B4206E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DC5DAA" w:rsidRPr="00B4206E">
        <w:rPr>
          <w:rFonts w:cs="Calibri"/>
          <w:b/>
          <w:bCs/>
          <w:color w:val="000000"/>
          <w:sz w:val="24"/>
          <w:szCs w:val="24"/>
        </w:rPr>
        <w:t>National Designated Entities</w:t>
      </w:r>
    </w:p>
    <w:p w14:paraId="123503C6" w14:textId="77777777" w:rsidR="00092B34" w:rsidRPr="00C028D0" w:rsidRDefault="00092B34" w:rsidP="00CD0A3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16DE71FD" w14:textId="77777777" w:rsidR="000F4BC1" w:rsidRDefault="000F4BC1" w:rsidP="000F4BC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6514B">
        <w:rPr>
          <w:rFonts w:cs="Calibri"/>
          <w:bCs/>
        </w:rPr>
        <w:t xml:space="preserve">The success of the CTCN </w:t>
      </w:r>
      <w:r>
        <w:rPr>
          <w:rFonts w:cs="Calibri"/>
          <w:bCs/>
          <w:color w:val="000000"/>
        </w:rPr>
        <w:t xml:space="preserve">greatly depends on NDEs. They are the most influential factor in ensuring that the CTCN can effectively and efficiently </w:t>
      </w:r>
      <w:r w:rsidRPr="0076514B">
        <w:rPr>
          <w:rFonts w:cs="Calibri"/>
          <w:bCs/>
        </w:rPr>
        <w:t xml:space="preserve">help developing countries </w:t>
      </w:r>
      <w:r w:rsidRPr="0076514B">
        <w:rPr>
          <w:rFonts w:cs="Arial"/>
        </w:rPr>
        <w:t xml:space="preserve">access new and existing technologies for </w:t>
      </w:r>
      <w:r>
        <w:rPr>
          <w:rFonts w:cs="Arial"/>
        </w:rPr>
        <w:t xml:space="preserve">climate change </w:t>
      </w:r>
      <w:r w:rsidRPr="0076514B">
        <w:rPr>
          <w:rFonts w:cs="Arial"/>
        </w:rPr>
        <w:t>adaptation and mitigation</w:t>
      </w:r>
      <w:r>
        <w:rPr>
          <w:rFonts w:cs="Arial"/>
        </w:rPr>
        <w:t xml:space="preserve">. </w:t>
      </w:r>
    </w:p>
    <w:p w14:paraId="6EC7AD15" w14:textId="77777777" w:rsidR="00B4206E" w:rsidRDefault="00B4206E" w:rsidP="000F4BC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D47E4FA" w14:textId="77777777" w:rsidR="00B4206E" w:rsidRDefault="00D25FF0" w:rsidP="00912703">
      <w:pPr>
        <w:widowControl w:val="0"/>
        <w:overflowPunct w:val="0"/>
        <w:autoSpaceDE w:val="0"/>
        <w:autoSpaceDN w:val="0"/>
        <w:adjustRightInd w:val="0"/>
        <w:spacing w:after="0" w:line="231" w:lineRule="auto"/>
        <w:rPr>
          <w:rFonts w:ascii="Calibri" w:hAnsi="Calibri" w:cs="Calibri"/>
        </w:rPr>
      </w:pPr>
      <w:r w:rsidRPr="00D25FF0">
        <w:rPr>
          <w:rFonts w:ascii="Calibri" w:hAnsi="Calibri" w:cs="Calibri"/>
        </w:rPr>
        <w:t>It is hoped that NDE</w:t>
      </w:r>
      <w:r>
        <w:rPr>
          <w:rFonts w:ascii="Calibri" w:hAnsi="Calibri" w:cs="Calibri"/>
        </w:rPr>
        <w:t xml:space="preserve">s will expand their role beyond CTCN activities and services, thereby becoming ‘climate technology champions’ in their respective countries: </w:t>
      </w:r>
      <w:r w:rsidR="00912703">
        <w:rPr>
          <w:rFonts w:ascii="Calibri" w:hAnsi="Calibri" w:cs="Calibri"/>
        </w:rPr>
        <w:t xml:space="preserve">taking a holistic approach by </w:t>
      </w:r>
      <w:r w:rsidR="00312FEA">
        <w:rPr>
          <w:rFonts w:ascii="Calibri" w:hAnsi="Calibri" w:cs="Calibri"/>
        </w:rPr>
        <w:t xml:space="preserve">mainstreaming </w:t>
      </w:r>
      <w:r w:rsidR="00912703">
        <w:rPr>
          <w:rFonts w:ascii="Calibri" w:hAnsi="Calibri" w:cs="Calibri"/>
        </w:rPr>
        <w:t xml:space="preserve">climate technology issues in all </w:t>
      </w:r>
      <w:r w:rsidR="003D7C03">
        <w:rPr>
          <w:rFonts w:ascii="Calibri" w:hAnsi="Calibri" w:cs="Calibri"/>
        </w:rPr>
        <w:t xml:space="preserve">national </w:t>
      </w:r>
      <w:r w:rsidR="00912703">
        <w:rPr>
          <w:rFonts w:ascii="Calibri" w:hAnsi="Calibri" w:cs="Calibri"/>
        </w:rPr>
        <w:t xml:space="preserve">climate change-related plans, policies and strategies. As climate technology champions, </w:t>
      </w:r>
      <w:r w:rsidR="00491D9F">
        <w:rPr>
          <w:rFonts w:ascii="Calibri" w:hAnsi="Calibri" w:cs="Calibri"/>
        </w:rPr>
        <w:t xml:space="preserve">NDEs in developing countries will play a fundamental role in ensuring that requests submitted to the CTCN reflect national circumstances and priorities. </w:t>
      </w:r>
    </w:p>
    <w:p w14:paraId="4A284FD1" w14:textId="77777777" w:rsidR="00B4206E" w:rsidRDefault="00B4206E" w:rsidP="00912703">
      <w:pPr>
        <w:widowControl w:val="0"/>
        <w:overflowPunct w:val="0"/>
        <w:autoSpaceDE w:val="0"/>
        <w:autoSpaceDN w:val="0"/>
        <w:adjustRightInd w:val="0"/>
        <w:spacing w:after="0" w:line="231" w:lineRule="auto"/>
        <w:rPr>
          <w:rFonts w:ascii="Calibri" w:hAnsi="Calibri" w:cs="Calibri"/>
        </w:rPr>
      </w:pPr>
    </w:p>
    <w:p w14:paraId="078AEEA7" w14:textId="77777777" w:rsidR="00946321" w:rsidRDefault="0028436D" w:rsidP="00912703">
      <w:pPr>
        <w:widowControl w:val="0"/>
        <w:overflowPunct w:val="0"/>
        <w:autoSpaceDE w:val="0"/>
        <w:autoSpaceDN w:val="0"/>
        <w:adjustRightInd w:val="0"/>
        <w:spacing w:after="0" w:line="231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addition, NDEs will </w:t>
      </w:r>
      <w:r w:rsidR="00491D9F">
        <w:rPr>
          <w:rFonts w:ascii="Calibri" w:hAnsi="Calibri" w:cs="Calibri"/>
        </w:rPr>
        <w:t>ensure that support provided by the CTCN is well coordinated at the national level with other processes that address climate change, including ensuring engagement of relevant ministries,</w:t>
      </w:r>
      <w:r w:rsidR="004507D6">
        <w:rPr>
          <w:rFonts w:ascii="Calibri" w:hAnsi="Calibri" w:cs="Calibri"/>
        </w:rPr>
        <w:t xml:space="preserve"> thought-leaders, key decision-makers, </w:t>
      </w:r>
      <w:r w:rsidR="00491D9F">
        <w:rPr>
          <w:rFonts w:ascii="Calibri" w:hAnsi="Calibri" w:cs="Calibri"/>
        </w:rPr>
        <w:t xml:space="preserve">focal points for other UNFCCC mechanisms, the private sector, civil society, and academia as relevant. NDEs </w:t>
      </w:r>
      <w:r w:rsidR="00181C20">
        <w:rPr>
          <w:rFonts w:ascii="Calibri" w:hAnsi="Calibri" w:cs="Calibri"/>
        </w:rPr>
        <w:t xml:space="preserve">are also encouraged to </w:t>
      </w:r>
      <w:r>
        <w:rPr>
          <w:rFonts w:ascii="Calibri" w:hAnsi="Calibri" w:cs="Calibri"/>
        </w:rPr>
        <w:t>build a national</w:t>
      </w:r>
      <w:r w:rsidR="000F4BC1">
        <w:rPr>
          <w:rFonts w:ascii="Calibri" w:hAnsi="Calibri" w:cs="Calibri"/>
        </w:rPr>
        <w:t xml:space="preserve"> network</w:t>
      </w:r>
      <w:r w:rsidR="00D25FF0">
        <w:rPr>
          <w:rFonts w:ascii="Calibri" w:hAnsi="Calibri" w:cs="Calibri"/>
        </w:rPr>
        <w:t xml:space="preserve"> for climate technology actions</w:t>
      </w:r>
      <w:r w:rsidR="00912703">
        <w:rPr>
          <w:rFonts w:ascii="Calibri" w:hAnsi="Calibri" w:cs="Calibri"/>
        </w:rPr>
        <w:t xml:space="preserve">, </w:t>
      </w:r>
      <w:r w:rsidR="00181C20">
        <w:rPr>
          <w:rFonts w:ascii="Calibri" w:hAnsi="Calibri" w:cs="Calibri"/>
        </w:rPr>
        <w:t xml:space="preserve">promote CTCN activities </w:t>
      </w:r>
      <w:r w:rsidR="00946321">
        <w:rPr>
          <w:rFonts w:ascii="Calibri" w:hAnsi="Calibri" w:cs="Calibri"/>
        </w:rPr>
        <w:t xml:space="preserve">and services </w:t>
      </w:r>
      <w:r w:rsidR="009D30F6">
        <w:rPr>
          <w:rFonts w:ascii="Calibri" w:hAnsi="Calibri" w:cs="Calibri"/>
        </w:rPr>
        <w:t xml:space="preserve">in their country, and </w:t>
      </w:r>
      <w:r w:rsidR="00912703">
        <w:rPr>
          <w:rFonts w:ascii="Calibri" w:hAnsi="Calibri" w:cs="Calibri"/>
        </w:rPr>
        <w:t xml:space="preserve">disseminate climate technology-related plans, policies and information. </w:t>
      </w:r>
      <w:r w:rsidR="009D30F6">
        <w:rPr>
          <w:rFonts w:ascii="Calibri" w:hAnsi="Calibri" w:cs="Calibri"/>
        </w:rPr>
        <w:t xml:space="preserve"> </w:t>
      </w:r>
    </w:p>
    <w:p w14:paraId="77F23B74" w14:textId="77777777" w:rsidR="008C6DEB" w:rsidRDefault="008C6DEB" w:rsidP="0098587C">
      <w:pPr>
        <w:pStyle w:val="Heading2"/>
        <w:spacing w:before="0" w:line="240" w:lineRule="auto"/>
        <w:rPr>
          <w:rFonts w:asciiTheme="minorHAnsi" w:hAnsiTheme="minorHAnsi" w:cs="Calibri"/>
          <w:b w:val="0"/>
          <w:color w:val="000000"/>
          <w:sz w:val="22"/>
          <w:szCs w:val="22"/>
        </w:rPr>
      </w:pPr>
    </w:p>
    <w:p w14:paraId="22DFD996" w14:textId="77777777" w:rsidR="003D7C03" w:rsidRPr="00F41D9C" w:rsidRDefault="0028436D" w:rsidP="00F41D9C">
      <w:pPr>
        <w:pStyle w:val="Heading2"/>
        <w:spacing w:before="0" w:after="120" w:line="240" w:lineRule="auto"/>
        <w:rPr>
          <w:rFonts w:asciiTheme="minorHAnsi" w:hAnsiTheme="minorHAnsi" w:cs="Calibri"/>
          <w:b w:val="0"/>
          <w:color w:val="000000"/>
          <w:sz w:val="22"/>
          <w:szCs w:val="22"/>
        </w:rPr>
      </w:pPr>
      <w:r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In particular, </w:t>
      </w:r>
      <w:r w:rsidR="0040551C">
        <w:rPr>
          <w:rFonts w:asciiTheme="minorHAnsi" w:hAnsiTheme="minorHAnsi" w:cs="Calibri"/>
          <w:b w:val="0"/>
          <w:color w:val="000000"/>
          <w:sz w:val="22"/>
          <w:szCs w:val="22"/>
        </w:rPr>
        <w:t>Non-</w:t>
      </w:r>
      <w:r w:rsidR="00C331E5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Annex </w:t>
      </w:r>
      <w:r w:rsidR="004507D6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I </w:t>
      </w:r>
      <w:r w:rsidR="00CD0A3D" w:rsidRPr="00C2614F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NDEs </w:t>
      </w:r>
      <w:r w:rsidR="003D7C03">
        <w:rPr>
          <w:rFonts w:asciiTheme="minorHAnsi" w:hAnsiTheme="minorHAnsi" w:cs="Calibri"/>
          <w:b w:val="0"/>
          <w:color w:val="000000"/>
          <w:sz w:val="22"/>
          <w:szCs w:val="22"/>
        </w:rPr>
        <w:t xml:space="preserve">can help their country move to a low-carbon, climate resilient development </w:t>
      </w:r>
      <w:r w:rsidR="00FB7E82">
        <w:rPr>
          <w:rFonts w:asciiTheme="minorHAnsi" w:hAnsiTheme="minorHAnsi" w:cs="Calibri"/>
          <w:b w:val="0"/>
          <w:color w:val="000000"/>
          <w:sz w:val="22"/>
          <w:szCs w:val="22"/>
        </w:rPr>
        <w:t>by:</w:t>
      </w:r>
    </w:p>
    <w:p w14:paraId="00AB207E" w14:textId="77777777" w:rsidR="006F1DE4" w:rsidRDefault="006F1DE4" w:rsidP="006F1DE4">
      <w:pPr>
        <w:pStyle w:val="ListParagraph"/>
        <w:numPr>
          <w:ilvl w:val="0"/>
          <w:numId w:val="33"/>
        </w:numPr>
        <w:spacing w:after="120" w:line="240" w:lineRule="auto"/>
      </w:pPr>
      <w:r>
        <w:t>Acting as the national CTCN focal point.</w:t>
      </w:r>
    </w:p>
    <w:p w14:paraId="400A42D0" w14:textId="77777777" w:rsidR="004E6368" w:rsidRDefault="006F1DE4" w:rsidP="006F1DE4">
      <w:pPr>
        <w:pStyle w:val="ListParagraph"/>
        <w:numPr>
          <w:ilvl w:val="0"/>
          <w:numId w:val="33"/>
        </w:numPr>
        <w:spacing w:after="120" w:line="240" w:lineRule="auto"/>
      </w:pPr>
      <w:r>
        <w:lastRenderedPageBreak/>
        <w:t>Coordinat</w:t>
      </w:r>
      <w:r w:rsidR="003D7C03">
        <w:t>ing</w:t>
      </w:r>
      <w:r>
        <w:t xml:space="preserve"> activities and services of the CTCN in the country</w:t>
      </w:r>
      <w:r w:rsidR="004E6368">
        <w:t>.</w:t>
      </w:r>
    </w:p>
    <w:p w14:paraId="64B1F283" w14:textId="77777777" w:rsidR="006F1DE4" w:rsidRDefault="006F1DE4" w:rsidP="001E6430">
      <w:pPr>
        <w:pStyle w:val="ListParagraph"/>
        <w:numPr>
          <w:ilvl w:val="0"/>
          <w:numId w:val="33"/>
        </w:numPr>
        <w:spacing w:after="120" w:line="240" w:lineRule="auto"/>
      </w:pPr>
      <w:r>
        <w:t>Acting as an active member of the Climate Technology Network (CTN).</w:t>
      </w:r>
    </w:p>
    <w:p w14:paraId="19B185CD" w14:textId="77777777" w:rsidR="00061AE6" w:rsidRPr="001E6430" w:rsidRDefault="00061AE6" w:rsidP="00061AE6">
      <w:pPr>
        <w:pStyle w:val="ListParagraph"/>
        <w:spacing w:after="120" w:line="240" w:lineRule="auto"/>
      </w:pPr>
    </w:p>
    <w:p w14:paraId="4A66C6C4" w14:textId="77777777" w:rsidR="00421B62" w:rsidRDefault="00421B62" w:rsidP="006F1DE4">
      <w:pPr>
        <w:spacing w:after="0" w:line="240" w:lineRule="auto"/>
        <w:outlineLvl w:val="0"/>
        <w:rPr>
          <w:b/>
          <w:sz w:val="24"/>
          <w:szCs w:val="24"/>
        </w:rPr>
      </w:pPr>
    </w:p>
    <w:p w14:paraId="63E41701" w14:textId="77777777" w:rsidR="006F1DE4" w:rsidRPr="00B4206E" w:rsidRDefault="006F1DE4" w:rsidP="006F1DE4">
      <w:pPr>
        <w:spacing w:after="0" w:line="240" w:lineRule="auto"/>
        <w:outlineLvl w:val="0"/>
        <w:rPr>
          <w:b/>
          <w:sz w:val="24"/>
          <w:szCs w:val="24"/>
        </w:rPr>
      </w:pPr>
      <w:r w:rsidRPr="00B4206E">
        <w:rPr>
          <w:b/>
          <w:sz w:val="24"/>
          <w:szCs w:val="24"/>
        </w:rPr>
        <w:t>3. Examples of Non-Annex I NDEs roles</w:t>
      </w:r>
    </w:p>
    <w:p w14:paraId="40537E58" w14:textId="77777777" w:rsidR="006F1DE4" w:rsidRPr="00065D54" w:rsidRDefault="006F1DE4" w:rsidP="006F1DE4">
      <w:pPr>
        <w:spacing w:after="0" w:line="240" w:lineRule="auto"/>
        <w:rPr>
          <w:b/>
        </w:rPr>
      </w:pPr>
    </w:p>
    <w:p w14:paraId="5E22CEE8" w14:textId="77777777" w:rsidR="006F1DE4" w:rsidRDefault="006F1DE4" w:rsidP="006F1D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 w:rsidRPr="00B46AC4">
        <w:rPr>
          <w:rFonts w:ascii="Calibri" w:hAnsi="Calibri" w:cs="Calibri"/>
          <w:i/>
          <w:iCs/>
          <w:color w:val="000000"/>
        </w:rPr>
        <w:t>The table below provides examples of</w:t>
      </w:r>
      <w:r>
        <w:rPr>
          <w:rFonts w:ascii="Calibri" w:hAnsi="Calibri" w:cs="Calibri"/>
          <w:i/>
          <w:iCs/>
          <w:color w:val="000000"/>
        </w:rPr>
        <w:t xml:space="preserve"> actions</w:t>
      </w:r>
      <w:r w:rsidRPr="00B46AC4"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>Non-Annex I</w:t>
      </w:r>
      <w:r w:rsidRPr="00B46AC4">
        <w:rPr>
          <w:rFonts w:ascii="Calibri" w:hAnsi="Calibri" w:cs="Calibri"/>
          <w:i/>
          <w:iCs/>
          <w:color w:val="000000"/>
        </w:rPr>
        <w:t xml:space="preserve"> NDE</w:t>
      </w:r>
      <w:r>
        <w:rPr>
          <w:rFonts w:ascii="Calibri" w:hAnsi="Calibri" w:cs="Calibri"/>
          <w:i/>
          <w:iCs/>
          <w:color w:val="000000"/>
        </w:rPr>
        <w:t>s</w:t>
      </w:r>
      <w:r w:rsidRPr="00B46AC4"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i/>
          <w:iCs/>
          <w:color w:val="000000"/>
        </w:rPr>
        <w:t>might undertake</w:t>
      </w:r>
      <w:r w:rsidRPr="00B46AC4">
        <w:rPr>
          <w:rFonts w:ascii="Calibri" w:hAnsi="Calibri" w:cs="Calibri"/>
          <w:i/>
          <w:iCs/>
          <w:color w:val="000000"/>
        </w:rPr>
        <w:t xml:space="preserve">. It is meant to be indicative only; exact responsibilities will differ from country to country, determined by </w:t>
      </w:r>
      <w:r>
        <w:rPr>
          <w:rFonts w:ascii="Calibri" w:hAnsi="Calibri" w:cs="Calibri"/>
          <w:i/>
          <w:iCs/>
          <w:color w:val="000000"/>
        </w:rPr>
        <w:t>each country</w:t>
      </w:r>
      <w:r w:rsidRPr="00B46AC4">
        <w:rPr>
          <w:rFonts w:ascii="Calibri" w:hAnsi="Calibri" w:cs="Calibri"/>
          <w:i/>
          <w:iCs/>
          <w:color w:val="000000"/>
        </w:rPr>
        <w:t>.</w:t>
      </w:r>
    </w:p>
    <w:p w14:paraId="78688B6B" w14:textId="77777777" w:rsidR="003D7C03" w:rsidRDefault="003D7C03" w:rsidP="006F1D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2454"/>
        <w:gridCol w:w="7469"/>
      </w:tblGrid>
      <w:tr w:rsidR="003D7C03" w14:paraId="76350722" w14:textId="77777777" w:rsidTr="00731A19">
        <w:tc>
          <w:tcPr>
            <w:tcW w:w="2454" w:type="dxa"/>
          </w:tcPr>
          <w:p w14:paraId="5DB992B6" w14:textId="77777777" w:rsidR="003D7C03" w:rsidRPr="00F41D9C" w:rsidRDefault="003D7C03" w:rsidP="00F41D9C">
            <w:pPr>
              <w:rPr>
                <w:b/>
              </w:rPr>
            </w:pPr>
            <w:r w:rsidRPr="00F41D9C">
              <w:rPr>
                <w:b/>
              </w:rPr>
              <w:t>Possible NDE role</w:t>
            </w:r>
          </w:p>
        </w:tc>
        <w:tc>
          <w:tcPr>
            <w:tcW w:w="7469" w:type="dxa"/>
          </w:tcPr>
          <w:p w14:paraId="333E4049" w14:textId="77777777" w:rsidR="003D7C03" w:rsidRPr="00D009EC" w:rsidRDefault="003D7C03" w:rsidP="003D7C03">
            <w:pPr>
              <w:pStyle w:val="ListParagraph"/>
            </w:pPr>
            <w:r w:rsidRPr="00D009EC">
              <w:rPr>
                <w:i/>
                <w:color w:val="000000" w:themeColor="text1"/>
              </w:rPr>
              <w:t>Example of specific actions NDE can undertake</w:t>
            </w:r>
          </w:p>
        </w:tc>
      </w:tr>
      <w:tr w:rsidR="003D7C03" w14:paraId="0A3D1257" w14:textId="77777777" w:rsidTr="00731A19">
        <w:tc>
          <w:tcPr>
            <w:tcW w:w="2454" w:type="dxa"/>
          </w:tcPr>
          <w:p w14:paraId="6B5FA2A7" w14:textId="77777777" w:rsidR="003D7C03" w:rsidRPr="005F1359" w:rsidRDefault="003D7C03" w:rsidP="00AB7CC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5F1359">
              <w:rPr>
                <w:b/>
              </w:rPr>
              <w:t>Act as National CTCN Focal Point</w:t>
            </w:r>
          </w:p>
        </w:tc>
        <w:tc>
          <w:tcPr>
            <w:tcW w:w="7469" w:type="dxa"/>
          </w:tcPr>
          <w:p w14:paraId="4EEFD1E2" w14:textId="77777777" w:rsidR="003D7C03" w:rsidRDefault="00312FEA" w:rsidP="00AB7CC0">
            <w:pPr>
              <w:pStyle w:val="ListParagraph"/>
              <w:numPr>
                <w:ilvl w:val="0"/>
                <w:numId w:val="17"/>
              </w:numPr>
            </w:pPr>
            <w:r>
              <w:t xml:space="preserve">Engage </w:t>
            </w:r>
            <w:r w:rsidR="003D7C03">
              <w:t>national stakeholders</w:t>
            </w:r>
            <w:r w:rsidR="000F4BC1">
              <w:t xml:space="preserve"> on CTCN</w:t>
            </w:r>
            <w:r w:rsidR="00D009EC">
              <w:t xml:space="preserve"> related activities, </w:t>
            </w:r>
            <w:r w:rsidR="007A6788">
              <w:t>to identify collaboration and synergies</w:t>
            </w:r>
            <w:r w:rsidR="003D7C03">
              <w:t xml:space="preserve"> (e.g. key</w:t>
            </w:r>
            <w:r w:rsidR="00D009EC">
              <w:t xml:space="preserve"> decision-makers, private companies</w:t>
            </w:r>
            <w:r w:rsidR="003D7C03">
              <w:t xml:space="preserve">, NGOs, </w:t>
            </w:r>
            <w:r w:rsidR="00B4206E">
              <w:t xml:space="preserve">donor coordination groups, </w:t>
            </w:r>
            <w:r w:rsidR="003D7C03">
              <w:t>national focal points of other UNFCCC Mechanisms such as the Adaptation Fund’s  Designated Authorities and National Implementing Entities; Clean Development Mechanism’s  Designated National Authorities, NAMA’s National Focal Points)</w:t>
            </w:r>
          </w:p>
          <w:p w14:paraId="6153B69F" w14:textId="77777777" w:rsidR="003D7C03" w:rsidRDefault="000F4BC1" w:rsidP="00AB7CC0">
            <w:pPr>
              <w:pStyle w:val="ListParagraph"/>
              <w:numPr>
                <w:ilvl w:val="0"/>
                <w:numId w:val="17"/>
              </w:numPr>
            </w:pPr>
            <w:r>
              <w:t xml:space="preserve">Identify opportunity for complementing </w:t>
            </w:r>
            <w:r w:rsidR="00CC6D34">
              <w:t xml:space="preserve">existing </w:t>
            </w:r>
            <w:r w:rsidR="004C0FDB">
              <w:t xml:space="preserve">and past </w:t>
            </w:r>
            <w:r w:rsidR="00CC6D34">
              <w:t xml:space="preserve">efforts and </w:t>
            </w:r>
            <w:r w:rsidR="004C0FDB">
              <w:t>programmes</w:t>
            </w:r>
            <w:r w:rsidR="00CC6D34">
              <w:t xml:space="preserve"> in the country</w:t>
            </w:r>
            <w:r w:rsidR="003D7C03" w:rsidRPr="001E7594">
              <w:t xml:space="preserve"> </w:t>
            </w:r>
            <w:r>
              <w:t>with CTCN activities, to avoid duplication</w:t>
            </w:r>
            <w:r w:rsidR="004C0FDB">
              <w:t>s</w:t>
            </w:r>
          </w:p>
          <w:p w14:paraId="6391E4B3" w14:textId="77777777" w:rsidR="00312FEA" w:rsidRDefault="009771E5" w:rsidP="00AB7CC0">
            <w:pPr>
              <w:pStyle w:val="ListParagraph"/>
              <w:numPr>
                <w:ilvl w:val="0"/>
                <w:numId w:val="17"/>
              </w:numPr>
            </w:pPr>
            <w:r>
              <w:t>Ensure</w:t>
            </w:r>
            <w:r w:rsidR="004C0FDB">
              <w:t xml:space="preserve"> the </w:t>
            </w:r>
            <w:r w:rsidR="00CC6D34">
              <w:t>integrati</w:t>
            </w:r>
            <w:r w:rsidR="004C0FDB">
              <w:t>on of</w:t>
            </w:r>
            <w:r w:rsidR="00CC6D34">
              <w:t xml:space="preserve"> climate technology issues into national, sectorial and local development plans, in order to </w:t>
            </w:r>
            <w:r w:rsidR="00B02EE3">
              <w:t>leverage</w:t>
            </w:r>
            <w:r w:rsidR="00771434">
              <w:t xml:space="preserve"> domestic and</w:t>
            </w:r>
            <w:r w:rsidR="00B02EE3">
              <w:t xml:space="preserve"> international funding for adaptation and mitigation activities</w:t>
            </w:r>
            <w:r w:rsidR="00D009EC">
              <w:t xml:space="preserve"> </w:t>
            </w:r>
            <w:r>
              <w:t>(TNAs – NAMAs – NAPAs)</w:t>
            </w:r>
          </w:p>
          <w:p w14:paraId="6EFF994A" w14:textId="77777777" w:rsidR="00312FEA" w:rsidRDefault="00312FEA" w:rsidP="00AB7CC0">
            <w:pPr>
              <w:pStyle w:val="ListParagraph"/>
              <w:numPr>
                <w:ilvl w:val="0"/>
                <w:numId w:val="17"/>
              </w:numPr>
            </w:pPr>
            <w:r>
              <w:t>Facilitate the exchange of</w:t>
            </w:r>
            <w:r w:rsidR="003D7C03">
              <w:t xml:space="preserve"> information</w:t>
            </w:r>
            <w:r>
              <w:t xml:space="preserve"> on climate technology issue</w:t>
            </w:r>
            <w:r w:rsidR="00CC6D34">
              <w:t>s and on CTCN activities</w:t>
            </w:r>
            <w:r>
              <w:t xml:space="preserve"> with </w:t>
            </w:r>
            <w:r w:rsidR="00D90033">
              <w:t>in-country</w:t>
            </w:r>
            <w:r>
              <w:t xml:space="preserve"> stakeholders</w:t>
            </w:r>
            <w:r w:rsidR="00D90033">
              <w:t>:</w:t>
            </w:r>
          </w:p>
          <w:p w14:paraId="5EA8AC29" w14:textId="77777777" w:rsidR="00885D58" w:rsidRDefault="00885D58" w:rsidP="00AB7CC0">
            <w:pPr>
              <w:pStyle w:val="ListParagraph"/>
              <w:numPr>
                <w:ilvl w:val="0"/>
                <w:numId w:val="34"/>
              </w:numPr>
            </w:pPr>
            <w:r>
              <w:t>Stay informed on climate technologies challenges and build NDE capacities by accessing knowledge in the KMS and participating in online trainings</w:t>
            </w:r>
          </w:p>
          <w:p w14:paraId="07E1798A" w14:textId="77777777" w:rsidR="003D7C03" w:rsidRDefault="003D7C03" w:rsidP="00AB7CC0">
            <w:pPr>
              <w:pStyle w:val="ListParagraph"/>
              <w:numPr>
                <w:ilvl w:val="0"/>
                <w:numId w:val="34"/>
              </w:numPr>
            </w:pPr>
            <w:r>
              <w:t>Stay informed about the CTCN (</w:t>
            </w:r>
            <w:r w:rsidRPr="00775B6B">
              <w:t xml:space="preserve">visit CTCN website, communicate regularly with the </w:t>
            </w:r>
            <w:r w:rsidR="00D009EC">
              <w:t>CTC</w:t>
            </w:r>
            <w:r w:rsidRPr="00775B6B">
              <w:t>, read CTCN documents disseminated</w:t>
            </w:r>
            <w:r>
              <w:t>)</w:t>
            </w:r>
          </w:p>
          <w:p w14:paraId="70005209" w14:textId="77777777" w:rsidR="004151A7" w:rsidRDefault="004151A7" w:rsidP="004151A7">
            <w:pPr>
              <w:pStyle w:val="ListParagraph"/>
              <w:numPr>
                <w:ilvl w:val="0"/>
                <w:numId w:val="34"/>
              </w:numPr>
            </w:pPr>
            <w:r>
              <w:t xml:space="preserve">Stay informed about </w:t>
            </w:r>
            <w:r w:rsidR="004C0FDB">
              <w:t>domestic efforts</w:t>
            </w:r>
            <w:r>
              <w:t xml:space="preserve"> on climate change and climate technologies </w:t>
            </w:r>
          </w:p>
          <w:p w14:paraId="5758183B" w14:textId="77777777" w:rsidR="003D7C03" w:rsidRDefault="00B02EE3" w:rsidP="00AB7CC0">
            <w:pPr>
              <w:pStyle w:val="ListParagraph"/>
              <w:numPr>
                <w:ilvl w:val="0"/>
                <w:numId w:val="34"/>
              </w:numPr>
            </w:pPr>
            <w:r>
              <w:t xml:space="preserve">Disseminate </w:t>
            </w:r>
            <w:r w:rsidR="003D7C03">
              <w:t>information about the CTCN with relevant in-country stakeholders (through participation in conferences and events, social media, national media</w:t>
            </w:r>
            <w:r w:rsidR="00885D58">
              <w:t>, translate CTCN information package into national language</w:t>
            </w:r>
            <w:r w:rsidR="003D7C03">
              <w:t>)</w:t>
            </w:r>
          </w:p>
          <w:p w14:paraId="69A67E1A" w14:textId="77777777" w:rsidR="00B02EE3" w:rsidRDefault="00B02EE3" w:rsidP="00AB7CC0">
            <w:pPr>
              <w:pStyle w:val="ListParagraph"/>
              <w:numPr>
                <w:ilvl w:val="0"/>
                <w:numId w:val="34"/>
              </w:numPr>
            </w:pPr>
            <w:r w:rsidRPr="00B02EE3">
              <w:t xml:space="preserve">Channel to the CTCN relevant information on </w:t>
            </w:r>
            <w:r w:rsidR="00885D58">
              <w:t xml:space="preserve">climate technology related </w:t>
            </w:r>
            <w:r w:rsidR="004C0FDB">
              <w:t>programmes</w:t>
            </w:r>
            <w:r w:rsidR="00885D58">
              <w:t xml:space="preserve">, initiatives, </w:t>
            </w:r>
            <w:r w:rsidRPr="00B02EE3">
              <w:t>development</w:t>
            </w:r>
            <w:r>
              <w:t xml:space="preserve">, policies, actors, </w:t>
            </w:r>
            <w:r w:rsidRPr="00B02EE3">
              <w:t>needs</w:t>
            </w:r>
            <w:r w:rsidR="00885D58">
              <w:t>, success stories</w:t>
            </w:r>
          </w:p>
          <w:p w14:paraId="33409026" w14:textId="77777777" w:rsidR="003D7C03" w:rsidRDefault="003D7C03" w:rsidP="00AB7CC0">
            <w:pPr>
              <w:pStyle w:val="ListParagraph"/>
              <w:numPr>
                <w:ilvl w:val="0"/>
                <w:numId w:val="17"/>
              </w:numPr>
            </w:pPr>
            <w:r>
              <w:t>Facilitate interaction</w:t>
            </w:r>
            <w:r w:rsidR="004C0FDB">
              <w:t>s</w:t>
            </w:r>
            <w:r>
              <w:t xml:space="preserve"> between CTCN and in-country stakeholders, as needed (e.g. map relevant stakeholders, </w:t>
            </w:r>
            <w:r w:rsidR="00B02EE3" w:rsidRPr="00B02EE3">
              <w:t>coordinate national network members,</w:t>
            </w:r>
            <w:r w:rsidR="00B02EE3">
              <w:t xml:space="preserve"> </w:t>
            </w:r>
            <w:r>
              <w:t>organize meetings)</w:t>
            </w:r>
          </w:p>
          <w:p w14:paraId="4EE6E070" w14:textId="77777777" w:rsidR="003D7C03" w:rsidRDefault="003D7C03" w:rsidP="00AB7CC0">
            <w:pPr>
              <w:pStyle w:val="ListParagraph"/>
              <w:numPr>
                <w:ilvl w:val="0"/>
                <w:numId w:val="17"/>
              </w:numPr>
            </w:pPr>
            <w:r>
              <w:t>Provide regular feedback on how the CTCN can improve the quality of its support and its overall procedures</w:t>
            </w:r>
          </w:p>
        </w:tc>
      </w:tr>
      <w:tr w:rsidR="003D7C03" w14:paraId="4989D581" w14:textId="77777777" w:rsidTr="00731A19">
        <w:trPr>
          <w:trHeight w:val="3842"/>
        </w:trPr>
        <w:tc>
          <w:tcPr>
            <w:tcW w:w="2454" w:type="dxa"/>
          </w:tcPr>
          <w:p w14:paraId="63F54B6D" w14:textId="77777777" w:rsidR="003D7C03" w:rsidRPr="006F1DE4" w:rsidRDefault="003D7C03" w:rsidP="00AB7CC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F1DE4">
              <w:rPr>
                <w:b/>
              </w:rPr>
              <w:lastRenderedPageBreak/>
              <w:t>Managing the national submission process of technical assistance requests to the CTCN</w:t>
            </w:r>
          </w:p>
          <w:p w14:paraId="545B7ACD" w14:textId="77777777" w:rsidR="003D7C03" w:rsidRPr="006F1DE4" w:rsidRDefault="003D7C03" w:rsidP="00AB7CC0">
            <w:pPr>
              <w:rPr>
                <w:b/>
              </w:rPr>
            </w:pPr>
          </w:p>
        </w:tc>
        <w:tc>
          <w:tcPr>
            <w:tcW w:w="7469" w:type="dxa"/>
            <w:vAlign w:val="bottom"/>
          </w:tcPr>
          <w:p w14:paraId="5482DB05" w14:textId="77777777" w:rsidR="005374E8" w:rsidRDefault="005374E8" w:rsidP="005374E8">
            <w:pPr>
              <w:pStyle w:val="ListParagraph"/>
              <w:numPr>
                <w:ilvl w:val="0"/>
                <w:numId w:val="22"/>
              </w:numPr>
            </w:pPr>
            <w:r w:rsidRPr="005374E8">
              <w:rPr>
                <w:lang w:val="en-US"/>
              </w:rPr>
              <w:t xml:space="preserve">Lead in-country consultative processes with </w:t>
            </w:r>
            <w:r w:rsidR="007A6788">
              <w:rPr>
                <w:lang w:val="en-US"/>
              </w:rPr>
              <w:t>key decision-makers</w:t>
            </w:r>
            <w:r w:rsidR="00885D58">
              <w:rPr>
                <w:lang w:val="en-US"/>
              </w:rPr>
              <w:t>, privates companies, development organizations</w:t>
            </w:r>
            <w:r w:rsidRPr="005374E8">
              <w:rPr>
                <w:lang w:val="en-US"/>
              </w:rPr>
              <w:t xml:space="preserve">, and other </w:t>
            </w:r>
            <w:r w:rsidR="007A6788">
              <w:rPr>
                <w:lang w:val="en-US"/>
              </w:rPr>
              <w:t>stakeholders</w:t>
            </w:r>
            <w:r w:rsidRPr="005374E8">
              <w:rPr>
                <w:lang w:val="en-US"/>
              </w:rPr>
              <w:t xml:space="preserve"> to select high priority requ</w:t>
            </w:r>
            <w:r w:rsidR="004C0FDB">
              <w:rPr>
                <w:lang w:val="en-US"/>
              </w:rPr>
              <w:t xml:space="preserve">ests to submit to the CTCN and </w:t>
            </w:r>
            <w:r w:rsidRPr="005374E8">
              <w:rPr>
                <w:lang w:val="en-US"/>
              </w:rPr>
              <w:t>define collaborative</w:t>
            </w:r>
            <w:r w:rsidR="00D009EC">
              <w:rPr>
                <w:lang w:val="en-US"/>
              </w:rPr>
              <w:t xml:space="preserve"> activities with these agencies</w:t>
            </w:r>
          </w:p>
          <w:p w14:paraId="3B1932C5" w14:textId="77777777" w:rsidR="003D7C03" w:rsidRPr="009B088F" w:rsidRDefault="003D7C03" w:rsidP="000B5B92">
            <w:pPr>
              <w:pStyle w:val="ListParagraph"/>
              <w:numPr>
                <w:ilvl w:val="0"/>
                <w:numId w:val="22"/>
              </w:numPr>
            </w:pPr>
            <w:r w:rsidRPr="009B088F">
              <w:t xml:space="preserve">Provide guidance and oversight for the development of requests </w:t>
            </w:r>
            <w:r w:rsidR="00D009EC">
              <w:t xml:space="preserve">that </w:t>
            </w:r>
            <w:r w:rsidRPr="009B088F">
              <w:t>well</w:t>
            </w:r>
            <w:r>
              <w:t xml:space="preserve"> </w:t>
            </w:r>
            <w:r w:rsidR="00D009EC">
              <w:t xml:space="preserve">aligned with CTCN support, </w:t>
            </w:r>
            <w:r w:rsidRPr="009B088F">
              <w:t>consistent with the country’s climate and</w:t>
            </w:r>
            <w:r>
              <w:t xml:space="preserve"> </w:t>
            </w:r>
            <w:r w:rsidRPr="009B088F">
              <w:t>development priorities</w:t>
            </w:r>
            <w:r w:rsidR="00D009EC">
              <w:t>,</w:t>
            </w:r>
            <w:r w:rsidR="004151A7">
              <w:t xml:space="preserve"> and </w:t>
            </w:r>
            <w:r w:rsidR="00D009EC">
              <w:t>complementary</w:t>
            </w:r>
            <w:r w:rsidR="000B5B92">
              <w:t xml:space="preserve"> with existing </w:t>
            </w:r>
            <w:r w:rsidR="004C0FDB">
              <w:t>efforts</w:t>
            </w:r>
            <w:r w:rsidR="000B5B92">
              <w:t xml:space="preserve"> of development orga</w:t>
            </w:r>
            <w:r w:rsidR="004C0FDB">
              <w:t xml:space="preserve">nizations, to avoid duplications </w:t>
            </w:r>
            <w:r w:rsidR="000B5B92">
              <w:t>and increase impact of CTCN support</w:t>
            </w:r>
            <w:r w:rsidR="004151A7">
              <w:t xml:space="preserve"> </w:t>
            </w:r>
            <w:r>
              <w:t xml:space="preserve">(e.g. </w:t>
            </w:r>
            <w:r w:rsidR="004151A7">
              <w:t xml:space="preserve">map existing national and international programmes, </w:t>
            </w:r>
            <w:r>
              <w:t>set national criteria to evaluate consi</w:t>
            </w:r>
            <w:r w:rsidR="00D009EC">
              <w:t>stency with national priorities</w:t>
            </w:r>
            <w:r>
              <w:t>)</w:t>
            </w:r>
          </w:p>
          <w:p w14:paraId="50BD953E" w14:textId="77777777" w:rsidR="003D7C03" w:rsidRDefault="00D009EC" w:rsidP="00AB7CC0">
            <w:pPr>
              <w:pStyle w:val="ListParagraph"/>
              <w:numPr>
                <w:ilvl w:val="0"/>
                <w:numId w:val="22"/>
              </w:numPr>
            </w:pPr>
            <w:r>
              <w:t xml:space="preserve">Select high priority requests (e.g. set national criteria to prioritize requests), </w:t>
            </w:r>
            <w:r w:rsidR="003D7C03" w:rsidRPr="009B088F">
              <w:t xml:space="preserve">submit </w:t>
            </w:r>
            <w:r w:rsidR="004151A7">
              <w:t>them to</w:t>
            </w:r>
            <w:r w:rsidR="004151A7" w:rsidRPr="009B088F">
              <w:t xml:space="preserve"> </w:t>
            </w:r>
            <w:r w:rsidR="003D7C03" w:rsidRPr="009B088F">
              <w:t>the CTCN</w:t>
            </w:r>
            <w:r w:rsidR="003D7C03">
              <w:t xml:space="preserve"> </w:t>
            </w:r>
            <w:r>
              <w:t>and help refining request</w:t>
            </w:r>
            <w:r w:rsidR="004C0FDB">
              <w:t>s</w:t>
            </w:r>
            <w:r>
              <w:t>, as needed</w:t>
            </w:r>
          </w:p>
          <w:p w14:paraId="14135806" w14:textId="77777777" w:rsidR="003D7C03" w:rsidRPr="009B088F" w:rsidRDefault="00D009EC" w:rsidP="00AB7CC0">
            <w:pPr>
              <w:pStyle w:val="ListParagraph"/>
              <w:numPr>
                <w:ilvl w:val="0"/>
                <w:numId w:val="22"/>
              </w:numPr>
            </w:pPr>
            <w:r>
              <w:t>Support</w:t>
            </w:r>
            <w:r w:rsidR="004C0FDB">
              <w:t xml:space="preserve"> the </w:t>
            </w:r>
            <w:r>
              <w:t xml:space="preserve">implementation of technical </w:t>
            </w:r>
            <w:r w:rsidR="004C0FDB">
              <w:t xml:space="preserve">assistance </w:t>
            </w:r>
            <w:r>
              <w:t>by liais</w:t>
            </w:r>
            <w:r w:rsidR="004C0FDB">
              <w:t>ing with national stakeholders</w:t>
            </w:r>
            <w:r>
              <w:t>, and the CTCN, if needed.</w:t>
            </w:r>
          </w:p>
          <w:p w14:paraId="45249241" w14:textId="77777777" w:rsidR="003D7C03" w:rsidRDefault="003D7C03" w:rsidP="00AB7CC0">
            <w:pPr>
              <w:pStyle w:val="ListParagraph"/>
              <w:numPr>
                <w:ilvl w:val="0"/>
                <w:numId w:val="22"/>
              </w:numPr>
            </w:pPr>
            <w:r w:rsidRPr="00CF050B">
              <w:t xml:space="preserve">Secure any necessary commitments from in-country government agencies or non-government institutions to </w:t>
            </w:r>
            <w:r w:rsidR="004151A7">
              <w:t xml:space="preserve">undertake follow-up actions </w:t>
            </w:r>
            <w:r w:rsidR="004C0FDB">
              <w:t>to</w:t>
            </w:r>
            <w:r w:rsidR="004151A7">
              <w:t xml:space="preserve"> CTCN assistance</w:t>
            </w:r>
          </w:p>
          <w:p w14:paraId="270BAAAC" w14:textId="77777777" w:rsidR="004151A7" w:rsidRPr="00CF050B" w:rsidRDefault="004151A7" w:rsidP="00AB7CC0">
            <w:pPr>
              <w:pStyle w:val="ListParagraph"/>
              <w:numPr>
                <w:ilvl w:val="0"/>
                <w:numId w:val="22"/>
              </w:numPr>
            </w:pPr>
            <w:r>
              <w:t xml:space="preserve">Identify and </w:t>
            </w:r>
            <w:r w:rsidR="004C0FDB">
              <w:t>catalyze</w:t>
            </w:r>
            <w:r>
              <w:t xml:space="preserve"> funding </w:t>
            </w:r>
            <w:r w:rsidR="004C0FDB">
              <w:t>opportunities for</w:t>
            </w:r>
            <w:r>
              <w:t xml:space="preserve"> climate-technology plans </w:t>
            </w:r>
            <w:r w:rsidR="004C0FDB">
              <w:t>originated</w:t>
            </w:r>
            <w:r>
              <w:t xml:space="preserve"> </w:t>
            </w:r>
            <w:r w:rsidR="004C0FDB">
              <w:t>by</w:t>
            </w:r>
            <w:r>
              <w:t xml:space="preserve"> CTCN assistance</w:t>
            </w:r>
          </w:p>
          <w:p w14:paraId="059F40E9" w14:textId="77777777" w:rsidR="003D7C03" w:rsidRPr="009B088F" w:rsidRDefault="003D7C03" w:rsidP="00AB7CC0">
            <w:pPr>
              <w:pStyle w:val="ListParagraph"/>
              <w:numPr>
                <w:ilvl w:val="0"/>
                <w:numId w:val="22"/>
              </w:numPr>
            </w:pPr>
            <w:r>
              <w:t>Monitor the effectiveness of CTCN assistance and inform the CTCN of any needs for adjustment (e.g. collaborate with the CTC on Monitoring and Evaluation plans)</w:t>
            </w:r>
          </w:p>
        </w:tc>
      </w:tr>
      <w:tr w:rsidR="003D7C03" w14:paraId="033F4D78" w14:textId="77777777" w:rsidTr="00731A19">
        <w:tc>
          <w:tcPr>
            <w:tcW w:w="2454" w:type="dxa"/>
          </w:tcPr>
          <w:p w14:paraId="47D08BCE" w14:textId="77777777" w:rsidR="003D7C03" w:rsidRPr="009B088F" w:rsidRDefault="003D7C03" w:rsidP="00AB7CC0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F1DE4">
              <w:rPr>
                <w:b/>
                <w:lang w:val="en-US"/>
              </w:rPr>
              <w:t>Contribute to increase information and knowledge sharing through the KMS</w:t>
            </w:r>
          </w:p>
        </w:tc>
        <w:tc>
          <w:tcPr>
            <w:tcW w:w="7469" w:type="dxa"/>
          </w:tcPr>
          <w:p w14:paraId="269044CA" w14:textId="77777777" w:rsidR="003D7C03" w:rsidRDefault="003D7C03" w:rsidP="00AB7CC0">
            <w:pPr>
              <w:pStyle w:val="ListParagraph"/>
              <w:numPr>
                <w:ilvl w:val="0"/>
                <w:numId w:val="23"/>
              </w:numPr>
            </w:pPr>
            <w:r>
              <w:t>Provide the CTC with documents and information that are relevant to the K</w:t>
            </w:r>
            <w:r w:rsidR="008F1F7A">
              <w:t xml:space="preserve">nowledge </w:t>
            </w:r>
            <w:r>
              <w:t>M</w:t>
            </w:r>
            <w:r w:rsidR="008F1F7A">
              <w:t xml:space="preserve">anagement </w:t>
            </w:r>
            <w:r>
              <w:t>S</w:t>
            </w:r>
            <w:r w:rsidR="008F1F7A">
              <w:t>ystem</w:t>
            </w:r>
            <w:r>
              <w:t xml:space="preserve"> (e.g. </w:t>
            </w:r>
            <w:r w:rsidRPr="00BA6857">
              <w:t>climate adaptation and mitigation technology data, tools, reports</w:t>
            </w:r>
            <w:r>
              <w:t>)</w:t>
            </w:r>
          </w:p>
          <w:p w14:paraId="07ABC2E4" w14:textId="77777777" w:rsidR="003D7C03" w:rsidRDefault="003D7C03" w:rsidP="00AB7CC0">
            <w:pPr>
              <w:pStyle w:val="ListParagraph"/>
              <w:numPr>
                <w:ilvl w:val="0"/>
                <w:numId w:val="23"/>
              </w:numPr>
            </w:pPr>
            <w:r>
              <w:t>Showcase in the KMS best practices and case studies developed by national actors from public and private sectors</w:t>
            </w:r>
          </w:p>
          <w:p w14:paraId="63605F92" w14:textId="77777777" w:rsidR="003D7C03" w:rsidRDefault="003D7C03" w:rsidP="004C0FDB">
            <w:pPr>
              <w:pStyle w:val="ListParagraph"/>
              <w:numPr>
                <w:ilvl w:val="0"/>
                <w:numId w:val="23"/>
              </w:numPr>
            </w:pPr>
            <w:r>
              <w:t xml:space="preserve">Develop materials for the KMS based on </w:t>
            </w:r>
            <w:r w:rsidR="004C0FDB">
              <w:t>the</w:t>
            </w:r>
            <w:r>
              <w:t xml:space="preserve"> country’s experience with CTCN services </w:t>
            </w:r>
            <w:r w:rsidR="004151A7">
              <w:t>including responses to technical assistance request</w:t>
            </w:r>
            <w:r w:rsidR="004C0FDB">
              <w:t>s</w:t>
            </w:r>
            <w:r w:rsidR="004151A7">
              <w:t xml:space="preserve"> </w:t>
            </w:r>
            <w:r>
              <w:t>(e.g. ‘success story’ as outcome of CTCN assistance)</w:t>
            </w:r>
          </w:p>
        </w:tc>
      </w:tr>
      <w:tr w:rsidR="00F41D9C" w14:paraId="0D380DCD" w14:textId="77777777" w:rsidTr="00731A19">
        <w:trPr>
          <w:trHeight w:val="4686"/>
        </w:trPr>
        <w:tc>
          <w:tcPr>
            <w:tcW w:w="2454" w:type="dxa"/>
          </w:tcPr>
          <w:p w14:paraId="2E8B9783" w14:textId="77777777" w:rsidR="00F41D9C" w:rsidRPr="008E2B07" w:rsidRDefault="00F41D9C" w:rsidP="00F41D9C">
            <w:pPr>
              <w:pStyle w:val="ListParagraph"/>
              <w:numPr>
                <w:ilvl w:val="0"/>
                <w:numId w:val="16"/>
              </w:numPr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val="en-US"/>
              </w:rPr>
            </w:pPr>
            <w:r w:rsidRPr="008E2B07"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val="en-US"/>
              </w:rPr>
              <w:t>Increase collaboration and networking opportunities within the CTCN – including t</w:t>
            </w:r>
            <w:r w:rsidR="004C0FDB"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val="en-US"/>
              </w:rPr>
              <w:t>h</w:t>
            </w:r>
            <w:r w:rsidRPr="008E2B07">
              <w:rPr>
                <w:rFonts w:eastAsia="Times New Roman" w:cs="Times New Roman"/>
                <w:b/>
                <w:bCs/>
                <w:color w:val="000000"/>
                <w:shd w:val="clear" w:color="auto" w:fill="FFFFFF"/>
                <w:lang w:val="en-US"/>
              </w:rPr>
              <w:t>rough Network membership</w:t>
            </w:r>
          </w:p>
          <w:p w14:paraId="3C4048CB" w14:textId="77777777" w:rsidR="00F41D9C" w:rsidRPr="008E2B07" w:rsidRDefault="00F41D9C" w:rsidP="00F41D9C">
            <w:pPr>
              <w:pStyle w:val="ListParagraph"/>
              <w:rPr>
                <w:rFonts w:ascii="Times" w:eastAsia="Times New Roman" w:hAnsi="Times" w:cs="Times New Roman"/>
                <w:lang w:val="en-US"/>
              </w:rPr>
            </w:pPr>
          </w:p>
          <w:p w14:paraId="09357A2D" w14:textId="77777777" w:rsidR="00F41D9C" w:rsidRPr="008E2B07" w:rsidRDefault="00F41D9C" w:rsidP="00F41D9C">
            <w:pPr>
              <w:rPr>
                <w:b/>
              </w:rPr>
            </w:pPr>
          </w:p>
        </w:tc>
        <w:tc>
          <w:tcPr>
            <w:tcW w:w="7469" w:type="dxa"/>
          </w:tcPr>
          <w:p w14:paraId="639CCF6F" w14:textId="77777777" w:rsidR="00F41D9C" w:rsidRPr="008E2B07" w:rsidRDefault="00F41D9C" w:rsidP="00F41D9C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Theme="minorHAnsi" w:eastAsia="Times New Roman" w:hAnsiTheme="minorHAnsi" w:cs="Times New Roman"/>
                <w:color w:val="000000"/>
                <w:lang w:val="en-US"/>
              </w:rPr>
            </w:pP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>Disseminate information to in-country organizations on the opportunity to participate in the Network (e.g. share network membership criteria and application form)</w:t>
            </w: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br/>
              <w:t>b. Identify potential Network members, assess</w:t>
            </w:r>
            <w:r w:rsidR="004C0FDB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 xml:space="preserve"> their capacities, and support</w:t>
            </w: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 xml:space="preserve"> them in joining the CTN</w:t>
            </w:r>
          </w:p>
          <w:p w14:paraId="11CED348" w14:textId="77777777" w:rsidR="00F41D9C" w:rsidRPr="008E2B07" w:rsidRDefault="00F41D9C" w:rsidP="00F41D9C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Theme="minorHAnsi" w:eastAsia="Times New Roman" w:hAnsiTheme="minorHAnsi" w:cs="Times New Roman"/>
                <w:color w:val="000000"/>
                <w:lang w:val="en-US"/>
              </w:rPr>
            </w:pP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 xml:space="preserve">Serve as Network member and act as liaison between </w:t>
            </w:r>
            <w:r w:rsidR="004C0FDB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 xml:space="preserve">other </w:t>
            </w: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>national Network members and the CTCN (‘Network Lead’ in the country)</w:t>
            </w:r>
          </w:p>
          <w:p w14:paraId="468C3198" w14:textId="77777777" w:rsidR="00F41D9C" w:rsidRPr="008E2B07" w:rsidRDefault="00F41D9C" w:rsidP="00F41D9C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Theme="minorHAnsi" w:eastAsia="Times New Roman" w:hAnsiTheme="minorHAnsi" w:cs="Times New Roman"/>
                <w:color w:val="000000"/>
                <w:lang w:val="en-US"/>
              </w:rPr>
            </w:pP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>Identify needs and opportunities for regional and global peer learning and collaboration that the CTCN can conduct across countries on topics of common interest</w:t>
            </w:r>
          </w:p>
          <w:p w14:paraId="0B577627" w14:textId="77777777" w:rsidR="00F41D9C" w:rsidRPr="008E2B07" w:rsidRDefault="00F41D9C" w:rsidP="00F41D9C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Theme="minorHAnsi" w:eastAsia="Times New Roman" w:hAnsiTheme="minorHAnsi" w:cs="Times New Roman"/>
                <w:color w:val="000000"/>
                <w:lang w:val="en-US"/>
              </w:rPr>
            </w:pP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>Coordinate participation (where desired) of interested organizations, experts and decision-makers in regional and global collaborative activities </w:t>
            </w:r>
          </w:p>
          <w:p w14:paraId="355C7928" w14:textId="77777777" w:rsidR="00F41D9C" w:rsidRPr="008E2B07" w:rsidRDefault="00F41D9C" w:rsidP="00F41D9C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Theme="minorHAnsi" w:eastAsia="Times New Roman" w:hAnsiTheme="minorHAnsi" w:cs="Times New Roman"/>
                <w:color w:val="000000"/>
                <w:lang w:val="en-US"/>
              </w:rPr>
            </w:pP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>Participate in networking events and peer learning activities</w:t>
            </w:r>
          </w:p>
          <w:p w14:paraId="37A0B5D8" w14:textId="77777777" w:rsidR="00F41D9C" w:rsidRPr="008E2B07" w:rsidRDefault="00F41D9C" w:rsidP="00F41D9C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Theme="minorHAnsi" w:eastAsia="Times New Roman" w:hAnsiTheme="minorHAnsi" w:cs="Times New Roman"/>
                <w:color w:val="000000"/>
                <w:lang w:val="en-US"/>
              </w:rPr>
            </w:pP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>Propose the organization of climate technology events and forums on topics of interest </w:t>
            </w:r>
          </w:p>
          <w:p w14:paraId="2B6CEFCB" w14:textId="77777777" w:rsidR="00F41D9C" w:rsidRPr="008E2B07" w:rsidRDefault="00F41D9C" w:rsidP="00F41D9C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Theme="minorHAnsi" w:eastAsia="Times New Roman" w:hAnsiTheme="minorHAnsi" w:cs="Times New Roman"/>
                <w:color w:val="000000"/>
                <w:lang w:val="en-US"/>
              </w:rPr>
            </w:pPr>
            <w:r w:rsidRPr="008E2B07">
              <w:rPr>
                <w:rFonts w:asciiTheme="minorHAnsi" w:eastAsia="Times New Roman" w:hAnsiTheme="minorHAnsi" w:cs="Times New Roman"/>
                <w:color w:val="000000"/>
                <w:lang w:val="en-US"/>
              </w:rPr>
              <w:t>Collaborate with Annex I NDEs on areas of common interest</w:t>
            </w:r>
          </w:p>
        </w:tc>
      </w:tr>
    </w:tbl>
    <w:p w14:paraId="3A7616CA" w14:textId="77777777" w:rsidR="009C11D9" w:rsidRPr="000B5B92" w:rsidRDefault="009C11D9" w:rsidP="000B5B92">
      <w:pPr>
        <w:tabs>
          <w:tab w:val="left" w:pos="3427"/>
        </w:tabs>
      </w:pPr>
    </w:p>
    <w:sectPr w:rsidR="009C11D9" w:rsidRPr="000B5B92" w:rsidSect="00061AE6">
      <w:headerReference w:type="even" r:id="rId8"/>
      <w:headerReference w:type="default" r:id="rId9"/>
      <w:headerReference w:type="first" r:id="rId10"/>
      <w:pgSz w:w="12240" w:h="15840"/>
      <w:pgMar w:top="1260" w:right="1440" w:bottom="142" w:left="1440" w:header="720" w:footer="27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96350B" w15:done="0"/>
  <w15:commentEx w15:paraId="6A7DB8F7" w15:done="0"/>
  <w15:commentEx w15:paraId="742DD0FE" w15:done="0"/>
  <w15:commentEx w15:paraId="1CB78461" w15:done="0"/>
  <w15:commentEx w15:paraId="475E4A7D" w15:done="0"/>
  <w15:commentEx w15:paraId="075C81AB" w15:done="0"/>
  <w15:commentEx w15:paraId="02E731F3" w15:done="0"/>
  <w15:commentEx w15:paraId="7A73ECEC" w15:done="0"/>
  <w15:commentEx w15:paraId="4C551C09" w15:done="0"/>
  <w15:commentEx w15:paraId="0BB3FF6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938A8" w14:textId="77777777" w:rsidR="00A94F4D" w:rsidRDefault="00A94F4D" w:rsidP="00335DF6">
      <w:pPr>
        <w:spacing w:after="0" w:line="240" w:lineRule="auto"/>
      </w:pPr>
      <w:r>
        <w:separator/>
      </w:r>
    </w:p>
  </w:endnote>
  <w:endnote w:type="continuationSeparator" w:id="0">
    <w:p w14:paraId="14F587E0" w14:textId="77777777" w:rsidR="00A94F4D" w:rsidRDefault="00A94F4D" w:rsidP="0033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50864" w14:textId="77777777" w:rsidR="00A94F4D" w:rsidRDefault="00A94F4D" w:rsidP="00335DF6">
      <w:pPr>
        <w:spacing w:after="0" w:line="240" w:lineRule="auto"/>
      </w:pPr>
      <w:r>
        <w:separator/>
      </w:r>
    </w:p>
  </w:footnote>
  <w:footnote w:type="continuationSeparator" w:id="0">
    <w:p w14:paraId="304B9606" w14:textId="77777777" w:rsidR="00A94F4D" w:rsidRDefault="00A94F4D" w:rsidP="0033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E29B17A" w14:textId="77777777" w:rsidR="00D009EC" w:rsidRDefault="00D9313D">
    <w:pPr>
      <w:pStyle w:val="Header"/>
    </w:pPr>
    <w:r>
      <w:rPr>
        <w:noProof/>
      </w:rPr>
      <w:pict w14:anchorId="429E48E8">
        <v:shapetype id="_x0000_t202" coordsize="21600,21600" o:spt="202" path="m0,0l0,21600,21600,21600,21600,0xe">
          <v:stroke joinstyle="miter"/>
          <v:path gradientshapeok="t" o:connecttype="rect"/>
        </v:shapetype>
        <v:shape id="WordArt 2" o:spid="_x0000_s4099" type="#_x0000_t202" style="position:absolute;margin-left:0;margin-top:0;width:1in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" filled="f" stroked="f">
          <o:lock v:ext="edit" text="t" shapetype="t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5EBA82" w14:textId="77777777" w:rsidR="00D009EC" w:rsidRDefault="00D009EC">
    <w:pPr>
      <w:pStyle w:val="Header"/>
    </w:pPr>
    <w:r w:rsidRPr="00884181">
      <w:rPr>
        <w:noProof/>
      </w:rPr>
      <w:drawing>
        <wp:anchor distT="0" distB="0" distL="114300" distR="114300" simplePos="0" relativeHeight="251671552" behindDoc="1" locked="0" layoutInCell="0" allowOverlap="1" wp14:anchorId="4D5FC60B" wp14:editId="6E3D850F">
          <wp:simplePos x="0" y="0"/>
          <wp:positionH relativeFrom="column">
            <wp:posOffset>1821180</wp:posOffset>
          </wp:positionH>
          <wp:positionV relativeFrom="paragraph">
            <wp:posOffset>-231140</wp:posOffset>
          </wp:positionV>
          <wp:extent cx="2146300" cy="552450"/>
          <wp:effectExtent l="0" t="0" r="1270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313D">
      <w:rPr>
        <w:noProof/>
      </w:rPr>
      <w:pict w14:anchorId="49269453">
        <v:shapetype id="_x0000_t202" coordsize="21600,21600" o:spt="202" path="m0,0l0,21600,21600,21600,21600,0xe">
          <v:stroke joinstyle="miter"/>
          <v:path gradientshapeok="t" o:connecttype="rect"/>
        </v:shapetype>
        <v:shape id="WordArt 1" o:spid="_x0000_s4098" type="#_x0000_t202" style="position:absolute;margin-left:0;margin-top:0;width:1in;height:1in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" filled="f" stroked="f">
          <o:lock v:ext="edit" text="t" shapetype="t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A7764D7" w14:textId="77777777" w:rsidR="00D009EC" w:rsidRDefault="00D9313D">
    <w:pPr>
      <w:pStyle w:val="Header"/>
    </w:pPr>
    <w:r>
      <w:rPr>
        <w:noProof/>
      </w:rPr>
      <w:pict w14:anchorId="68150200">
        <v:shapetype id="_x0000_t202" coordsize="21600,21600" o:spt="202" path="m0,0l0,21600,21600,21600,21600,0xe">
          <v:stroke joinstyle="miter"/>
          <v:path gradientshapeok="t" o:connecttype="rect"/>
        </v:shapetype>
        <v:shape id="WordArt 3" o:spid="_x0000_s4097" type="#_x0000_t202" style="position:absolute;margin-left:0;margin-top:0;width:1in;height:1in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" filled="f" stroked="f">
          <o:lock v:ext="edit" text="t" shapetype="t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5CC350"/>
    <w:lvl w:ilvl="0">
      <w:numFmt w:val="bullet"/>
      <w:lvlText w:val="*"/>
      <w:lvlJc w:val="left"/>
    </w:lvl>
  </w:abstractNum>
  <w:abstractNum w:abstractNumId="1">
    <w:nsid w:val="00006784"/>
    <w:multiLevelType w:val="hybridMultilevel"/>
    <w:tmpl w:val="00004AE1"/>
    <w:lvl w:ilvl="0" w:tplc="00003D6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2AE">
      <w:start w:val="1"/>
      <w:numFmt w:val="lowerLetter"/>
      <w:lvlText w:val="%3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1A95071"/>
    <w:multiLevelType w:val="hybridMultilevel"/>
    <w:tmpl w:val="904AD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2F1097E"/>
    <w:multiLevelType w:val="hybridMultilevel"/>
    <w:tmpl w:val="9A6CC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972ED"/>
    <w:multiLevelType w:val="hybridMultilevel"/>
    <w:tmpl w:val="8B0CBB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AC60CD9"/>
    <w:multiLevelType w:val="hybridMultilevel"/>
    <w:tmpl w:val="22243DB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>
    <w:nsid w:val="0C9B445B"/>
    <w:multiLevelType w:val="hybridMultilevel"/>
    <w:tmpl w:val="E0642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4FC"/>
    <w:multiLevelType w:val="hybridMultilevel"/>
    <w:tmpl w:val="DD22F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03633"/>
    <w:multiLevelType w:val="hybridMultilevel"/>
    <w:tmpl w:val="52B2ED66"/>
    <w:lvl w:ilvl="0" w:tplc="1A7EB1E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187CE2"/>
    <w:multiLevelType w:val="hybridMultilevel"/>
    <w:tmpl w:val="9154E1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7655D5"/>
    <w:multiLevelType w:val="hybridMultilevel"/>
    <w:tmpl w:val="323441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F5FAF"/>
    <w:multiLevelType w:val="hybridMultilevel"/>
    <w:tmpl w:val="EDB87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43FB1"/>
    <w:multiLevelType w:val="hybridMultilevel"/>
    <w:tmpl w:val="DA92CD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A2DE6"/>
    <w:multiLevelType w:val="hybridMultilevel"/>
    <w:tmpl w:val="F9FE2EC4"/>
    <w:lvl w:ilvl="0" w:tplc="2B140F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A5A01"/>
    <w:multiLevelType w:val="hybridMultilevel"/>
    <w:tmpl w:val="DD3E2EE8"/>
    <w:lvl w:ilvl="0" w:tplc="323A5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E9E19C6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43E19"/>
    <w:multiLevelType w:val="hybridMultilevel"/>
    <w:tmpl w:val="6C5C78B6"/>
    <w:lvl w:ilvl="0" w:tplc="45D45A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47994"/>
    <w:multiLevelType w:val="hybridMultilevel"/>
    <w:tmpl w:val="E0642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F4D1D"/>
    <w:multiLevelType w:val="hybridMultilevel"/>
    <w:tmpl w:val="E0642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F7ECC"/>
    <w:multiLevelType w:val="hybridMultilevel"/>
    <w:tmpl w:val="307C5440"/>
    <w:lvl w:ilvl="0" w:tplc="E50EE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C20E9"/>
    <w:multiLevelType w:val="hybridMultilevel"/>
    <w:tmpl w:val="78BE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63EB3"/>
    <w:multiLevelType w:val="hybridMultilevel"/>
    <w:tmpl w:val="813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F50149C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A07D8"/>
    <w:multiLevelType w:val="hybridMultilevel"/>
    <w:tmpl w:val="F9FE2EC4"/>
    <w:lvl w:ilvl="0" w:tplc="2B140F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12BFF"/>
    <w:multiLevelType w:val="hybridMultilevel"/>
    <w:tmpl w:val="D7402AA8"/>
    <w:lvl w:ilvl="0" w:tplc="B5481F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785CC350"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36B76"/>
    <w:multiLevelType w:val="hybridMultilevel"/>
    <w:tmpl w:val="81703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D45B0"/>
    <w:multiLevelType w:val="hybridMultilevel"/>
    <w:tmpl w:val="78888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70B15"/>
    <w:multiLevelType w:val="hybridMultilevel"/>
    <w:tmpl w:val="7AFE0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7358F"/>
    <w:multiLevelType w:val="hybridMultilevel"/>
    <w:tmpl w:val="1892ED02"/>
    <w:lvl w:ilvl="0" w:tplc="08BA453E">
      <w:start w:val="1"/>
      <w:numFmt w:val="lowerRoman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013FC"/>
    <w:multiLevelType w:val="hybridMultilevel"/>
    <w:tmpl w:val="B2A4F3C0"/>
    <w:lvl w:ilvl="0" w:tplc="BC6ABB6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BC42EF"/>
    <w:multiLevelType w:val="hybridMultilevel"/>
    <w:tmpl w:val="1892ED02"/>
    <w:lvl w:ilvl="0" w:tplc="08BA453E">
      <w:start w:val="1"/>
      <w:numFmt w:val="lowerRoman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C5A33"/>
    <w:multiLevelType w:val="hybridMultilevel"/>
    <w:tmpl w:val="307C5440"/>
    <w:lvl w:ilvl="0" w:tplc="E50EE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539D1"/>
    <w:multiLevelType w:val="hybridMultilevel"/>
    <w:tmpl w:val="E1AE75C8"/>
    <w:lvl w:ilvl="0" w:tplc="15C6AE8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32FEE"/>
    <w:multiLevelType w:val="hybridMultilevel"/>
    <w:tmpl w:val="EF006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E7670"/>
    <w:multiLevelType w:val="hybridMultilevel"/>
    <w:tmpl w:val="D248B23A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>
    <w:nsid w:val="6D925A79"/>
    <w:multiLevelType w:val="hybridMultilevel"/>
    <w:tmpl w:val="3FA4C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1E06167"/>
    <w:multiLevelType w:val="hybridMultilevel"/>
    <w:tmpl w:val="BC0228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B02102"/>
    <w:multiLevelType w:val="hybridMultilevel"/>
    <w:tmpl w:val="7AFE0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9"/>
  </w:num>
  <w:num w:numId="3">
    <w:abstractNumId w:val="18"/>
  </w:num>
  <w:num w:numId="4">
    <w:abstractNumId w:val="2"/>
  </w:num>
  <w:num w:numId="5">
    <w:abstractNumId w:val="22"/>
  </w:num>
  <w:num w:numId="6">
    <w:abstractNumId w:val="33"/>
  </w:num>
  <w:num w:numId="7">
    <w:abstractNumId w:val="28"/>
  </w:num>
  <w:num w:numId="8">
    <w:abstractNumId w:val="26"/>
  </w:num>
  <w:num w:numId="9">
    <w:abstractNumId w:val="10"/>
  </w:num>
  <w:num w:numId="10">
    <w:abstractNumId w:val="9"/>
  </w:num>
  <w:num w:numId="11">
    <w:abstractNumId w:val="4"/>
  </w:num>
  <w:num w:numId="12">
    <w:abstractNumId w:val="21"/>
  </w:num>
  <w:num w:numId="13">
    <w:abstractNumId w:val="15"/>
  </w:num>
  <w:num w:numId="14">
    <w:abstractNumId w:val="23"/>
  </w:num>
  <w:num w:numId="15">
    <w:abstractNumId w:val="13"/>
  </w:num>
  <w:num w:numId="16">
    <w:abstractNumId w:val="14"/>
  </w:num>
  <w:num w:numId="17">
    <w:abstractNumId w:val="12"/>
  </w:num>
  <w:num w:numId="18">
    <w:abstractNumId w:val="7"/>
  </w:num>
  <w:num w:numId="19">
    <w:abstractNumId w:val="1"/>
  </w:num>
  <w:num w:numId="20">
    <w:abstractNumId w:val="3"/>
  </w:num>
  <w:num w:numId="21">
    <w:abstractNumId w:val="6"/>
  </w:num>
  <w:num w:numId="22">
    <w:abstractNumId w:val="17"/>
  </w:num>
  <w:num w:numId="23">
    <w:abstractNumId w:val="20"/>
  </w:num>
  <w:num w:numId="24">
    <w:abstractNumId w:val="24"/>
  </w:num>
  <w:num w:numId="25">
    <w:abstractNumId w:val="8"/>
  </w:num>
  <w:num w:numId="26">
    <w:abstractNumId w:val="16"/>
  </w:num>
  <w:num w:numId="27">
    <w:abstractNumId w:val="31"/>
  </w:num>
  <w:num w:numId="28">
    <w:abstractNumId w:val="5"/>
  </w:num>
  <w:num w:numId="29">
    <w:abstractNumId w:val="35"/>
  </w:num>
  <w:num w:numId="30">
    <w:abstractNumId w:val="25"/>
  </w:num>
  <w:num w:numId="31">
    <w:abstractNumId w:val="32"/>
  </w:num>
  <w:num w:numId="32">
    <w:abstractNumId w:val="30"/>
  </w:num>
  <w:num w:numId="33">
    <w:abstractNumId w:val="34"/>
  </w:num>
  <w:num w:numId="34">
    <w:abstractNumId w:val="27"/>
  </w:num>
  <w:num w:numId="35">
    <w:abstractNumId w:val="19"/>
  </w:num>
  <w:num w:numId="3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nathan Duwyn">
    <w15:presenceInfo w15:providerId="AD" w15:userId="S-1-5-21-105422770-3925311859-3175272333-23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12A"/>
    <w:rsid w:val="00003FF3"/>
    <w:rsid w:val="00016A63"/>
    <w:rsid w:val="00017B89"/>
    <w:rsid w:val="00031247"/>
    <w:rsid w:val="0003169F"/>
    <w:rsid w:val="000446E2"/>
    <w:rsid w:val="00056404"/>
    <w:rsid w:val="00060173"/>
    <w:rsid w:val="00061AE6"/>
    <w:rsid w:val="0007766B"/>
    <w:rsid w:val="00084657"/>
    <w:rsid w:val="00091FD3"/>
    <w:rsid w:val="00092B34"/>
    <w:rsid w:val="00093D40"/>
    <w:rsid w:val="000A0DF6"/>
    <w:rsid w:val="000A0FBF"/>
    <w:rsid w:val="000A7286"/>
    <w:rsid w:val="000B5B92"/>
    <w:rsid w:val="000C0899"/>
    <w:rsid w:val="000C0E27"/>
    <w:rsid w:val="000C568D"/>
    <w:rsid w:val="000D0319"/>
    <w:rsid w:val="000D1B83"/>
    <w:rsid w:val="000D73B8"/>
    <w:rsid w:val="000D73CF"/>
    <w:rsid w:val="000E254B"/>
    <w:rsid w:val="000E3285"/>
    <w:rsid w:val="000F4BC1"/>
    <w:rsid w:val="00111A39"/>
    <w:rsid w:val="00116B09"/>
    <w:rsid w:val="001226B0"/>
    <w:rsid w:val="001247A8"/>
    <w:rsid w:val="00137095"/>
    <w:rsid w:val="001634BC"/>
    <w:rsid w:val="0016458E"/>
    <w:rsid w:val="001656BC"/>
    <w:rsid w:val="00165F08"/>
    <w:rsid w:val="001804A7"/>
    <w:rsid w:val="00181773"/>
    <w:rsid w:val="00181C20"/>
    <w:rsid w:val="00183D8D"/>
    <w:rsid w:val="00184BB9"/>
    <w:rsid w:val="00185C35"/>
    <w:rsid w:val="00190273"/>
    <w:rsid w:val="00194E05"/>
    <w:rsid w:val="001A50CD"/>
    <w:rsid w:val="001C7942"/>
    <w:rsid w:val="001D27ED"/>
    <w:rsid w:val="001E0711"/>
    <w:rsid w:val="001E21B9"/>
    <w:rsid w:val="001E291A"/>
    <w:rsid w:val="001E6430"/>
    <w:rsid w:val="001E7594"/>
    <w:rsid w:val="001F440F"/>
    <w:rsid w:val="001F61F3"/>
    <w:rsid w:val="00207222"/>
    <w:rsid w:val="0021101C"/>
    <w:rsid w:val="002165E5"/>
    <w:rsid w:val="00221BAA"/>
    <w:rsid w:val="00234CE4"/>
    <w:rsid w:val="002352C6"/>
    <w:rsid w:val="00237154"/>
    <w:rsid w:val="00241162"/>
    <w:rsid w:val="00250260"/>
    <w:rsid w:val="00253FB5"/>
    <w:rsid w:val="002618A0"/>
    <w:rsid w:val="00276A3B"/>
    <w:rsid w:val="00276DAF"/>
    <w:rsid w:val="0028436D"/>
    <w:rsid w:val="00286315"/>
    <w:rsid w:val="00287792"/>
    <w:rsid w:val="00287CCB"/>
    <w:rsid w:val="002A2E6B"/>
    <w:rsid w:val="002B6F97"/>
    <w:rsid w:val="002C5C11"/>
    <w:rsid w:val="002E3C73"/>
    <w:rsid w:val="002E424C"/>
    <w:rsid w:val="002E7D22"/>
    <w:rsid w:val="0030722E"/>
    <w:rsid w:val="0030796E"/>
    <w:rsid w:val="00311B5A"/>
    <w:rsid w:val="00312FEA"/>
    <w:rsid w:val="0031552E"/>
    <w:rsid w:val="00331176"/>
    <w:rsid w:val="00335DF6"/>
    <w:rsid w:val="003448DF"/>
    <w:rsid w:val="00351966"/>
    <w:rsid w:val="0035640D"/>
    <w:rsid w:val="0037357E"/>
    <w:rsid w:val="003803D5"/>
    <w:rsid w:val="0038067E"/>
    <w:rsid w:val="003917AE"/>
    <w:rsid w:val="00394CB7"/>
    <w:rsid w:val="00396344"/>
    <w:rsid w:val="00396FD8"/>
    <w:rsid w:val="003971C1"/>
    <w:rsid w:val="003A24CB"/>
    <w:rsid w:val="003B440D"/>
    <w:rsid w:val="003B6E48"/>
    <w:rsid w:val="003C4261"/>
    <w:rsid w:val="003C649C"/>
    <w:rsid w:val="003D7C03"/>
    <w:rsid w:val="003E0E0C"/>
    <w:rsid w:val="003E6EED"/>
    <w:rsid w:val="00400699"/>
    <w:rsid w:val="00400AD7"/>
    <w:rsid w:val="00402E31"/>
    <w:rsid w:val="0040317B"/>
    <w:rsid w:val="0040551C"/>
    <w:rsid w:val="004064BC"/>
    <w:rsid w:val="00410A95"/>
    <w:rsid w:val="004151A7"/>
    <w:rsid w:val="004156E0"/>
    <w:rsid w:val="00421B62"/>
    <w:rsid w:val="004304EA"/>
    <w:rsid w:val="00430EB3"/>
    <w:rsid w:val="004349D9"/>
    <w:rsid w:val="004444CE"/>
    <w:rsid w:val="004507D6"/>
    <w:rsid w:val="00452F0D"/>
    <w:rsid w:val="00461F7D"/>
    <w:rsid w:val="00467D64"/>
    <w:rsid w:val="00482252"/>
    <w:rsid w:val="00491D9F"/>
    <w:rsid w:val="004A2A27"/>
    <w:rsid w:val="004B0251"/>
    <w:rsid w:val="004B2E88"/>
    <w:rsid w:val="004C0FDB"/>
    <w:rsid w:val="004E1A97"/>
    <w:rsid w:val="004E3423"/>
    <w:rsid w:val="004E6368"/>
    <w:rsid w:val="004E75AA"/>
    <w:rsid w:val="004E764C"/>
    <w:rsid w:val="004F2461"/>
    <w:rsid w:val="00520F79"/>
    <w:rsid w:val="00524EE8"/>
    <w:rsid w:val="0053045A"/>
    <w:rsid w:val="005321EF"/>
    <w:rsid w:val="0053294F"/>
    <w:rsid w:val="005374E8"/>
    <w:rsid w:val="00543832"/>
    <w:rsid w:val="00552C80"/>
    <w:rsid w:val="005550C2"/>
    <w:rsid w:val="00560EDA"/>
    <w:rsid w:val="00567348"/>
    <w:rsid w:val="00581094"/>
    <w:rsid w:val="005815C9"/>
    <w:rsid w:val="0058213E"/>
    <w:rsid w:val="00590F83"/>
    <w:rsid w:val="005912EA"/>
    <w:rsid w:val="005945A1"/>
    <w:rsid w:val="00595C51"/>
    <w:rsid w:val="0059764E"/>
    <w:rsid w:val="005A117E"/>
    <w:rsid w:val="005A2583"/>
    <w:rsid w:val="005B0DA0"/>
    <w:rsid w:val="005B6470"/>
    <w:rsid w:val="005B64D4"/>
    <w:rsid w:val="005C6242"/>
    <w:rsid w:val="005D3131"/>
    <w:rsid w:val="005D7B03"/>
    <w:rsid w:val="005F1359"/>
    <w:rsid w:val="006120C9"/>
    <w:rsid w:val="0061732A"/>
    <w:rsid w:val="00627882"/>
    <w:rsid w:val="0064646B"/>
    <w:rsid w:val="00661789"/>
    <w:rsid w:val="0067209F"/>
    <w:rsid w:val="006747EC"/>
    <w:rsid w:val="00677EEB"/>
    <w:rsid w:val="006812CB"/>
    <w:rsid w:val="006815D5"/>
    <w:rsid w:val="00684973"/>
    <w:rsid w:val="00691F0A"/>
    <w:rsid w:val="00693CCE"/>
    <w:rsid w:val="006B4776"/>
    <w:rsid w:val="006C7BD4"/>
    <w:rsid w:val="006D2A4A"/>
    <w:rsid w:val="006F1DE4"/>
    <w:rsid w:val="006F2BB7"/>
    <w:rsid w:val="007040E6"/>
    <w:rsid w:val="00731A19"/>
    <w:rsid w:val="007376AE"/>
    <w:rsid w:val="00741A11"/>
    <w:rsid w:val="007451C9"/>
    <w:rsid w:val="0076514B"/>
    <w:rsid w:val="007661E8"/>
    <w:rsid w:val="0076724C"/>
    <w:rsid w:val="00767E5E"/>
    <w:rsid w:val="00771434"/>
    <w:rsid w:val="00775B6B"/>
    <w:rsid w:val="007863EB"/>
    <w:rsid w:val="007A6788"/>
    <w:rsid w:val="007C1BE8"/>
    <w:rsid w:val="007C7A9F"/>
    <w:rsid w:val="007D4D33"/>
    <w:rsid w:val="007E1D2A"/>
    <w:rsid w:val="007E6DB3"/>
    <w:rsid w:val="008074D8"/>
    <w:rsid w:val="00813EF0"/>
    <w:rsid w:val="00833473"/>
    <w:rsid w:val="008431F2"/>
    <w:rsid w:val="00857A44"/>
    <w:rsid w:val="008606DB"/>
    <w:rsid w:val="00885D58"/>
    <w:rsid w:val="0088625A"/>
    <w:rsid w:val="00897CDE"/>
    <w:rsid w:val="008A0137"/>
    <w:rsid w:val="008A0890"/>
    <w:rsid w:val="008C10AA"/>
    <w:rsid w:val="008C1C27"/>
    <w:rsid w:val="008C6125"/>
    <w:rsid w:val="008C6DEB"/>
    <w:rsid w:val="008D03BF"/>
    <w:rsid w:val="008E2B07"/>
    <w:rsid w:val="008F1F7A"/>
    <w:rsid w:val="008F2F15"/>
    <w:rsid w:val="00901B3F"/>
    <w:rsid w:val="00902FE8"/>
    <w:rsid w:val="00910891"/>
    <w:rsid w:val="00912703"/>
    <w:rsid w:val="00923B78"/>
    <w:rsid w:val="009267E2"/>
    <w:rsid w:val="00942C6F"/>
    <w:rsid w:val="0094312A"/>
    <w:rsid w:val="00946321"/>
    <w:rsid w:val="00946AB3"/>
    <w:rsid w:val="00954042"/>
    <w:rsid w:val="00954ED4"/>
    <w:rsid w:val="009605E4"/>
    <w:rsid w:val="00962189"/>
    <w:rsid w:val="00972B8C"/>
    <w:rsid w:val="00974D96"/>
    <w:rsid w:val="009771E5"/>
    <w:rsid w:val="00984860"/>
    <w:rsid w:val="0098587C"/>
    <w:rsid w:val="00985947"/>
    <w:rsid w:val="0098646A"/>
    <w:rsid w:val="00986CFE"/>
    <w:rsid w:val="00996EBE"/>
    <w:rsid w:val="009A0983"/>
    <w:rsid w:val="009B088F"/>
    <w:rsid w:val="009C11D9"/>
    <w:rsid w:val="009C7741"/>
    <w:rsid w:val="009D30F6"/>
    <w:rsid w:val="009E1852"/>
    <w:rsid w:val="009E3270"/>
    <w:rsid w:val="009F4366"/>
    <w:rsid w:val="00A21F1B"/>
    <w:rsid w:val="00A31A21"/>
    <w:rsid w:val="00A4393E"/>
    <w:rsid w:val="00A43D98"/>
    <w:rsid w:val="00A51BEA"/>
    <w:rsid w:val="00A6266E"/>
    <w:rsid w:val="00A67674"/>
    <w:rsid w:val="00A717DE"/>
    <w:rsid w:val="00A77B80"/>
    <w:rsid w:val="00A8394C"/>
    <w:rsid w:val="00A94F4D"/>
    <w:rsid w:val="00A97E79"/>
    <w:rsid w:val="00AA7912"/>
    <w:rsid w:val="00AB1D78"/>
    <w:rsid w:val="00AB2E7E"/>
    <w:rsid w:val="00AB739C"/>
    <w:rsid w:val="00AB7CC0"/>
    <w:rsid w:val="00AC4792"/>
    <w:rsid w:val="00AC6956"/>
    <w:rsid w:val="00AD0577"/>
    <w:rsid w:val="00AD1FF7"/>
    <w:rsid w:val="00B00B52"/>
    <w:rsid w:val="00B02EE3"/>
    <w:rsid w:val="00B128C0"/>
    <w:rsid w:val="00B156E1"/>
    <w:rsid w:val="00B263F9"/>
    <w:rsid w:val="00B4206E"/>
    <w:rsid w:val="00B46AC4"/>
    <w:rsid w:val="00B475FD"/>
    <w:rsid w:val="00B62643"/>
    <w:rsid w:val="00B741DB"/>
    <w:rsid w:val="00B76AFC"/>
    <w:rsid w:val="00B81A2A"/>
    <w:rsid w:val="00B84261"/>
    <w:rsid w:val="00B86644"/>
    <w:rsid w:val="00B91165"/>
    <w:rsid w:val="00BA5D7A"/>
    <w:rsid w:val="00BA6857"/>
    <w:rsid w:val="00BC49B0"/>
    <w:rsid w:val="00BC686E"/>
    <w:rsid w:val="00BE3D23"/>
    <w:rsid w:val="00BF2C65"/>
    <w:rsid w:val="00C028D0"/>
    <w:rsid w:val="00C119C3"/>
    <w:rsid w:val="00C11BB5"/>
    <w:rsid w:val="00C11D01"/>
    <w:rsid w:val="00C2614F"/>
    <w:rsid w:val="00C30109"/>
    <w:rsid w:val="00C331E5"/>
    <w:rsid w:val="00C40562"/>
    <w:rsid w:val="00C4571E"/>
    <w:rsid w:val="00C5133C"/>
    <w:rsid w:val="00C53FC0"/>
    <w:rsid w:val="00C54293"/>
    <w:rsid w:val="00C83093"/>
    <w:rsid w:val="00CA6389"/>
    <w:rsid w:val="00CB7188"/>
    <w:rsid w:val="00CB7D51"/>
    <w:rsid w:val="00CC2110"/>
    <w:rsid w:val="00CC3B36"/>
    <w:rsid w:val="00CC3CC3"/>
    <w:rsid w:val="00CC5760"/>
    <w:rsid w:val="00CC6D34"/>
    <w:rsid w:val="00CD0A3D"/>
    <w:rsid w:val="00CD2491"/>
    <w:rsid w:val="00CE253A"/>
    <w:rsid w:val="00CE70AF"/>
    <w:rsid w:val="00CF050B"/>
    <w:rsid w:val="00CF7725"/>
    <w:rsid w:val="00D00233"/>
    <w:rsid w:val="00D009EC"/>
    <w:rsid w:val="00D0671D"/>
    <w:rsid w:val="00D23C10"/>
    <w:rsid w:val="00D25FF0"/>
    <w:rsid w:val="00D3361B"/>
    <w:rsid w:val="00D577D6"/>
    <w:rsid w:val="00D6752F"/>
    <w:rsid w:val="00D83395"/>
    <w:rsid w:val="00D86310"/>
    <w:rsid w:val="00D90033"/>
    <w:rsid w:val="00D9313D"/>
    <w:rsid w:val="00DC4936"/>
    <w:rsid w:val="00DC5DAA"/>
    <w:rsid w:val="00DD1398"/>
    <w:rsid w:val="00DD5AD9"/>
    <w:rsid w:val="00DD6B17"/>
    <w:rsid w:val="00DE5109"/>
    <w:rsid w:val="00DE610E"/>
    <w:rsid w:val="00DE7429"/>
    <w:rsid w:val="00E2445D"/>
    <w:rsid w:val="00E26894"/>
    <w:rsid w:val="00E26A7F"/>
    <w:rsid w:val="00E377F3"/>
    <w:rsid w:val="00E4298C"/>
    <w:rsid w:val="00E42E7A"/>
    <w:rsid w:val="00E478D9"/>
    <w:rsid w:val="00E67D62"/>
    <w:rsid w:val="00E715A6"/>
    <w:rsid w:val="00E72290"/>
    <w:rsid w:val="00E743B3"/>
    <w:rsid w:val="00E751F2"/>
    <w:rsid w:val="00E81225"/>
    <w:rsid w:val="00E82704"/>
    <w:rsid w:val="00E8507A"/>
    <w:rsid w:val="00EB6632"/>
    <w:rsid w:val="00EE6F06"/>
    <w:rsid w:val="00F164A9"/>
    <w:rsid w:val="00F20020"/>
    <w:rsid w:val="00F20791"/>
    <w:rsid w:val="00F34096"/>
    <w:rsid w:val="00F37023"/>
    <w:rsid w:val="00F37D59"/>
    <w:rsid w:val="00F41D9C"/>
    <w:rsid w:val="00F521C9"/>
    <w:rsid w:val="00F55228"/>
    <w:rsid w:val="00F63BDF"/>
    <w:rsid w:val="00F6504A"/>
    <w:rsid w:val="00F719CD"/>
    <w:rsid w:val="00F83661"/>
    <w:rsid w:val="00FA19A6"/>
    <w:rsid w:val="00FA4F90"/>
    <w:rsid w:val="00FB04A0"/>
    <w:rsid w:val="00FB2ADD"/>
    <w:rsid w:val="00FB2CA5"/>
    <w:rsid w:val="00FB7E82"/>
    <w:rsid w:val="00FC0141"/>
    <w:rsid w:val="00FC03A1"/>
    <w:rsid w:val="00FC55DC"/>
    <w:rsid w:val="00FC659B"/>
    <w:rsid w:val="00FD0A0D"/>
    <w:rsid w:val="00FE072F"/>
    <w:rsid w:val="00FE5C42"/>
    <w:rsid w:val="00FF0562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  <w14:docId w14:val="1430E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A0"/>
  </w:style>
  <w:style w:type="paragraph" w:styleId="Heading1">
    <w:name w:val="heading 1"/>
    <w:basedOn w:val="Normal"/>
    <w:next w:val="Normal"/>
    <w:link w:val="Heading1Char"/>
    <w:uiPriority w:val="9"/>
    <w:qFormat/>
    <w:rsid w:val="0059764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64E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paragraph" w:styleId="ListParagraph">
    <w:name w:val="List Paragraph"/>
    <w:basedOn w:val="Normal"/>
    <w:uiPriority w:val="99"/>
    <w:qFormat/>
    <w:rsid w:val="00CB7D51"/>
    <w:pPr>
      <w:ind w:left="720"/>
    </w:pPr>
    <w:rPr>
      <w:rFonts w:ascii="Calibri" w:eastAsia="Calibri" w:hAnsi="Calibri" w:cs="Calibri"/>
      <w:lang w:val="en-GB"/>
    </w:rPr>
  </w:style>
  <w:style w:type="paragraph" w:customStyle="1" w:styleId="Default">
    <w:name w:val="Default"/>
    <w:rsid w:val="00003F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328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4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335DF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5D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35D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65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E5"/>
  </w:style>
  <w:style w:type="paragraph" w:styleId="Footer">
    <w:name w:val="footer"/>
    <w:basedOn w:val="Normal"/>
    <w:link w:val="FooterChar"/>
    <w:uiPriority w:val="99"/>
    <w:unhideWhenUsed/>
    <w:rsid w:val="002165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E5"/>
  </w:style>
  <w:style w:type="character" w:styleId="CommentReference">
    <w:name w:val="annotation reference"/>
    <w:basedOn w:val="DefaultParagraphFont"/>
    <w:uiPriority w:val="99"/>
    <w:semiHidden/>
    <w:unhideWhenUsed/>
    <w:rsid w:val="00FD0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0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7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A0"/>
  </w:style>
  <w:style w:type="paragraph" w:styleId="Heading1">
    <w:name w:val="heading 1"/>
    <w:basedOn w:val="Normal"/>
    <w:next w:val="Normal"/>
    <w:link w:val="Heading1Char"/>
    <w:uiPriority w:val="9"/>
    <w:qFormat/>
    <w:rsid w:val="0059764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64E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paragraph" w:styleId="ListParagraph">
    <w:name w:val="List Paragraph"/>
    <w:basedOn w:val="Normal"/>
    <w:uiPriority w:val="99"/>
    <w:qFormat/>
    <w:rsid w:val="00CB7D51"/>
    <w:pPr>
      <w:ind w:left="720"/>
    </w:pPr>
    <w:rPr>
      <w:rFonts w:ascii="Calibri" w:eastAsia="Calibri" w:hAnsi="Calibri" w:cs="Calibri"/>
      <w:lang w:val="en-GB"/>
    </w:rPr>
  </w:style>
  <w:style w:type="paragraph" w:customStyle="1" w:styleId="Default">
    <w:name w:val="Default"/>
    <w:rsid w:val="00003F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328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4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335DF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5D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35D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65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E5"/>
  </w:style>
  <w:style w:type="paragraph" w:styleId="Footer">
    <w:name w:val="footer"/>
    <w:basedOn w:val="Normal"/>
    <w:link w:val="FooterChar"/>
    <w:uiPriority w:val="99"/>
    <w:unhideWhenUsed/>
    <w:rsid w:val="002165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E5"/>
  </w:style>
  <w:style w:type="character" w:styleId="CommentReference">
    <w:name w:val="annotation reference"/>
    <w:basedOn w:val="DefaultParagraphFont"/>
    <w:uiPriority w:val="99"/>
    <w:semiHidden/>
    <w:unhideWhenUsed/>
    <w:rsid w:val="00FD0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0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7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6267">
                  <w:marLeft w:val="0"/>
                  <w:marRight w:val="0"/>
                  <w:marTop w:val="0"/>
                  <w:marBottom w:val="0"/>
                  <w:divBdr>
                    <w:top w:val="single" w:sz="6" w:space="5" w:color="A7B3B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9" Type="http://schemas.openxmlformats.org/officeDocument/2006/relationships/header" Target="header2.xml"/><Relationship Id="rId3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1290</Words>
  <Characters>7354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stanfiej</dc:creator>
  <cp:lastModifiedBy>Agathe</cp:lastModifiedBy>
  <cp:revision>7</cp:revision>
  <cp:lastPrinted>2014-02-21T10:19:00Z</cp:lastPrinted>
  <dcterms:created xsi:type="dcterms:W3CDTF">2014-02-24T16:03:00Z</dcterms:created>
  <dcterms:modified xsi:type="dcterms:W3CDTF">2014-03-05T15:09:00Z</dcterms:modified>
</cp:coreProperties>
</file>