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08790" w14:textId="77777777" w:rsidR="00EC5C30" w:rsidRDefault="00EC5C30" w:rsidP="00EC5C30">
      <w:pPr>
        <w:rPr>
          <w:rFonts w:ascii="Arial" w:hAnsi="Arial" w:cs="Arial"/>
          <w:b/>
        </w:rPr>
      </w:pPr>
    </w:p>
    <w:p w14:paraId="0D8D6034" w14:textId="77777777" w:rsidR="00EC5C30" w:rsidRPr="004321F5" w:rsidRDefault="00EC5C30" w:rsidP="00EC5C30">
      <w:pPr>
        <w:pBdr>
          <w:top w:val="single" w:sz="4" w:space="1" w:color="auto"/>
        </w:pBdr>
      </w:pPr>
      <w:r w:rsidRPr="004321F5">
        <w:rPr>
          <w:rFonts w:ascii="Arial" w:hAnsi="Arial" w:cs="Arial"/>
          <w:b/>
        </w:rPr>
        <w:t>Advisory Board to the CTCN</w:t>
      </w:r>
      <w:r w:rsidRPr="004321F5">
        <w:rPr>
          <w:rFonts w:ascii="Arial" w:hAnsi="Arial" w:cs="Arial"/>
          <w:b/>
        </w:rPr>
        <w:tab/>
      </w:r>
      <w:r w:rsidRPr="004321F5">
        <w:rPr>
          <w:rFonts w:ascii="Arial" w:hAnsi="Arial" w:cs="Arial"/>
          <w:b/>
        </w:rPr>
        <w:tab/>
      </w:r>
      <w:r w:rsidRPr="004321F5">
        <w:rPr>
          <w:rFonts w:ascii="Arial" w:hAnsi="Arial" w:cs="Arial"/>
          <w:b/>
        </w:rPr>
        <w:tab/>
      </w:r>
      <w:r w:rsidRPr="004321F5">
        <w:rPr>
          <w:rFonts w:ascii="Arial" w:hAnsi="Arial" w:cs="Arial"/>
          <w:b/>
        </w:rPr>
        <w:tab/>
      </w:r>
      <w:r w:rsidRPr="004321F5">
        <w:rPr>
          <w:rFonts w:ascii="Arial" w:hAnsi="Arial" w:cs="Arial"/>
          <w:b/>
        </w:rPr>
        <w:tab/>
      </w:r>
      <w:r w:rsidRPr="004321F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4321F5">
        <w:rPr>
          <w:rFonts w:ascii="Arial" w:hAnsi="Arial" w:cs="Arial"/>
          <w:b/>
        </w:rPr>
        <w:t xml:space="preserve">19-21 March 2014     </w:t>
      </w:r>
    </w:p>
    <w:p w14:paraId="03B069E9" w14:textId="0793B76D" w:rsidR="00EC5C30" w:rsidRPr="0037190D" w:rsidRDefault="00EC5C30" w:rsidP="00EC5C30">
      <w:pPr>
        <w:rPr>
          <w:rFonts w:ascii="Arial" w:hAnsi="Arial" w:cs="Arial"/>
          <w:sz w:val="20"/>
          <w:szCs w:val="20"/>
        </w:rPr>
      </w:pPr>
      <w:r w:rsidRPr="004321F5">
        <w:rPr>
          <w:rFonts w:ascii="Arial" w:hAnsi="Arial" w:cs="Arial"/>
          <w:sz w:val="20"/>
          <w:szCs w:val="20"/>
        </w:rPr>
        <w:t xml:space="preserve">Third meeting </w:t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0F1611">
        <w:rPr>
          <w:rFonts w:ascii="Arial" w:hAnsi="Arial" w:cs="Arial"/>
          <w:sz w:val="20"/>
          <w:szCs w:val="20"/>
        </w:rPr>
        <w:t>AB/2014/3/3</w:t>
      </w:r>
    </w:p>
    <w:p w14:paraId="24C425F2" w14:textId="77777777" w:rsidR="00EC5C30" w:rsidRDefault="00EC5C30" w:rsidP="00F723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AFB89E1" w14:textId="77777777" w:rsidR="00CD0A3D" w:rsidRDefault="003A24CB" w:rsidP="00F723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Annex I</w:t>
      </w:r>
      <w:r w:rsidR="002C5C11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CD0A3D" w:rsidRPr="00CD0A3D">
        <w:rPr>
          <w:rFonts w:ascii="Calibri" w:hAnsi="Calibri" w:cs="Calibri"/>
          <w:b/>
          <w:bCs/>
          <w:color w:val="000000"/>
          <w:sz w:val="28"/>
          <w:szCs w:val="28"/>
        </w:rPr>
        <w:t>National Designated Entities (NDEs) for the CTCN</w:t>
      </w:r>
    </w:p>
    <w:p w14:paraId="0EE53DB4" w14:textId="77777777" w:rsidR="002C5C11" w:rsidRPr="00194615" w:rsidRDefault="002C5C11" w:rsidP="00CD0A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B7CE861" w14:textId="77777777" w:rsidR="001656BC" w:rsidRDefault="00CD0A3D" w:rsidP="00194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</w:rPr>
      </w:pPr>
      <w:r w:rsidRPr="00CD0A3D">
        <w:rPr>
          <w:rFonts w:cs="Calibri"/>
          <w:i/>
          <w:iCs/>
          <w:color w:val="000000"/>
        </w:rPr>
        <w:t>The following description of possible</w:t>
      </w:r>
      <w:r w:rsidR="001656BC">
        <w:rPr>
          <w:rFonts w:cs="Calibri"/>
          <w:i/>
          <w:iCs/>
          <w:color w:val="000000"/>
        </w:rPr>
        <w:t xml:space="preserve"> </w:t>
      </w:r>
      <w:r w:rsidR="001656BC" w:rsidRPr="00CD0A3D">
        <w:rPr>
          <w:rFonts w:cs="Calibri"/>
          <w:i/>
          <w:iCs/>
          <w:color w:val="000000"/>
        </w:rPr>
        <w:t xml:space="preserve">roles </w:t>
      </w:r>
      <w:r w:rsidR="001656BC">
        <w:rPr>
          <w:rFonts w:cs="Calibri"/>
          <w:i/>
          <w:iCs/>
          <w:color w:val="000000"/>
        </w:rPr>
        <w:t>of</w:t>
      </w:r>
      <w:r w:rsidRPr="00CD0A3D">
        <w:rPr>
          <w:rFonts w:cs="Calibri"/>
          <w:i/>
          <w:iCs/>
          <w:color w:val="000000"/>
        </w:rPr>
        <w:t xml:space="preserve"> </w:t>
      </w:r>
      <w:r w:rsidR="00A26B48">
        <w:rPr>
          <w:rFonts w:cs="Calibri"/>
          <w:i/>
          <w:iCs/>
          <w:color w:val="000000"/>
        </w:rPr>
        <w:t>Annex I</w:t>
      </w:r>
      <w:r w:rsidR="00520F79">
        <w:rPr>
          <w:rFonts w:cs="Calibri"/>
          <w:i/>
          <w:iCs/>
          <w:color w:val="000000"/>
        </w:rPr>
        <w:t xml:space="preserve"> </w:t>
      </w:r>
      <w:r w:rsidRPr="00CD0A3D">
        <w:rPr>
          <w:rFonts w:cs="Calibri"/>
          <w:i/>
          <w:iCs/>
          <w:color w:val="000000"/>
        </w:rPr>
        <w:t>NDE</w:t>
      </w:r>
      <w:r w:rsidR="001656BC">
        <w:rPr>
          <w:rFonts w:cs="Calibri"/>
          <w:i/>
          <w:iCs/>
          <w:color w:val="000000"/>
        </w:rPr>
        <w:t>s</w:t>
      </w:r>
      <w:r w:rsidRPr="00CD0A3D">
        <w:rPr>
          <w:rFonts w:cs="Calibri"/>
          <w:i/>
          <w:iCs/>
          <w:color w:val="000000"/>
        </w:rPr>
        <w:t xml:space="preserve"> has been developed by the </w:t>
      </w:r>
      <w:r w:rsidR="005545C1">
        <w:rPr>
          <w:rFonts w:cs="Calibri"/>
          <w:i/>
          <w:iCs/>
          <w:color w:val="000000"/>
        </w:rPr>
        <w:t>Climate Technology Centre (</w:t>
      </w:r>
      <w:r w:rsidRPr="00CD0A3D">
        <w:rPr>
          <w:rFonts w:cs="Calibri"/>
          <w:i/>
          <w:iCs/>
          <w:color w:val="000000"/>
        </w:rPr>
        <w:t>CTC</w:t>
      </w:r>
      <w:r w:rsidR="005545C1">
        <w:rPr>
          <w:rFonts w:cs="Calibri"/>
          <w:i/>
          <w:iCs/>
          <w:color w:val="000000"/>
        </w:rPr>
        <w:t>)</w:t>
      </w:r>
      <w:r w:rsidRPr="00CD0A3D">
        <w:rPr>
          <w:rFonts w:cs="Calibri"/>
          <w:i/>
          <w:iCs/>
          <w:color w:val="000000"/>
        </w:rPr>
        <w:t xml:space="preserve"> as a guide. It represents a “work in progress” </w:t>
      </w:r>
      <w:r w:rsidR="001656BC">
        <w:rPr>
          <w:rFonts w:cs="Calibri"/>
          <w:i/>
          <w:iCs/>
          <w:color w:val="000000"/>
        </w:rPr>
        <w:t xml:space="preserve">and provides some thoughts and suggestions </w:t>
      </w:r>
      <w:r w:rsidR="003A24CB">
        <w:rPr>
          <w:rFonts w:cs="Calibri"/>
          <w:i/>
          <w:iCs/>
          <w:color w:val="000000"/>
        </w:rPr>
        <w:t>that</w:t>
      </w:r>
      <w:r w:rsidR="001656BC">
        <w:rPr>
          <w:rFonts w:cs="Calibri"/>
          <w:i/>
          <w:iCs/>
          <w:color w:val="000000"/>
        </w:rPr>
        <w:t xml:space="preserve"> countries might find helpful in defining the roles of their NDEs.</w:t>
      </w:r>
    </w:p>
    <w:p w14:paraId="51EB7760" w14:textId="77777777" w:rsidR="002C5C11" w:rsidRPr="00CD0A3D" w:rsidRDefault="002C5C11" w:rsidP="00194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14F892C" w14:textId="77777777" w:rsidR="002C5C11" w:rsidRPr="00F22CE7" w:rsidRDefault="001656BC" w:rsidP="00F22CE7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cs="Calibri"/>
          <w:color w:val="000000"/>
          <w:sz w:val="24"/>
          <w:szCs w:val="24"/>
        </w:rPr>
      </w:pPr>
      <w:r w:rsidRPr="00F22CE7">
        <w:rPr>
          <w:rFonts w:cs="Calibri"/>
          <w:b/>
          <w:bCs/>
          <w:color w:val="000000"/>
          <w:sz w:val="24"/>
          <w:szCs w:val="24"/>
        </w:rPr>
        <w:t>1. Purpose of this note</w:t>
      </w:r>
      <w:r w:rsidR="000C0899" w:rsidRPr="00F22CE7"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734E3B04" w14:textId="77777777" w:rsidR="005C2EFA" w:rsidRDefault="00CD0A3D" w:rsidP="0019461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Cs/>
          <w:color w:val="000000"/>
        </w:rPr>
      </w:pPr>
      <w:r w:rsidRPr="00B128C0">
        <w:rPr>
          <w:rFonts w:cs="Calibri"/>
          <w:bCs/>
          <w:color w:val="000000"/>
        </w:rPr>
        <w:t>The Climate Technology Centre and Network (CTCN) is th</w:t>
      </w:r>
      <w:r w:rsidR="00D86F0A">
        <w:rPr>
          <w:rFonts w:cs="Calibri"/>
          <w:bCs/>
          <w:color w:val="000000"/>
        </w:rPr>
        <w:t xml:space="preserve">e operational arm of the </w:t>
      </w:r>
      <w:r w:rsidRPr="00B128C0">
        <w:rPr>
          <w:rFonts w:cs="Calibri"/>
          <w:bCs/>
          <w:color w:val="000000"/>
        </w:rPr>
        <w:t>Technology Mechanism</w:t>
      </w:r>
      <w:r w:rsidR="00D86F0A">
        <w:rPr>
          <w:rFonts w:cs="Calibri"/>
          <w:bCs/>
          <w:color w:val="000000"/>
        </w:rPr>
        <w:t xml:space="preserve"> of the United Nations Framework Convention on Climate Change (UNFCCC)</w:t>
      </w:r>
      <w:r w:rsidRPr="00B128C0">
        <w:rPr>
          <w:rFonts w:cs="Calibri"/>
          <w:bCs/>
          <w:color w:val="000000"/>
        </w:rPr>
        <w:t xml:space="preserve"> and it is hosted and managed by UNEP in collaboration with UNIDO and with the support of 11 </w:t>
      </w:r>
      <w:proofErr w:type="spellStart"/>
      <w:r w:rsidRPr="00B128C0">
        <w:rPr>
          <w:rFonts w:cs="Calibri"/>
          <w:bCs/>
          <w:color w:val="000000"/>
        </w:rPr>
        <w:t>Centres</w:t>
      </w:r>
      <w:proofErr w:type="spellEnd"/>
      <w:r w:rsidRPr="00B128C0">
        <w:rPr>
          <w:rFonts w:cs="Calibri"/>
          <w:bCs/>
          <w:color w:val="000000"/>
        </w:rPr>
        <w:t xml:space="preserve"> of Excellence located in developing and developed countries. </w:t>
      </w:r>
    </w:p>
    <w:p w14:paraId="1B3B0716" w14:textId="77777777" w:rsidR="005C2EFA" w:rsidRDefault="005C2EFA" w:rsidP="0019461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National Designated Entities</w:t>
      </w:r>
      <w:r w:rsidRPr="00CD0A3D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(</w:t>
      </w:r>
      <w:r w:rsidRPr="00CD0A3D">
        <w:rPr>
          <w:rFonts w:cs="Calibri"/>
          <w:color w:val="000000"/>
        </w:rPr>
        <w:t>NDEs</w:t>
      </w:r>
      <w:r>
        <w:rPr>
          <w:rFonts w:cs="Calibri"/>
          <w:color w:val="000000"/>
        </w:rPr>
        <w:t xml:space="preserve">) </w:t>
      </w:r>
      <w:r w:rsidRPr="004004B6">
        <w:rPr>
          <w:rFonts w:cs="Calibri"/>
          <w:color w:val="000000"/>
        </w:rPr>
        <w:t>are the bodies granted responsibility by each Party to manage technology collaboration activities supported through the CTCN</w:t>
      </w:r>
      <w:r>
        <w:rPr>
          <w:rFonts w:cs="Calibri"/>
          <w:color w:val="000000"/>
        </w:rPr>
        <w:t xml:space="preserve">. </w:t>
      </w:r>
      <w:r w:rsidR="004C1A9F">
        <w:rPr>
          <w:rFonts w:cs="Calibri"/>
          <w:bCs/>
          <w:color w:val="000000"/>
        </w:rPr>
        <w:t xml:space="preserve">In its decision </w:t>
      </w:r>
      <w:r w:rsidR="004C1A9F">
        <w:rPr>
          <w:rFonts w:cs="Calibri"/>
          <w:color w:val="000000"/>
        </w:rPr>
        <w:t>2/CP.18, the</w:t>
      </w:r>
      <w:r w:rsidR="004C1A9F">
        <w:rPr>
          <w:rFonts w:cs="Calibri"/>
          <w:bCs/>
          <w:color w:val="000000"/>
        </w:rPr>
        <w:t xml:space="preserve"> </w:t>
      </w:r>
      <w:r w:rsidR="004C1A9F">
        <w:rPr>
          <w:rFonts w:cs="Calibri"/>
          <w:color w:val="000000"/>
        </w:rPr>
        <w:t xml:space="preserve">Conference of Parties (COP) of the UNFCCC - </w:t>
      </w:r>
      <w:r w:rsidR="004C1A9F" w:rsidRPr="00B60883">
        <w:rPr>
          <w:rFonts w:cs="Calibri"/>
          <w:i/>
          <w:color w:val="000000"/>
        </w:rPr>
        <w:t>“invites Parties to nominate their national designated entities for the development and transfer of technologies, in order to facilitate the operationalization of the CTC”</w:t>
      </w:r>
      <w:r w:rsidR="00B60883">
        <w:rPr>
          <w:rFonts w:cs="Calibri"/>
          <w:color w:val="000000"/>
        </w:rPr>
        <w:t>.</w:t>
      </w:r>
      <w:r w:rsidR="004004B6">
        <w:rPr>
          <w:rFonts w:cs="Calibri"/>
          <w:color w:val="000000"/>
        </w:rPr>
        <w:t xml:space="preserve"> </w:t>
      </w:r>
    </w:p>
    <w:p w14:paraId="428B8992" w14:textId="77777777" w:rsidR="005C2EFA" w:rsidRPr="009E7B1F" w:rsidRDefault="004004B6" w:rsidP="00194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The nomination of </w:t>
      </w:r>
      <w:r w:rsidR="005C2EFA">
        <w:rPr>
          <w:rFonts w:cs="Calibri"/>
          <w:color w:val="000000"/>
        </w:rPr>
        <w:t xml:space="preserve">NDEs </w:t>
      </w:r>
      <w:r>
        <w:rPr>
          <w:rFonts w:cs="Calibri"/>
          <w:color w:val="000000"/>
        </w:rPr>
        <w:t xml:space="preserve">is thus a </w:t>
      </w:r>
      <w:r w:rsidRPr="00CD0A3D">
        <w:rPr>
          <w:rFonts w:cs="Calibri"/>
          <w:color w:val="000000"/>
        </w:rPr>
        <w:t xml:space="preserve">necessary step </w:t>
      </w:r>
      <w:r w:rsidR="000A2881">
        <w:rPr>
          <w:rFonts w:cs="Calibri"/>
          <w:color w:val="000000"/>
        </w:rPr>
        <w:t xml:space="preserve">for </w:t>
      </w:r>
      <w:r>
        <w:rPr>
          <w:rFonts w:cs="Calibri"/>
          <w:color w:val="000000"/>
        </w:rPr>
        <w:t xml:space="preserve">Parties to participate in the CTCN process. </w:t>
      </w:r>
      <w:r w:rsidR="005C2EFA">
        <w:rPr>
          <w:rFonts w:cs="Calibri"/>
          <w:color w:val="000000"/>
        </w:rPr>
        <w:t xml:space="preserve">Nonetheless, </w:t>
      </w:r>
      <w:r w:rsidR="005C2EFA" w:rsidRPr="00CD0A3D">
        <w:rPr>
          <w:rFonts w:cs="Calibri"/>
          <w:color w:val="000000"/>
        </w:rPr>
        <w:t xml:space="preserve">COP decisions </w:t>
      </w:r>
      <w:r w:rsidR="005C2EFA">
        <w:rPr>
          <w:rFonts w:cs="Calibri"/>
          <w:color w:val="000000"/>
        </w:rPr>
        <w:t>provide only limited guidance on the roles of</w:t>
      </w:r>
      <w:r w:rsidR="005C2EFA" w:rsidRPr="000A2881">
        <w:rPr>
          <w:rFonts w:cs="Calibri"/>
          <w:color w:val="000000"/>
        </w:rPr>
        <w:t xml:space="preserve"> </w:t>
      </w:r>
      <w:r w:rsidR="005C2EFA">
        <w:rPr>
          <w:rFonts w:cs="Calibri"/>
          <w:color w:val="000000"/>
        </w:rPr>
        <w:t xml:space="preserve">NDEs, leaving these issues </w:t>
      </w:r>
      <w:r w:rsidR="005C2EFA" w:rsidRPr="00CD0A3D">
        <w:rPr>
          <w:rFonts w:cs="Calibri"/>
          <w:color w:val="000000"/>
        </w:rPr>
        <w:t xml:space="preserve">to </w:t>
      </w:r>
      <w:r w:rsidR="005C2EFA">
        <w:rPr>
          <w:rFonts w:cs="Calibri"/>
          <w:color w:val="000000"/>
        </w:rPr>
        <w:t>each</w:t>
      </w:r>
      <w:r w:rsidR="005C2EFA" w:rsidRPr="00CD0A3D">
        <w:rPr>
          <w:rFonts w:cs="Calibri"/>
          <w:color w:val="000000"/>
        </w:rPr>
        <w:t xml:space="preserve"> Party to determine.</w:t>
      </w:r>
      <w:r w:rsidR="005C2EFA">
        <w:rPr>
          <w:rFonts w:cs="Calibri"/>
          <w:color w:val="000000"/>
        </w:rPr>
        <w:t xml:space="preserve"> This note is intended</w:t>
      </w:r>
      <w:r w:rsidR="005C2EFA" w:rsidRPr="00CD0A3D">
        <w:rPr>
          <w:rFonts w:cs="Calibri"/>
          <w:color w:val="000000"/>
        </w:rPr>
        <w:t xml:space="preserve"> to provide some</w:t>
      </w:r>
      <w:r w:rsidR="005C2EFA">
        <w:rPr>
          <w:rFonts w:cs="Calibri"/>
          <w:color w:val="000000"/>
        </w:rPr>
        <w:t xml:space="preserve"> </w:t>
      </w:r>
      <w:r w:rsidR="005C2EFA" w:rsidRPr="00CD0A3D">
        <w:rPr>
          <w:rFonts w:cs="Calibri"/>
          <w:color w:val="000000"/>
        </w:rPr>
        <w:t xml:space="preserve">thoughts </w:t>
      </w:r>
      <w:r w:rsidR="005C2EFA" w:rsidRPr="00C028D0">
        <w:rPr>
          <w:rFonts w:cs="Calibri"/>
          <w:color w:val="000000"/>
        </w:rPr>
        <w:t xml:space="preserve">on the tasks that </w:t>
      </w:r>
      <w:r w:rsidR="005C2EFA" w:rsidRPr="00CD0A3D">
        <w:rPr>
          <w:rFonts w:cs="Calibri"/>
          <w:color w:val="000000"/>
        </w:rPr>
        <w:t>NDEs</w:t>
      </w:r>
      <w:r w:rsidR="00F70739">
        <w:rPr>
          <w:rFonts w:cs="Calibri"/>
          <w:color w:val="000000"/>
        </w:rPr>
        <w:t xml:space="preserve"> from c</w:t>
      </w:r>
      <w:r w:rsidR="00A26B48">
        <w:rPr>
          <w:rFonts w:cs="Calibri"/>
          <w:color w:val="000000"/>
        </w:rPr>
        <w:t xml:space="preserve">ountries </w:t>
      </w:r>
      <w:r w:rsidR="005545C1">
        <w:rPr>
          <w:rFonts w:cs="Calibri"/>
          <w:color w:val="000000"/>
        </w:rPr>
        <w:t>from the UNFCCC</w:t>
      </w:r>
      <w:r w:rsidR="00A26B48">
        <w:rPr>
          <w:rFonts w:cs="Calibri"/>
          <w:color w:val="000000"/>
        </w:rPr>
        <w:t xml:space="preserve"> Annex I</w:t>
      </w:r>
      <w:r w:rsidR="00AB0EB7">
        <w:rPr>
          <w:rFonts w:cs="Calibri"/>
          <w:color w:val="000000"/>
        </w:rPr>
        <w:t xml:space="preserve"> -</w:t>
      </w:r>
      <w:r w:rsidR="00A26B48">
        <w:rPr>
          <w:rFonts w:cs="Calibri"/>
          <w:color w:val="000000"/>
        </w:rPr>
        <w:t xml:space="preserve"> Annex I</w:t>
      </w:r>
      <w:r w:rsidR="00395636">
        <w:rPr>
          <w:rFonts w:cs="Calibri"/>
          <w:color w:val="000000"/>
        </w:rPr>
        <w:t xml:space="preserve"> NDEs - </w:t>
      </w:r>
      <w:r w:rsidR="005C2EFA">
        <w:rPr>
          <w:rFonts w:cs="Calibri"/>
          <w:color w:val="000000"/>
        </w:rPr>
        <w:t xml:space="preserve">could perform </w:t>
      </w:r>
      <w:r w:rsidR="005C2EFA">
        <w:rPr>
          <w:rFonts w:cs="Times New Roman"/>
          <w:iCs/>
        </w:rPr>
        <w:t xml:space="preserve">to facilitate </w:t>
      </w:r>
      <w:r w:rsidR="005C2EFA" w:rsidRPr="00C028D0">
        <w:rPr>
          <w:rFonts w:cs="Times New Roman"/>
          <w:iCs/>
        </w:rPr>
        <w:t>collab</w:t>
      </w:r>
      <w:r w:rsidR="005C2EFA">
        <w:rPr>
          <w:rFonts w:cs="Times New Roman"/>
          <w:iCs/>
        </w:rPr>
        <w:t>oration between their</w:t>
      </w:r>
      <w:r w:rsidR="005C2EFA" w:rsidRPr="00C028D0">
        <w:rPr>
          <w:rFonts w:cs="Times New Roman"/>
          <w:iCs/>
        </w:rPr>
        <w:t xml:space="preserve"> countries, the CTCN, and </w:t>
      </w:r>
      <w:r w:rsidR="005545C1">
        <w:rPr>
          <w:rFonts w:cs="Times New Roman"/>
          <w:iCs/>
        </w:rPr>
        <w:t>Non-Annex I</w:t>
      </w:r>
      <w:r w:rsidR="005C2EFA" w:rsidRPr="00C028D0">
        <w:rPr>
          <w:rFonts w:cs="Times New Roman"/>
          <w:iCs/>
        </w:rPr>
        <w:t xml:space="preserve"> NDEs. </w:t>
      </w:r>
    </w:p>
    <w:p w14:paraId="7E2970D0" w14:textId="77777777" w:rsidR="009E7B1F" w:rsidRDefault="009E7B1F" w:rsidP="00194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6D9E668" w14:textId="77777777" w:rsidR="005C2EFA" w:rsidRPr="00F22CE7" w:rsidRDefault="00E51EDC" w:rsidP="00F22CE7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2. Role of Annex I</w:t>
      </w:r>
      <w:r w:rsidR="005C2EFA" w:rsidRPr="00F22CE7">
        <w:rPr>
          <w:rFonts w:cs="Calibri"/>
          <w:b/>
          <w:bCs/>
          <w:color w:val="000000"/>
          <w:sz w:val="24"/>
          <w:szCs w:val="24"/>
        </w:rPr>
        <w:t xml:space="preserve"> NDEs</w:t>
      </w:r>
    </w:p>
    <w:p w14:paraId="411FDAAC" w14:textId="72E9D6BC" w:rsidR="00514795" w:rsidRDefault="00200DBA" w:rsidP="00C0012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The success of the CTCN will greatly d</w:t>
      </w:r>
      <w:r w:rsidR="002133F0">
        <w:rPr>
          <w:rFonts w:cs="Calibri"/>
          <w:color w:val="000000"/>
        </w:rPr>
        <w:t xml:space="preserve">epend on the involvement of </w:t>
      </w:r>
      <w:r>
        <w:rPr>
          <w:rFonts w:cs="Calibri"/>
          <w:color w:val="000000"/>
        </w:rPr>
        <w:t>Parties’ NDEs,</w:t>
      </w:r>
      <w:r w:rsidR="00D86F0A">
        <w:rPr>
          <w:rFonts w:cs="Calibri"/>
          <w:color w:val="000000"/>
        </w:rPr>
        <w:t xml:space="preserve"> both from Annex </w:t>
      </w:r>
      <w:r w:rsidR="005545C1">
        <w:rPr>
          <w:rFonts w:cs="Calibri"/>
          <w:color w:val="000000"/>
        </w:rPr>
        <w:t>I</w:t>
      </w:r>
      <w:r w:rsidR="00D86F0A">
        <w:rPr>
          <w:rFonts w:cs="Calibri"/>
          <w:color w:val="000000"/>
        </w:rPr>
        <w:t xml:space="preserve"> and Non-</w:t>
      </w:r>
      <w:r w:rsidR="00A26B48">
        <w:rPr>
          <w:rFonts w:cs="Calibri"/>
          <w:color w:val="000000"/>
        </w:rPr>
        <w:t>Annex I</w:t>
      </w:r>
      <w:r w:rsidR="00F70739">
        <w:rPr>
          <w:rFonts w:cs="Calibri"/>
          <w:color w:val="000000"/>
        </w:rPr>
        <w:t xml:space="preserve"> countries. </w:t>
      </w:r>
      <w:r w:rsidR="00395636">
        <w:rPr>
          <w:rFonts w:cs="Calibri"/>
          <w:color w:val="000000"/>
        </w:rPr>
        <w:t xml:space="preserve">Proactive NDEs will </w:t>
      </w:r>
      <w:r w:rsidR="00D86F0A">
        <w:rPr>
          <w:rFonts w:cs="Calibri"/>
          <w:color w:val="000000"/>
        </w:rPr>
        <w:t>act as leaders to</w:t>
      </w:r>
      <w:r w:rsidR="00514795">
        <w:rPr>
          <w:rFonts w:cs="Calibri"/>
          <w:color w:val="000000"/>
        </w:rPr>
        <w:t xml:space="preserve"> accelerate engagement of stakeholders working on climate change issues, and to nurture and enhance collaboration among them. By doing so, NDEs will significantly increase</w:t>
      </w:r>
      <w:r w:rsidR="000B2475">
        <w:rPr>
          <w:rFonts w:cs="Calibri"/>
          <w:color w:val="000000"/>
        </w:rPr>
        <w:t xml:space="preserve"> the chances of countries to reach their goals</w:t>
      </w:r>
      <w:r w:rsidR="00514795">
        <w:rPr>
          <w:rFonts w:cs="Calibri"/>
          <w:color w:val="000000"/>
        </w:rPr>
        <w:t xml:space="preserve"> </w:t>
      </w:r>
      <w:r w:rsidR="000B2475">
        <w:rPr>
          <w:rFonts w:cs="Calibri"/>
          <w:color w:val="000000"/>
        </w:rPr>
        <w:t>of reducing</w:t>
      </w:r>
      <w:r w:rsidR="00514795">
        <w:rPr>
          <w:rFonts w:cs="Calibri"/>
          <w:color w:val="000000"/>
        </w:rPr>
        <w:t xml:space="preserve"> greenhouse gases emissions and</w:t>
      </w:r>
      <w:r w:rsidR="00972EBA">
        <w:rPr>
          <w:rFonts w:cs="Calibri"/>
          <w:color w:val="000000"/>
        </w:rPr>
        <w:t xml:space="preserve"> </w:t>
      </w:r>
      <w:r w:rsidR="003A05EE">
        <w:rPr>
          <w:rFonts w:cs="Calibri"/>
          <w:color w:val="000000"/>
        </w:rPr>
        <w:t xml:space="preserve">to </w:t>
      </w:r>
      <w:r w:rsidR="00972EBA">
        <w:rPr>
          <w:rFonts w:cs="Calibri"/>
          <w:color w:val="000000"/>
        </w:rPr>
        <w:t>strengthen</w:t>
      </w:r>
      <w:r w:rsidR="000B2475">
        <w:rPr>
          <w:rFonts w:cs="Calibri"/>
          <w:color w:val="000000"/>
        </w:rPr>
        <w:t xml:space="preserve"> their</w:t>
      </w:r>
      <w:r w:rsidR="00514795">
        <w:rPr>
          <w:rFonts w:cs="Calibri"/>
          <w:color w:val="000000"/>
        </w:rPr>
        <w:t xml:space="preserve"> </w:t>
      </w:r>
      <w:r w:rsidR="000B2475">
        <w:rPr>
          <w:rFonts w:cs="Calibri"/>
          <w:color w:val="000000"/>
        </w:rPr>
        <w:t>resilience</w:t>
      </w:r>
      <w:r w:rsidR="00514795">
        <w:rPr>
          <w:rFonts w:cs="Calibri"/>
          <w:color w:val="000000"/>
        </w:rPr>
        <w:t xml:space="preserve"> to climate change effects.</w:t>
      </w:r>
    </w:p>
    <w:p w14:paraId="5AA05C50" w14:textId="1A53F7C6" w:rsidR="00C77270" w:rsidRDefault="002540FC" w:rsidP="0019461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Therefore, </w:t>
      </w:r>
      <w:r w:rsidR="00A26B48">
        <w:rPr>
          <w:rFonts w:cs="Calibri"/>
          <w:color w:val="000000"/>
        </w:rPr>
        <w:t>Annex I</w:t>
      </w:r>
      <w:r w:rsidR="00F70739">
        <w:rPr>
          <w:rFonts w:cs="Calibri"/>
          <w:color w:val="000000"/>
        </w:rPr>
        <w:t xml:space="preserve"> NDEs will play a key role in linking the </w:t>
      </w:r>
      <w:r>
        <w:rPr>
          <w:rFonts w:cs="Calibri"/>
          <w:color w:val="000000"/>
        </w:rPr>
        <w:t>efforts</w:t>
      </w:r>
      <w:r w:rsidR="00F70739">
        <w:rPr>
          <w:rFonts w:cs="Calibri"/>
          <w:color w:val="000000"/>
        </w:rPr>
        <w:t xml:space="preserve"> and priorities of national stakeholders working on mitigating and/or adapting to climate change, with the services and opportunities offered by the CTCN. NDEs will act as focal point</w:t>
      </w:r>
      <w:r w:rsidR="00395636">
        <w:rPr>
          <w:rFonts w:cs="Calibri"/>
          <w:color w:val="000000"/>
        </w:rPr>
        <w:t>s</w:t>
      </w:r>
      <w:r w:rsidR="00F70739">
        <w:rPr>
          <w:rFonts w:cs="Calibri"/>
          <w:color w:val="000000"/>
        </w:rPr>
        <w:t xml:space="preserve"> to liaise among key decision-makers at all level, including development </w:t>
      </w:r>
      <w:r w:rsidR="003A05EE">
        <w:rPr>
          <w:rFonts w:cs="Calibri"/>
          <w:color w:val="000000"/>
        </w:rPr>
        <w:t>organizations</w:t>
      </w:r>
      <w:r w:rsidR="00F70739">
        <w:rPr>
          <w:rFonts w:cs="Calibri"/>
          <w:color w:val="000000"/>
        </w:rPr>
        <w:t xml:space="preserve">, bilateral and multilateral donors, private companies, government agencies, academic </w:t>
      </w:r>
      <w:r>
        <w:rPr>
          <w:rFonts w:cs="Calibri"/>
          <w:color w:val="000000"/>
        </w:rPr>
        <w:t>and research institutions, civil society</w:t>
      </w:r>
      <w:r w:rsidR="00C00126">
        <w:rPr>
          <w:rFonts w:cs="Calibri"/>
          <w:color w:val="000000"/>
        </w:rPr>
        <w:t xml:space="preserve"> organizations</w:t>
      </w:r>
      <w:r>
        <w:rPr>
          <w:rFonts w:cs="Calibri"/>
          <w:color w:val="000000"/>
        </w:rPr>
        <w:t xml:space="preserve">, </w:t>
      </w:r>
      <w:r w:rsidR="00F70739">
        <w:rPr>
          <w:rFonts w:cs="Calibri"/>
          <w:color w:val="000000"/>
        </w:rPr>
        <w:t xml:space="preserve">etc. Their </w:t>
      </w:r>
      <w:r w:rsidR="00A668A6">
        <w:rPr>
          <w:rFonts w:cs="Calibri"/>
          <w:color w:val="000000"/>
        </w:rPr>
        <w:t xml:space="preserve">involvement </w:t>
      </w:r>
      <w:r w:rsidR="00395636">
        <w:rPr>
          <w:rFonts w:cs="Calibri"/>
          <w:color w:val="000000"/>
        </w:rPr>
        <w:t>in the CTCN and in broader a</w:t>
      </w:r>
      <w:r w:rsidR="00972EBA">
        <w:rPr>
          <w:rFonts w:cs="Calibri"/>
          <w:color w:val="000000"/>
        </w:rPr>
        <w:t>renas related to climate change</w:t>
      </w:r>
      <w:r w:rsidR="00395636">
        <w:rPr>
          <w:rFonts w:cs="Calibri"/>
          <w:color w:val="000000"/>
        </w:rPr>
        <w:t xml:space="preserve"> w</w:t>
      </w:r>
      <w:r w:rsidR="00C00126">
        <w:rPr>
          <w:rFonts w:cs="Calibri"/>
          <w:color w:val="000000"/>
        </w:rPr>
        <w:t>ill</w:t>
      </w:r>
      <w:r w:rsidR="00A668A6">
        <w:rPr>
          <w:rFonts w:cs="Calibri"/>
          <w:color w:val="000000"/>
        </w:rPr>
        <w:t xml:space="preserve"> create and open the door for new synergies and collaboration among actors that te</w:t>
      </w:r>
      <w:r w:rsidR="00395636">
        <w:rPr>
          <w:rFonts w:cs="Calibri"/>
          <w:color w:val="000000"/>
        </w:rPr>
        <w:t>nd to reach similar objectives</w:t>
      </w:r>
      <w:r w:rsidR="005545C1">
        <w:rPr>
          <w:rFonts w:cs="Calibri"/>
          <w:color w:val="000000"/>
        </w:rPr>
        <w:t>, and avoid duplication of work.</w:t>
      </w:r>
    </w:p>
    <w:p w14:paraId="55024D8A" w14:textId="77777777" w:rsidR="00F70739" w:rsidRDefault="00C77270" w:rsidP="0019461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In particular, Annex NDEs </w:t>
      </w:r>
      <w:r w:rsidR="00C00126">
        <w:rPr>
          <w:rFonts w:cs="Calibri"/>
          <w:color w:val="000000"/>
        </w:rPr>
        <w:t xml:space="preserve">can take on </w:t>
      </w:r>
      <w:r>
        <w:rPr>
          <w:rFonts w:cs="Calibri"/>
          <w:color w:val="000000"/>
        </w:rPr>
        <w:t>the following roles:</w:t>
      </w:r>
    </w:p>
    <w:p w14:paraId="5465973A" w14:textId="35787E3D" w:rsidR="005168D8" w:rsidRPr="003633D7" w:rsidRDefault="008C2CD2" w:rsidP="00194615">
      <w:pPr>
        <w:pStyle w:val="ListParagraph"/>
        <w:numPr>
          <w:ilvl w:val="0"/>
          <w:numId w:val="17"/>
        </w:numPr>
        <w:spacing w:after="120" w:line="240" w:lineRule="auto"/>
        <w:jc w:val="both"/>
      </w:pPr>
      <w:r w:rsidRPr="003633D7">
        <w:t>Act</w:t>
      </w:r>
      <w:r w:rsidR="00DA6D4B" w:rsidRPr="003633D7">
        <w:t xml:space="preserve"> as the</w:t>
      </w:r>
      <w:r w:rsidRPr="003633D7">
        <w:t xml:space="preserve"> national </w:t>
      </w:r>
      <w:r w:rsidR="00DA6D4B" w:rsidRPr="003633D7">
        <w:t xml:space="preserve">CTCN </w:t>
      </w:r>
      <w:r w:rsidRPr="003633D7">
        <w:t>focal point</w:t>
      </w:r>
      <w:r w:rsidR="00DA6D4B" w:rsidRPr="003633D7">
        <w:t xml:space="preserve"> </w:t>
      </w:r>
      <w:r w:rsidR="009C0F45" w:rsidRPr="003633D7">
        <w:t xml:space="preserve">in </w:t>
      </w:r>
      <w:r w:rsidR="00DA6D4B" w:rsidRPr="003633D7">
        <w:t>their country,</w:t>
      </w:r>
      <w:r w:rsidRPr="003633D7">
        <w:t xml:space="preserve"> </w:t>
      </w:r>
      <w:r w:rsidR="00972EBA">
        <w:t>to</w:t>
      </w:r>
      <w:r w:rsidR="00194615">
        <w:t xml:space="preserve"> identify possible collaboration and synergies between their activities and </w:t>
      </w:r>
      <w:r w:rsidR="00972EBA">
        <w:t>relevant stakeholders fro</w:t>
      </w:r>
      <w:r w:rsidR="003A05EE">
        <w:t>m the public and private sector</w:t>
      </w:r>
      <w:r w:rsidR="00887C2F">
        <w:t>.</w:t>
      </w:r>
    </w:p>
    <w:p w14:paraId="58675BB8" w14:textId="77777777" w:rsidR="00F66AB9" w:rsidRPr="00FE245F" w:rsidRDefault="00F66AB9" w:rsidP="00194615">
      <w:pPr>
        <w:pStyle w:val="ListParagraph"/>
        <w:numPr>
          <w:ilvl w:val="0"/>
          <w:numId w:val="17"/>
        </w:numPr>
        <w:spacing w:after="120" w:line="240" w:lineRule="auto"/>
        <w:jc w:val="both"/>
      </w:pPr>
      <w:r w:rsidRPr="0091333E">
        <w:lastRenderedPageBreak/>
        <w:t>Contribut</w:t>
      </w:r>
      <w:r w:rsidR="0091333E">
        <w:t>e</w:t>
      </w:r>
      <w:r w:rsidR="00194615">
        <w:t xml:space="preserve"> to</w:t>
      </w:r>
      <w:r w:rsidR="0091333E">
        <w:t xml:space="preserve"> the delivery of</w:t>
      </w:r>
      <w:r w:rsidR="00DA6D4B" w:rsidRPr="0091333E">
        <w:t xml:space="preserve"> CTCN services</w:t>
      </w:r>
      <w:r w:rsidR="00887C2F">
        <w:t>,</w:t>
      </w:r>
      <w:r w:rsidR="00DA6D4B" w:rsidRPr="0091333E">
        <w:t xml:space="preserve"> </w:t>
      </w:r>
      <w:r w:rsidR="00887C2F">
        <w:t>which include</w:t>
      </w:r>
      <w:r w:rsidR="00887C2F" w:rsidRPr="0091333E">
        <w:t xml:space="preserve"> </w:t>
      </w:r>
      <w:r w:rsidR="00FE245F">
        <w:t xml:space="preserve">technical assistance </w:t>
      </w:r>
      <w:r w:rsidR="00887C2F">
        <w:t>to developing countries</w:t>
      </w:r>
      <w:r w:rsidR="00FE245F">
        <w:t xml:space="preserve">, </w:t>
      </w:r>
      <w:r w:rsidRPr="0091333E">
        <w:t>information and knowledge</w:t>
      </w:r>
      <w:r w:rsidR="00887C2F">
        <w:t xml:space="preserve"> sharing, and</w:t>
      </w:r>
      <w:r w:rsidRPr="0091333E">
        <w:t xml:space="preserve"> </w:t>
      </w:r>
      <w:r w:rsidRPr="00FE245F">
        <w:t>collaboration and networking</w:t>
      </w:r>
      <w:r w:rsidR="002D5AA5">
        <w:t xml:space="preserve"> on climate technologies</w:t>
      </w:r>
      <w:r w:rsidR="00887C2F">
        <w:t>.</w:t>
      </w:r>
      <w:r w:rsidR="00194615">
        <w:t xml:space="preserve"> </w:t>
      </w:r>
    </w:p>
    <w:p w14:paraId="10367EE8" w14:textId="77777777" w:rsidR="00F66AB9" w:rsidRPr="00FE245F" w:rsidRDefault="00167651" w:rsidP="00194615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B</w:t>
      </w:r>
      <w:r w:rsidR="00FE245F">
        <w:t>e</w:t>
      </w:r>
      <w:r w:rsidR="00F66AB9" w:rsidRPr="00FE245F">
        <w:t xml:space="preserve"> an active member of</w:t>
      </w:r>
      <w:r w:rsidR="002836D9" w:rsidRPr="00FE245F">
        <w:t xml:space="preserve"> the Climate Technology Network (CTN).</w:t>
      </w:r>
    </w:p>
    <w:p w14:paraId="0250A594" w14:textId="0BD74EE0" w:rsidR="00944DC5" w:rsidRDefault="00065D54" w:rsidP="00E2335D">
      <w:pPr>
        <w:pStyle w:val="ListParagraph"/>
        <w:numPr>
          <w:ilvl w:val="0"/>
          <w:numId w:val="17"/>
        </w:numPr>
        <w:spacing w:after="0" w:line="240" w:lineRule="auto"/>
        <w:ind w:left="714" w:hanging="357"/>
      </w:pPr>
      <w:r w:rsidRPr="00FE245F">
        <w:t>Support Non-Annex I countries in taking part in CTCN activities and enhancing their capacities to deploy</w:t>
      </w:r>
      <w:r w:rsidR="00FE245F">
        <w:t xml:space="preserve"> </w:t>
      </w:r>
      <w:r w:rsidRPr="00FE245F">
        <w:t>climate technologies</w:t>
      </w:r>
      <w:r w:rsidR="00DA6D4B" w:rsidRPr="00FE245F">
        <w:t>.</w:t>
      </w:r>
    </w:p>
    <w:p w14:paraId="091CDA5B" w14:textId="77777777" w:rsidR="00766F26" w:rsidRPr="002A608A" w:rsidRDefault="00766F26" w:rsidP="00766F26">
      <w:pPr>
        <w:pStyle w:val="ListParagraph"/>
        <w:spacing w:after="0" w:line="240" w:lineRule="auto"/>
        <w:ind w:left="714"/>
      </w:pPr>
      <w:bookmarkStart w:id="0" w:name="_GoBack"/>
      <w:bookmarkEnd w:id="0"/>
    </w:p>
    <w:p w14:paraId="6AECD6BC" w14:textId="77777777" w:rsidR="00065D54" w:rsidRPr="008F6704" w:rsidRDefault="00065D54" w:rsidP="00F723E3">
      <w:pPr>
        <w:spacing w:after="0" w:line="240" w:lineRule="auto"/>
        <w:outlineLvl w:val="0"/>
        <w:rPr>
          <w:b/>
          <w:sz w:val="24"/>
          <w:szCs w:val="24"/>
        </w:rPr>
      </w:pPr>
      <w:r w:rsidRPr="008F6704">
        <w:rPr>
          <w:b/>
          <w:sz w:val="24"/>
          <w:szCs w:val="24"/>
        </w:rPr>
        <w:t>3. Examples of Annex I NDE’ roles</w:t>
      </w:r>
    </w:p>
    <w:p w14:paraId="1AF6DE71" w14:textId="77777777" w:rsidR="00FB4576" w:rsidRPr="00065D54" w:rsidRDefault="00FB4576" w:rsidP="00FB4576">
      <w:pPr>
        <w:spacing w:after="0" w:line="240" w:lineRule="auto"/>
        <w:rPr>
          <w:b/>
        </w:rPr>
      </w:pPr>
    </w:p>
    <w:p w14:paraId="0BC04E13" w14:textId="46A43484" w:rsidR="008565CD" w:rsidRDefault="009936D9" w:rsidP="00E429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  <w:r w:rsidRPr="00B46AC4">
        <w:rPr>
          <w:rFonts w:ascii="Calibri" w:hAnsi="Calibri" w:cs="Calibri"/>
          <w:i/>
          <w:iCs/>
          <w:color w:val="000000"/>
        </w:rPr>
        <w:t>The table below provides examples of</w:t>
      </w:r>
      <w:r>
        <w:rPr>
          <w:rFonts w:ascii="Calibri" w:hAnsi="Calibri" w:cs="Calibri"/>
          <w:i/>
          <w:iCs/>
          <w:color w:val="000000"/>
        </w:rPr>
        <w:t xml:space="preserve"> actions</w:t>
      </w:r>
      <w:r w:rsidRPr="00B46AC4">
        <w:rPr>
          <w:rFonts w:ascii="Calibri" w:hAnsi="Calibri" w:cs="Calibri"/>
          <w:i/>
          <w:iCs/>
          <w:color w:val="000000"/>
        </w:rPr>
        <w:t xml:space="preserve"> </w:t>
      </w:r>
      <w:r w:rsidR="00A26B48">
        <w:rPr>
          <w:rFonts w:ascii="Calibri" w:hAnsi="Calibri" w:cs="Calibri"/>
          <w:i/>
          <w:iCs/>
          <w:color w:val="000000"/>
        </w:rPr>
        <w:t>Annex I</w:t>
      </w:r>
      <w:r w:rsidRPr="00B46AC4">
        <w:rPr>
          <w:rFonts w:ascii="Calibri" w:hAnsi="Calibri" w:cs="Calibri"/>
          <w:i/>
          <w:iCs/>
          <w:color w:val="000000"/>
        </w:rPr>
        <w:t xml:space="preserve"> NDE</w:t>
      </w:r>
      <w:r>
        <w:rPr>
          <w:rFonts w:ascii="Calibri" w:hAnsi="Calibri" w:cs="Calibri"/>
          <w:i/>
          <w:iCs/>
          <w:color w:val="000000"/>
        </w:rPr>
        <w:t>s</w:t>
      </w:r>
      <w:r w:rsidRPr="00B46AC4">
        <w:rPr>
          <w:rFonts w:ascii="Calibri" w:hAnsi="Calibri" w:cs="Calibri"/>
          <w:i/>
          <w:iCs/>
          <w:color w:val="000000"/>
        </w:rPr>
        <w:t xml:space="preserve"> </w:t>
      </w:r>
      <w:r>
        <w:rPr>
          <w:rFonts w:ascii="Calibri" w:hAnsi="Calibri" w:cs="Calibri"/>
          <w:i/>
          <w:iCs/>
          <w:color w:val="000000"/>
        </w:rPr>
        <w:t>might undertake</w:t>
      </w:r>
      <w:r w:rsidRPr="00B46AC4">
        <w:rPr>
          <w:rFonts w:ascii="Calibri" w:hAnsi="Calibri" w:cs="Calibri"/>
          <w:i/>
          <w:iCs/>
          <w:color w:val="000000"/>
        </w:rPr>
        <w:t xml:space="preserve">. It is meant to be indicative </w:t>
      </w:r>
      <w:r w:rsidR="00FE245F">
        <w:rPr>
          <w:rFonts w:ascii="Calibri" w:hAnsi="Calibri" w:cs="Calibri"/>
          <w:i/>
          <w:iCs/>
          <w:color w:val="000000"/>
        </w:rPr>
        <w:t>as</w:t>
      </w:r>
      <w:r w:rsidRPr="00B46AC4">
        <w:rPr>
          <w:rFonts w:ascii="Calibri" w:hAnsi="Calibri" w:cs="Calibri"/>
          <w:i/>
          <w:iCs/>
          <w:color w:val="000000"/>
        </w:rPr>
        <w:t xml:space="preserve"> exact </w:t>
      </w:r>
      <w:r w:rsidR="003A05EE">
        <w:rPr>
          <w:rFonts w:ascii="Calibri" w:hAnsi="Calibri" w:cs="Calibri"/>
          <w:i/>
          <w:iCs/>
          <w:color w:val="000000"/>
        </w:rPr>
        <w:t>role</w:t>
      </w:r>
      <w:r w:rsidR="0075390B">
        <w:rPr>
          <w:rFonts w:ascii="Calibri" w:hAnsi="Calibri" w:cs="Calibri"/>
          <w:i/>
          <w:iCs/>
          <w:color w:val="000000"/>
        </w:rPr>
        <w:t>s</w:t>
      </w:r>
      <w:r w:rsidRPr="00B46AC4">
        <w:rPr>
          <w:rFonts w:ascii="Calibri" w:hAnsi="Calibri" w:cs="Calibri"/>
          <w:i/>
          <w:iCs/>
          <w:color w:val="000000"/>
        </w:rPr>
        <w:t xml:space="preserve"> will differ from country to country,</w:t>
      </w:r>
      <w:r w:rsidR="00FE245F">
        <w:rPr>
          <w:rFonts w:ascii="Calibri" w:hAnsi="Calibri" w:cs="Calibri"/>
          <w:i/>
          <w:iCs/>
          <w:color w:val="000000"/>
        </w:rPr>
        <w:t xml:space="preserve"> and will be</w:t>
      </w:r>
      <w:r w:rsidRPr="00B46AC4">
        <w:rPr>
          <w:rFonts w:ascii="Calibri" w:hAnsi="Calibri" w:cs="Calibri"/>
          <w:i/>
          <w:iCs/>
          <w:color w:val="000000"/>
        </w:rPr>
        <w:t xml:space="preserve"> determined </w:t>
      </w:r>
      <w:r w:rsidR="00FE245F">
        <w:rPr>
          <w:rFonts w:ascii="Calibri" w:hAnsi="Calibri" w:cs="Calibri"/>
          <w:i/>
          <w:iCs/>
          <w:color w:val="000000"/>
        </w:rPr>
        <w:t>nationally</w:t>
      </w:r>
      <w:r w:rsidRPr="00B46AC4">
        <w:rPr>
          <w:rFonts w:ascii="Calibri" w:hAnsi="Calibri" w:cs="Calibri"/>
          <w:i/>
          <w:iCs/>
          <w:color w:val="000000"/>
        </w:rPr>
        <w:t>.</w:t>
      </w:r>
    </w:p>
    <w:p w14:paraId="6B7FEB24" w14:textId="77777777" w:rsidR="00F545EF" w:rsidRPr="00E4297C" w:rsidRDefault="00F545EF" w:rsidP="00E429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</w:p>
    <w:tbl>
      <w:tblPr>
        <w:tblStyle w:val="TableGrid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796"/>
      </w:tblGrid>
      <w:tr w:rsidR="008565CD" w:rsidRPr="0091436D" w14:paraId="7C5EF716" w14:textId="77777777" w:rsidTr="00AF10E3">
        <w:trPr>
          <w:trHeight w:val="415"/>
        </w:trPr>
        <w:tc>
          <w:tcPr>
            <w:tcW w:w="2269" w:type="dxa"/>
          </w:tcPr>
          <w:p w14:paraId="256CC5C8" w14:textId="77777777" w:rsidR="008565CD" w:rsidRPr="0091436D" w:rsidRDefault="008565CD" w:rsidP="00F545EF">
            <w:pPr>
              <w:pStyle w:val="Heading2"/>
              <w:spacing w:before="60" w:after="60"/>
              <w:jc w:val="center"/>
              <w:outlineLvl w:val="1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91436D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lastRenderedPageBreak/>
              <w:t>Possible NDE Role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8EC4D51" w14:textId="77777777" w:rsidR="008565CD" w:rsidRPr="0091436D" w:rsidRDefault="008565CD" w:rsidP="00F545EF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91436D">
              <w:rPr>
                <w:i/>
                <w:color w:val="000000" w:themeColor="text1"/>
              </w:rPr>
              <w:t>Example of specific actions NDEs can undertake</w:t>
            </w:r>
          </w:p>
        </w:tc>
      </w:tr>
      <w:tr w:rsidR="00802CC7" w:rsidRPr="0091436D" w14:paraId="0C226A09" w14:textId="77777777" w:rsidTr="00AF10E3">
        <w:trPr>
          <w:trHeight w:val="3232"/>
        </w:trPr>
        <w:tc>
          <w:tcPr>
            <w:tcW w:w="2269" w:type="dxa"/>
          </w:tcPr>
          <w:p w14:paraId="6239FEF3" w14:textId="77777777" w:rsidR="00DB24A5" w:rsidRPr="0091436D" w:rsidRDefault="00802CC7" w:rsidP="00AB0EB7">
            <w:pPr>
              <w:pStyle w:val="Heading2"/>
              <w:numPr>
                <w:ilvl w:val="0"/>
                <w:numId w:val="36"/>
              </w:numPr>
              <w:spacing w:before="60" w:after="60"/>
              <w:outlineLvl w:val="1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91436D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Act as a focal point between the CTCN and their country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5F6A922" w14:textId="524A12D7" w:rsidR="00802CC7" w:rsidRPr="0091436D" w:rsidRDefault="00972EBA" w:rsidP="00972EBA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color w:val="000000" w:themeColor="text1"/>
              </w:rPr>
            </w:pPr>
            <w:r w:rsidRPr="0091436D">
              <w:rPr>
                <w:color w:val="000000" w:themeColor="text1"/>
              </w:rPr>
              <w:t>Raise awareness of relevant stakeholders</w:t>
            </w:r>
            <w:r w:rsidR="005E50C6">
              <w:rPr>
                <w:color w:val="000000" w:themeColor="text1"/>
              </w:rPr>
              <w:t xml:space="preserve"> from their country</w:t>
            </w:r>
            <w:r w:rsidRPr="0091436D">
              <w:rPr>
                <w:color w:val="000000" w:themeColor="text1"/>
              </w:rPr>
              <w:t xml:space="preserve"> (government agencies, private companies, development organizations, research institute, NGOs) on climate technologies issues and opportunities and on CTCN activities</w:t>
            </w:r>
            <w:r w:rsidR="00802CC7" w:rsidRPr="0091436D">
              <w:rPr>
                <w:color w:val="000000" w:themeColor="text1"/>
              </w:rPr>
              <w:t xml:space="preserve">. e.g. </w:t>
            </w:r>
            <w:r w:rsidR="00F545EF" w:rsidRPr="0091436D">
              <w:rPr>
                <w:color w:val="000000" w:themeColor="text1"/>
              </w:rPr>
              <w:t>increase CTCN visibility through</w:t>
            </w:r>
            <w:r w:rsidR="00802CC7" w:rsidRPr="0091436D">
              <w:rPr>
                <w:color w:val="000000" w:themeColor="text1"/>
              </w:rPr>
              <w:t xml:space="preserve"> links to</w:t>
            </w:r>
            <w:r w:rsidR="002D5AA5" w:rsidRPr="0091436D">
              <w:rPr>
                <w:color w:val="000000" w:themeColor="text1"/>
              </w:rPr>
              <w:t xml:space="preserve"> the</w:t>
            </w:r>
            <w:r w:rsidR="00802CC7" w:rsidRPr="0091436D">
              <w:rPr>
                <w:color w:val="000000" w:themeColor="text1"/>
              </w:rPr>
              <w:t xml:space="preserve"> CTCN website,</w:t>
            </w:r>
            <w:r w:rsidRPr="0091436D">
              <w:rPr>
                <w:color w:val="000000" w:themeColor="text1"/>
              </w:rPr>
              <w:t xml:space="preserve"> organize meetings, participate in</w:t>
            </w:r>
            <w:r w:rsidR="00802CC7" w:rsidRPr="0091436D">
              <w:rPr>
                <w:color w:val="000000" w:themeColor="text1"/>
              </w:rPr>
              <w:t xml:space="preserve"> conferences, </w:t>
            </w:r>
            <w:r w:rsidR="00F545EF" w:rsidRPr="0091436D">
              <w:rPr>
                <w:color w:val="000000" w:themeColor="text1"/>
              </w:rPr>
              <w:t>dissemination of</w:t>
            </w:r>
            <w:r w:rsidR="00802CC7" w:rsidRPr="0091436D">
              <w:rPr>
                <w:color w:val="000000" w:themeColor="text1"/>
              </w:rPr>
              <w:t xml:space="preserve"> CTCN communication materials</w:t>
            </w:r>
          </w:p>
          <w:p w14:paraId="42C37D08" w14:textId="49A822C1" w:rsidR="00802CC7" w:rsidRPr="0091436D" w:rsidRDefault="00972EBA" w:rsidP="00F545E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color w:val="000000" w:themeColor="text1"/>
              </w:rPr>
            </w:pPr>
            <w:r w:rsidRPr="0091436D">
              <w:rPr>
                <w:color w:val="000000" w:themeColor="text1"/>
              </w:rPr>
              <w:t>Share with the CTCN</w:t>
            </w:r>
            <w:r w:rsidR="00802CC7" w:rsidRPr="0091436D">
              <w:rPr>
                <w:color w:val="000000" w:themeColor="text1"/>
              </w:rPr>
              <w:t xml:space="preserve"> information </w:t>
            </w:r>
            <w:r w:rsidRPr="0091436D">
              <w:rPr>
                <w:color w:val="000000" w:themeColor="text1"/>
              </w:rPr>
              <w:t xml:space="preserve">from their country on climate technologies and climate change issues in general </w:t>
            </w:r>
            <w:r w:rsidR="00802CC7" w:rsidRPr="0091436D">
              <w:rPr>
                <w:color w:val="000000" w:themeColor="text1"/>
              </w:rPr>
              <w:t xml:space="preserve">e.g. </w:t>
            </w:r>
            <w:r w:rsidR="00BF27FC" w:rsidRPr="0091436D">
              <w:rPr>
                <w:color w:val="000000" w:themeColor="text1"/>
              </w:rPr>
              <w:t>Climate change</w:t>
            </w:r>
            <w:r w:rsidR="005E50C6">
              <w:rPr>
                <w:color w:val="000000" w:themeColor="text1"/>
              </w:rPr>
              <w:t xml:space="preserve"> related programs and initiatives,</w:t>
            </w:r>
            <w:r w:rsidR="00BF27FC" w:rsidRPr="0091436D">
              <w:rPr>
                <w:color w:val="000000" w:themeColor="text1"/>
              </w:rPr>
              <w:t xml:space="preserve"> events, </w:t>
            </w:r>
            <w:r w:rsidR="00802CC7" w:rsidRPr="0091436D">
              <w:rPr>
                <w:color w:val="000000" w:themeColor="text1"/>
              </w:rPr>
              <w:t>regulations, workshop</w:t>
            </w:r>
            <w:r w:rsidR="00BF27FC" w:rsidRPr="0091436D">
              <w:rPr>
                <w:color w:val="000000" w:themeColor="text1"/>
              </w:rPr>
              <w:t>s</w:t>
            </w:r>
            <w:r w:rsidR="00802CC7" w:rsidRPr="0091436D">
              <w:rPr>
                <w:color w:val="000000" w:themeColor="text1"/>
              </w:rPr>
              <w:t xml:space="preserve">, reports, </w:t>
            </w:r>
            <w:r w:rsidR="00BF27FC" w:rsidRPr="0091436D">
              <w:rPr>
                <w:color w:val="000000" w:themeColor="text1"/>
              </w:rPr>
              <w:t>donor strategies</w:t>
            </w:r>
            <w:r w:rsidR="005E50C6">
              <w:rPr>
                <w:color w:val="000000" w:themeColor="text1"/>
              </w:rPr>
              <w:t>, success stories</w:t>
            </w:r>
          </w:p>
          <w:p w14:paraId="60A06329" w14:textId="6150D8DA" w:rsidR="000E3B74" w:rsidRPr="0091436D" w:rsidRDefault="008565CD" w:rsidP="00F545E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color w:val="000000" w:themeColor="text1"/>
              </w:rPr>
            </w:pPr>
            <w:r w:rsidRPr="0091436D">
              <w:t xml:space="preserve">Liaise with development </w:t>
            </w:r>
            <w:r w:rsidR="005E50C6">
              <w:t>organizations from their country</w:t>
            </w:r>
            <w:r w:rsidRPr="0091436D">
              <w:t>, and with private companies already working or looking into expanding in developing countries, to identify possible collaboration and synergies between their activities and</w:t>
            </w:r>
            <w:r w:rsidR="002D5AA5" w:rsidRPr="0091436D">
              <w:t xml:space="preserve"> the efforts of developing countries</w:t>
            </w:r>
            <w:r w:rsidRPr="0091436D">
              <w:t xml:space="preserve"> to address climate change</w:t>
            </w:r>
            <w:r w:rsidR="000E3B74" w:rsidRPr="0091436D">
              <w:t xml:space="preserve"> </w:t>
            </w:r>
            <w:r w:rsidR="009E70CC">
              <w:t>issues</w:t>
            </w:r>
          </w:p>
          <w:p w14:paraId="04091223" w14:textId="51C5EC8D" w:rsidR="008565CD" w:rsidRPr="0091436D" w:rsidRDefault="005E50C6" w:rsidP="00F545E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color w:val="000000" w:themeColor="text1"/>
              </w:rPr>
            </w:pPr>
            <w:r>
              <w:t>Advocate for</w:t>
            </w:r>
            <w:r w:rsidR="00A11906" w:rsidRPr="0091436D">
              <w:t xml:space="preserve"> the integration of climate technology </w:t>
            </w:r>
            <w:r w:rsidR="00BF27FC" w:rsidRPr="0091436D">
              <w:t>challenges</w:t>
            </w:r>
            <w:r w:rsidR="002D5AA5" w:rsidRPr="0091436D">
              <w:t xml:space="preserve"> </w:t>
            </w:r>
            <w:r w:rsidR="00A11906" w:rsidRPr="0091436D">
              <w:t>in their country’s</w:t>
            </w:r>
            <w:r w:rsidR="00972EBA" w:rsidRPr="0091436D">
              <w:t xml:space="preserve"> policies </w:t>
            </w:r>
            <w:r w:rsidR="0025241E">
              <w:t xml:space="preserve">and actions </w:t>
            </w:r>
            <w:r w:rsidR="00972EBA" w:rsidRPr="0091436D">
              <w:t>for cooperation and development assistance</w:t>
            </w:r>
            <w:r w:rsidR="00A11906" w:rsidRPr="0091436D">
              <w:t xml:space="preserve"> </w:t>
            </w:r>
          </w:p>
          <w:p w14:paraId="2643A51F" w14:textId="05DC9E00" w:rsidR="00E708AD" w:rsidRPr="0091436D" w:rsidRDefault="00802CC7" w:rsidP="00972EBA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color w:val="000000" w:themeColor="text1"/>
              </w:rPr>
            </w:pPr>
            <w:r w:rsidRPr="0091436D">
              <w:rPr>
                <w:color w:val="000000" w:themeColor="text1"/>
              </w:rPr>
              <w:t>Provide suggestions on how the CTCN can improve the quality o</w:t>
            </w:r>
            <w:r w:rsidR="009E70CC">
              <w:rPr>
                <w:color w:val="000000" w:themeColor="text1"/>
              </w:rPr>
              <w:t xml:space="preserve">f its support and procedures. </w:t>
            </w:r>
            <w:proofErr w:type="gramStart"/>
            <w:r w:rsidR="009E70CC">
              <w:rPr>
                <w:color w:val="000000" w:themeColor="text1"/>
              </w:rPr>
              <w:t>e.g</w:t>
            </w:r>
            <w:proofErr w:type="gramEnd"/>
            <w:r w:rsidR="009E70CC">
              <w:rPr>
                <w:color w:val="000000" w:themeColor="text1"/>
              </w:rPr>
              <w:t>. C</w:t>
            </w:r>
            <w:r w:rsidRPr="0091436D">
              <w:rPr>
                <w:color w:val="000000" w:themeColor="text1"/>
              </w:rPr>
              <w:t>ontact CTC team with suggestion</w:t>
            </w:r>
            <w:r w:rsidR="002D5AA5" w:rsidRPr="0091436D">
              <w:rPr>
                <w:color w:val="000000" w:themeColor="text1"/>
              </w:rPr>
              <w:t>s</w:t>
            </w:r>
            <w:r w:rsidRPr="0091436D">
              <w:rPr>
                <w:color w:val="000000" w:themeColor="text1"/>
              </w:rPr>
              <w:t>, share feedback from partners</w:t>
            </w:r>
            <w:r w:rsidR="0048610E">
              <w:rPr>
                <w:color w:val="000000" w:themeColor="text1"/>
              </w:rPr>
              <w:t>.</w:t>
            </w:r>
          </w:p>
        </w:tc>
      </w:tr>
      <w:tr w:rsidR="00802CC7" w:rsidRPr="0091436D" w14:paraId="46E1A9A7" w14:textId="77777777" w:rsidTr="00AF10E3">
        <w:trPr>
          <w:trHeight w:val="2734"/>
        </w:trPr>
        <w:tc>
          <w:tcPr>
            <w:tcW w:w="2269" w:type="dxa"/>
          </w:tcPr>
          <w:p w14:paraId="1F4A9198" w14:textId="77777777" w:rsidR="00DB24A5" w:rsidRPr="0091436D" w:rsidRDefault="00802CC7" w:rsidP="00AB0EB7">
            <w:pPr>
              <w:pStyle w:val="Heading2"/>
              <w:numPr>
                <w:ilvl w:val="0"/>
                <w:numId w:val="36"/>
              </w:numPr>
              <w:spacing w:before="60" w:after="60"/>
              <w:outlineLvl w:val="1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91436D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Increase efficiency of CTCN technical assistance</w:t>
            </w:r>
          </w:p>
        </w:tc>
        <w:tc>
          <w:tcPr>
            <w:tcW w:w="7796" w:type="dxa"/>
          </w:tcPr>
          <w:p w14:paraId="0AC04226" w14:textId="252BA895" w:rsidR="00502ECA" w:rsidRPr="0091436D" w:rsidRDefault="005E50C6" w:rsidP="0030643A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Advocate linkages and collaboration between</w:t>
            </w:r>
            <w:r w:rsidR="0030643A" w:rsidRPr="0091436D">
              <w:rPr>
                <w:color w:val="000000" w:themeColor="text1"/>
              </w:rPr>
              <w:t xml:space="preserve"> development </w:t>
            </w:r>
            <w:r>
              <w:rPr>
                <w:color w:val="000000" w:themeColor="text1"/>
              </w:rPr>
              <w:t xml:space="preserve">organizations </w:t>
            </w:r>
            <w:r w:rsidR="0048610E">
              <w:rPr>
                <w:color w:val="000000" w:themeColor="text1"/>
              </w:rPr>
              <w:t>and</w:t>
            </w:r>
            <w:r>
              <w:rPr>
                <w:color w:val="000000" w:themeColor="text1"/>
              </w:rPr>
              <w:t xml:space="preserve"> developing countries, to identify capacity building need,</w:t>
            </w:r>
            <w:r w:rsidR="00502ECA" w:rsidRPr="0091436D">
              <w:rPr>
                <w:color w:val="000000" w:themeColor="text1"/>
              </w:rPr>
              <w:t xml:space="preserve"> to develop and follow-up on requests</w:t>
            </w:r>
            <w:r w:rsidR="00BB6098" w:rsidRPr="0091436D">
              <w:rPr>
                <w:color w:val="000000" w:themeColor="text1"/>
              </w:rPr>
              <w:t xml:space="preserve"> and </w:t>
            </w:r>
            <w:r w:rsidR="00786628" w:rsidRPr="0091436D">
              <w:rPr>
                <w:color w:val="000000" w:themeColor="text1"/>
              </w:rPr>
              <w:t>support</w:t>
            </w:r>
            <w:r w:rsidR="00BB6098" w:rsidRPr="0091436D">
              <w:rPr>
                <w:color w:val="000000" w:themeColor="text1"/>
              </w:rPr>
              <w:t xml:space="preserve"> developing country NDEs. e.g. through national consultation, </w:t>
            </w:r>
            <w:r w:rsidR="00500EAF" w:rsidRPr="0091436D">
              <w:rPr>
                <w:color w:val="000000" w:themeColor="text1"/>
              </w:rPr>
              <w:t>donors coordination groups, ongoing discussions with partners and government stakeholders</w:t>
            </w:r>
          </w:p>
          <w:p w14:paraId="0CB65BB0" w14:textId="759C0E0A" w:rsidR="00502ECA" w:rsidRPr="0091436D" w:rsidRDefault="005E50C6" w:rsidP="0022220B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Encourage</w:t>
            </w:r>
            <w:r w:rsidR="00502ECA" w:rsidRPr="0091436D">
              <w:rPr>
                <w:color w:val="000000" w:themeColor="text1"/>
              </w:rPr>
              <w:t xml:space="preserve"> their </w:t>
            </w:r>
            <w:r w:rsidR="0048610E">
              <w:rPr>
                <w:color w:val="000000" w:themeColor="text1"/>
              </w:rPr>
              <w:t xml:space="preserve">existing </w:t>
            </w:r>
            <w:r w:rsidR="00502ECA" w:rsidRPr="0091436D">
              <w:rPr>
                <w:color w:val="000000" w:themeColor="text1"/>
              </w:rPr>
              <w:t>public and private partners</w:t>
            </w:r>
            <w:r w:rsidR="00972EBA" w:rsidRPr="0091436D">
              <w:rPr>
                <w:color w:val="000000" w:themeColor="text1"/>
              </w:rPr>
              <w:t xml:space="preserve"> working</w:t>
            </w:r>
            <w:r w:rsidR="00502ECA" w:rsidRPr="0091436D">
              <w:rPr>
                <w:color w:val="000000" w:themeColor="text1"/>
              </w:rPr>
              <w:t xml:space="preserve"> in developing countries</w:t>
            </w:r>
            <w:r w:rsidR="00786628" w:rsidRPr="0091436D">
              <w:rPr>
                <w:color w:val="000000" w:themeColor="text1"/>
              </w:rPr>
              <w:t>,</w:t>
            </w:r>
            <w:r w:rsidR="00502ECA" w:rsidRPr="0091436D">
              <w:rPr>
                <w:color w:val="000000" w:themeColor="text1"/>
              </w:rPr>
              <w:t xml:space="preserve"> to identify technology and capacity building needs of developing countries </w:t>
            </w:r>
            <w:r w:rsidR="00402560" w:rsidRPr="0091436D">
              <w:rPr>
                <w:color w:val="000000" w:themeColor="text1"/>
              </w:rPr>
              <w:t xml:space="preserve">and </w:t>
            </w:r>
            <w:r w:rsidR="00502ECA" w:rsidRPr="0091436D">
              <w:rPr>
                <w:color w:val="000000" w:themeColor="text1"/>
              </w:rPr>
              <w:t>support</w:t>
            </w:r>
            <w:r w:rsidR="00402560" w:rsidRPr="0091436D">
              <w:rPr>
                <w:color w:val="000000" w:themeColor="text1"/>
              </w:rPr>
              <w:t xml:space="preserve"> them in developing requests</w:t>
            </w:r>
            <w:r w:rsidR="00502ECA" w:rsidRPr="0091436D">
              <w:rPr>
                <w:color w:val="000000" w:themeColor="text1"/>
              </w:rPr>
              <w:t xml:space="preserve"> </w:t>
            </w:r>
          </w:p>
          <w:p w14:paraId="4AE82509" w14:textId="7BA62B01" w:rsidR="00C27AC2" w:rsidRPr="0091436D" w:rsidRDefault="00BB6098" w:rsidP="0022220B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color w:val="000000" w:themeColor="text1"/>
              </w:rPr>
            </w:pPr>
            <w:r w:rsidRPr="0091436D">
              <w:rPr>
                <w:color w:val="000000" w:themeColor="text1"/>
              </w:rPr>
              <w:t>Encourage follow-up support and funding</w:t>
            </w:r>
            <w:r w:rsidR="00402560" w:rsidRPr="0091436D">
              <w:rPr>
                <w:color w:val="000000" w:themeColor="text1"/>
              </w:rPr>
              <w:t xml:space="preserve"> of climate related projects</w:t>
            </w:r>
            <w:r w:rsidRPr="0091436D">
              <w:rPr>
                <w:color w:val="000000" w:themeColor="text1"/>
              </w:rPr>
              <w:t xml:space="preserve"> by donors</w:t>
            </w:r>
            <w:r w:rsidR="00402560" w:rsidRPr="0091436D">
              <w:rPr>
                <w:color w:val="000000" w:themeColor="text1"/>
              </w:rPr>
              <w:t>,</w:t>
            </w:r>
            <w:r w:rsidRPr="0091436D">
              <w:rPr>
                <w:color w:val="000000" w:themeColor="text1"/>
              </w:rPr>
              <w:t xml:space="preserve"> develop</w:t>
            </w:r>
            <w:r w:rsidR="00500EAF" w:rsidRPr="0091436D">
              <w:rPr>
                <w:color w:val="000000" w:themeColor="text1"/>
              </w:rPr>
              <w:t>ment organizations</w:t>
            </w:r>
            <w:r w:rsidR="00402560" w:rsidRPr="0091436D">
              <w:rPr>
                <w:color w:val="000000" w:themeColor="text1"/>
              </w:rPr>
              <w:t xml:space="preserve"> and private sector</w:t>
            </w:r>
            <w:r w:rsidR="00500EAF" w:rsidRPr="0091436D">
              <w:rPr>
                <w:color w:val="000000" w:themeColor="text1"/>
              </w:rPr>
              <w:t xml:space="preserve">, to further build capacities </w:t>
            </w:r>
            <w:r w:rsidR="00402560" w:rsidRPr="0091436D">
              <w:rPr>
                <w:color w:val="000000" w:themeColor="text1"/>
              </w:rPr>
              <w:t xml:space="preserve">of developing countries, </w:t>
            </w:r>
            <w:r w:rsidR="00500EAF" w:rsidRPr="0091436D">
              <w:rPr>
                <w:color w:val="000000" w:themeColor="text1"/>
              </w:rPr>
              <w:t>and increase the impacts and success of CTCN support</w:t>
            </w:r>
            <w:r w:rsidR="0048610E">
              <w:rPr>
                <w:color w:val="000000" w:themeColor="text1"/>
              </w:rPr>
              <w:t>.</w:t>
            </w:r>
          </w:p>
        </w:tc>
      </w:tr>
      <w:tr w:rsidR="00802CC7" w:rsidRPr="0091436D" w14:paraId="6390CF03" w14:textId="77777777" w:rsidTr="00AF10E3">
        <w:trPr>
          <w:trHeight w:val="268"/>
        </w:trPr>
        <w:tc>
          <w:tcPr>
            <w:tcW w:w="2269" w:type="dxa"/>
          </w:tcPr>
          <w:p w14:paraId="5A364E46" w14:textId="77777777" w:rsidR="00DB24A5" w:rsidRPr="0091436D" w:rsidRDefault="008F5CE5" w:rsidP="00AB0EB7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b/>
                <w:color w:val="000000" w:themeColor="text1"/>
              </w:rPr>
            </w:pPr>
            <w:r w:rsidRPr="0091436D">
              <w:rPr>
                <w:b/>
                <w:color w:val="000000" w:themeColor="text1"/>
              </w:rPr>
              <w:t>Contribute to increased information and knowledge sharing through the KMS</w:t>
            </w:r>
          </w:p>
        </w:tc>
        <w:tc>
          <w:tcPr>
            <w:tcW w:w="7796" w:type="dxa"/>
          </w:tcPr>
          <w:p w14:paraId="7065AEC4" w14:textId="3FA25A6E" w:rsidR="00802CC7" w:rsidRPr="0091436D" w:rsidRDefault="00802CC7" w:rsidP="00F545EF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color w:val="000000" w:themeColor="text1"/>
              </w:rPr>
            </w:pPr>
            <w:r w:rsidRPr="0091436D">
              <w:rPr>
                <w:color w:val="000000" w:themeColor="text1"/>
              </w:rPr>
              <w:t>Provide the CTC with documents and information that are relevant to the</w:t>
            </w:r>
            <w:r w:rsidR="00666A95" w:rsidRPr="0091436D">
              <w:rPr>
                <w:color w:val="000000" w:themeColor="text1"/>
              </w:rPr>
              <w:t xml:space="preserve"> scope of the</w:t>
            </w:r>
            <w:r w:rsidRPr="0091436D">
              <w:rPr>
                <w:color w:val="000000" w:themeColor="text1"/>
              </w:rPr>
              <w:t xml:space="preserve"> </w:t>
            </w:r>
            <w:r w:rsidR="00EA29F0" w:rsidRPr="0091436D">
              <w:rPr>
                <w:color w:val="000000" w:themeColor="text1"/>
              </w:rPr>
              <w:t>CTCN Knowledge Management System (</w:t>
            </w:r>
            <w:r w:rsidRPr="0091436D">
              <w:rPr>
                <w:color w:val="000000" w:themeColor="text1"/>
              </w:rPr>
              <w:t>KMS</w:t>
            </w:r>
            <w:r w:rsidR="00EA29F0" w:rsidRPr="0091436D">
              <w:rPr>
                <w:color w:val="000000" w:themeColor="text1"/>
              </w:rPr>
              <w:t>)</w:t>
            </w:r>
            <w:r w:rsidR="00AA49A2" w:rsidRPr="0091436D">
              <w:rPr>
                <w:color w:val="000000" w:themeColor="text1"/>
              </w:rPr>
              <w:t>, and showcase best practices from their country stakeholders.</w:t>
            </w:r>
            <w:r w:rsidRPr="0091436D">
              <w:rPr>
                <w:color w:val="000000" w:themeColor="text1"/>
              </w:rPr>
              <w:t xml:space="preserve"> e.g. trainings and e-learning materials, briefs, reports and other </w:t>
            </w:r>
            <w:r w:rsidR="0048610E">
              <w:rPr>
                <w:color w:val="000000" w:themeColor="text1"/>
              </w:rPr>
              <w:t>resources</w:t>
            </w:r>
          </w:p>
          <w:p w14:paraId="07EE7F28" w14:textId="247F7E60" w:rsidR="00AA49A2" w:rsidRPr="0091436D" w:rsidRDefault="00802CC7" w:rsidP="00B97BE9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color w:val="000000" w:themeColor="text1"/>
              </w:rPr>
            </w:pPr>
            <w:r w:rsidRPr="0091436D">
              <w:rPr>
                <w:color w:val="000000" w:themeColor="text1"/>
              </w:rPr>
              <w:t xml:space="preserve">Develop materials for the KMS based on the NDE experience in developed or developing countries on climate technologies. </w:t>
            </w:r>
            <w:proofErr w:type="gramStart"/>
            <w:r w:rsidRPr="0091436D">
              <w:rPr>
                <w:color w:val="000000" w:themeColor="text1"/>
              </w:rPr>
              <w:t>e.g</w:t>
            </w:r>
            <w:proofErr w:type="gramEnd"/>
            <w:r w:rsidRPr="0091436D">
              <w:rPr>
                <w:color w:val="000000" w:themeColor="text1"/>
              </w:rPr>
              <w:t>. write a brief on lesson</w:t>
            </w:r>
            <w:r w:rsidR="0075390B">
              <w:rPr>
                <w:color w:val="000000" w:themeColor="text1"/>
              </w:rPr>
              <w:t>s</w:t>
            </w:r>
            <w:r w:rsidRPr="0091436D">
              <w:rPr>
                <w:color w:val="000000" w:themeColor="text1"/>
              </w:rPr>
              <w:t xml:space="preserve"> learn</w:t>
            </w:r>
            <w:r w:rsidR="00A9593E" w:rsidRPr="0091436D">
              <w:rPr>
                <w:color w:val="000000" w:themeColor="text1"/>
              </w:rPr>
              <w:t>ed</w:t>
            </w:r>
            <w:r w:rsidR="004A398F" w:rsidRPr="0091436D">
              <w:rPr>
                <w:color w:val="000000" w:themeColor="text1"/>
              </w:rPr>
              <w:t xml:space="preserve"> from a past project</w:t>
            </w:r>
            <w:r w:rsidR="0048610E">
              <w:rPr>
                <w:color w:val="000000" w:themeColor="text1"/>
              </w:rPr>
              <w:t>.</w:t>
            </w:r>
          </w:p>
        </w:tc>
      </w:tr>
      <w:tr w:rsidR="003B2DE1" w:rsidRPr="0091436D" w14:paraId="4B116EA3" w14:textId="77777777" w:rsidTr="00AF10E3">
        <w:trPr>
          <w:trHeight w:val="2397"/>
        </w:trPr>
        <w:tc>
          <w:tcPr>
            <w:tcW w:w="2269" w:type="dxa"/>
          </w:tcPr>
          <w:p w14:paraId="6E42B5CF" w14:textId="77777777" w:rsidR="00DB24A5" w:rsidRPr="0091436D" w:rsidRDefault="003B2DE1" w:rsidP="00AB0EB7">
            <w:pPr>
              <w:pStyle w:val="Heading2"/>
              <w:numPr>
                <w:ilvl w:val="0"/>
                <w:numId w:val="36"/>
              </w:numPr>
              <w:spacing w:before="60" w:after="60"/>
              <w:outlineLvl w:val="1"/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</w:pPr>
            <w:r w:rsidRPr="0091436D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lastRenderedPageBreak/>
              <w:t>Increase collaboration and networking opportunities and develop the CTN</w:t>
            </w:r>
          </w:p>
        </w:tc>
        <w:tc>
          <w:tcPr>
            <w:tcW w:w="7796" w:type="dxa"/>
          </w:tcPr>
          <w:p w14:paraId="1045B758" w14:textId="5C33AC86" w:rsidR="003B2DE1" w:rsidRPr="0091436D" w:rsidRDefault="003B2DE1" w:rsidP="00F545EF">
            <w:pPr>
              <w:pStyle w:val="Heading2"/>
              <w:numPr>
                <w:ilvl w:val="0"/>
                <w:numId w:val="27"/>
              </w:numPr>
              <w:spacing w:before="60" w:after="60"/>
              <w:outlineLvl w:val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Identify and list</w:t>
            </w:r>
            <w:r w:rsidR="005E50C6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E50C6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programmes</w:t>
            </w:r>
            <w:proofErr w:type="spellEnd"/>
            <w:r w:rsidR="005E50C6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, initiatives and</w:t>
            </w:r>
            <w:r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organizations that </w:t>
            </w:r>
            <w:r w:rsidR="00867245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are related to climate technologies and CTCN activities</w:t>
            </w:r>
            <w:r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. </w:t>
            </w:r>
            <w:proofErr w:type="gramStart"/>
            <w:r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e.g</w:t>
            </w:r>
            <w:proofErr w:type="gramEnd"/>
            <w:r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. compile list of public agencies, government institutions, private companies, academic and research institutions, non-profits, intergovernmental organization, development agencies</w:t>
            </w:r>
          </w:p>
          <w:p w14:paraId="5D97693C" w14:textId="2918494E" w:rsidR="003B2DE1" w:rsidRPr="0091436D" w:rsidRDefault="003B2DE1" w:rsidP="00F545EF">
            <w:pPr>
              <w:pStyle w:val="Heading2"/>
              <w:numPr>
                <w:ilvl w:val="0"/>
                <w:numId w:val="27"/>
              </w:numPr>
              <w:spacing w:before="60" w:after="60"/>
              <w:outlineLvl w:val="1"/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</w:pPr>
            <w:r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Invite potential</w:t>
            </w:r>
            <w:r w:rsidR="00A11906"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 xml:space="preserve">ly interested organizations, </w:t>
            </w:r>
            <w:r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experts</w:t>
            </w:r>
            <w:r w:rsidR="00A11906"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 xml:space="preserve"> and decision-makers</w:t>
            </w:r>
            <w:r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 xml:space="preserve"> to CTCN events. </w:t>
            </w:r>
            <w:proofErr w:type="gramStart"/>
            <w:r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e.g</w:t>
            </w:r>
            <w:proofErr w:type="gramEnd"/>
            <w:r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. regional and international forums, trainings, workshop, peer learning programs</w:t>
            </w:r>
          </w:p>
          <w:p w14:paraId="14ACFA77" w14:textId="390495F6" w:rsidR="00972EBA" w:rsidRPr="0091436D" w:rsidRDefault="003B2DE1" w:rsidP="0022220B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color w:val="000000" w:themeColor="text1"/>
              </w:rPr>
            </w:pPr>
            <w:r w:rsidRPr="0091436D">
              <w:rPr>
                <w:color w:val="000000" w:themeColor="text1"/>
              </w:rPr>
              <w:t xml:space="preserve">Make relevant organizations aware of the </w:t>
            </w:r>
            <w:r w:rsidR="00F10959" w:rsidRPr="0091436D">
              <w:rPr>
                <w:color w:val="000000" w:themeColor="text1"/>
              </w:rPr>
              <w:t>CTN</w:t>
            </w:r>
            <w:r w:rsidR="00867245">
              <w:rPr>
                <w:color w:val="000000" w:themeColor="text1"/>
              </w:rPr>
              <w:t xml:space="preserve"> and encourage them to apply to the CTN</w:t>
            </w:r>
            <w:r w:rsidRPr="0091436D">
              <w:rPr>
                <w:color w:val="000000" w:themeColor="text1"/>
              </w:rPr>
              <w:t xml:space="preserve"> membership. e.g. send information to private and public companies, set-up meetings</w:t>
            </w:r>
          </w:p>
        </w:tc>
      </w:tr>
      <w:tr w:rsidR="00F10959" w:rsidRPr="0091436D" w14:paraId="439DFB47" w14:textId="77777777" w:rsidTr="00AF10E3">
        <w:trPr>
          <w:trHeight w:val="3018"/>
        </w:trPr>
        <w:tc>
          <w:tcPr>
            <w:tcW w:w="2269" w:type="dxa"/>
          </w:tcPr>
          <w:p w14:paraId="76CE4106" w14:textId="77777777" w:rsidR="00DB24A5" w:rsidRPr="0091436D" w:rsidRDefault="008F5CE5" w:rsidP="00AB0EB7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b/>
                <w:color w:val="000000" w:themeColor="text1"/>
              </w:rPr>
            </w:pPr>
            <w:r w:rsidRPr="0091436D">
              <w:rPr>
                <w:b/>
                <w:color w:val="000000" w:themeColor="text1"/>
              </w:rPr>
              <w:t>Play an active role in the CTCN as a network member</w:t>
            </w:r>
          </w:p>
          <w:p w14:paraId="61A16CE7" w14:textId="77777777" w:rsidR="00F10959" w:rsidRPr="0091436D" w:rsidRDefault="00F10959" w:rsidP="00F545EF">
            <w:pPr>
              <w:pStyle w:val="Heading2"/>
              <w:spacing w:before="60" w:after="60"/>
              <w:outlineLvl w:val="1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</w:tcPr>
          <w:p w14:paraId="0FC4335C" w14:textId="77777777" w:rsidR="005E50C6" w:rsidRDefault="00F10959" w:rsidP="001F2161">
            <w:pPr>
              <w:pStyle w:val="Heading2"/>
              <w:numPr>
                <w:ilvl w:val="0"/>
                <w:numId w:val="30"/>
              </w:numPr>
              <w:spacing w:before="60" w:after="60"/>
              <w:outlineLvl w:val="1"/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</w:pPr>
            <w:r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Participate</w:t>
            </w:r>
            <w:r w:rsidR="001F2161"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and contribute to</w:t>
            </w:r>
            <w:r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 xml:space="preserve">events </w:t>
            </w:r>
            <w:r w:rsidR="005E50C6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organized by the CTCN or related to climate technologies</w:t>
            </w:r>
          </w:p>
          <w:p w14:paraId="08DBBF26" w14:textId="7ED39695" w:rsidR="00F10959" w:rsidRPr="005472F4" w:rsidRDefault="0025241E" w:rsidP="005472F4">
            <w:pPr>
              <w:pStyle w:val="Heading2"/>
              <w:numPr>
                <w:ilvl w:val="0"/>
                <w:numId w:val="30"/>
              </w:numPr>
              <w:spacing w:before="60" w:after="60"/>
              <w:outlineLvl w:val="1"/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 xml:space="preserve">Support </w:t>
            </w:r>
            <w:r w:rsidR="005472F4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 xml:space="preserve">collaboration with the CTCN to organize joint events on climate technologies. </w:t>
            </w:r>
            <w:proofErr w:type="gramStart"/>
            <w:r w:rsidR="005472F4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e.g</w:t>
            </w:r>
            <w:proofErr w:type="gramEnd"/>
            <w:r w:rsidR="005472F4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="00F10959" w:rsidRPr="005472F4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international forums, regional forums, workshops for public-private partnerships, peer learning</w:t>
            </w:r>
            <w:r w:rsidR="0091436D" w:rsidRPr="005472F4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 xml:space="preserve">, NDE </w:t>
            </w:r>
            <w:r w:rsidR="005472F4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workshops</w:t>
            </w:r>
          </w:p>
          <w:p w14:paraId="5F97C993" w14:textId="77777777" w:rsidR="00F10959" w:rsidRPr="0091436D" w:rsidRDefault="001F2161" w:rsidP="001F2161">
            <w:pPr>
              <w:pStyle w:val="Heading2"/>
              <w:numPr>
                <w:ilvl w:val="0"/>
                <w:numId w:val="30"/>
              </w:numPr>
              <w:spacing w:before="60" w:after="60"/>
              <w:outlineLvl w:val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Answer</w:t>
            </w:r>
            <w:r w:rsidR="00F10959"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CTCN call</w:t>
            </w:r>
            <w:r w:rsidR="00E43952"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s</w:t>
            </w:r>
            <w:r w:rsidR="00F10959"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for technical assistance to </w:t>
            </w:r>
            <w:r w:rsidR="00666A95"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respond to </w:t>
            </w:r>
            <w:r w:rsidR="00F10959"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requests from Non-Annex I </w:t>
            </w:r>
            <w:r w:rsidR="00666A95"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NDEs</w:t>
            </w:r>
            <w:r w:rsidR="005C2EFA"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, if relevant to scope of expertise</w:t>
            </w:r>
            <w:r w:rsidRPr="0091436D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of the NDE</w:t>
            </w:r>
          </w:p>
          <w:p w14:paraId="39C7DE0A" w14:textId="52507869" w:rsidR="0091436D" w:rsidRPr="0091436D" w:rsidRDefault="0091436D" w:rsidP="0073493B">
            <w:pPr>
              <w:pStyle w:val="Heading2"/>
              <w:numPr>
                <w:ilvl w:val="0"/>
                <w:numId w:val="30"/>
              </w:numPr>
              <w:spacing w:before="60" w:after="60"/>
              <w:outlineLvl w:val="1"/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</w:pPr>
            <w:r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Provide</w:t>
            </w:r>
            <w:r w:rsidR="0025241E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, as applicable,</w:t>
            </w:r>
            <w:r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 xml:space="preserve"> general capacity-building support to Non Annex I NDEs with the CTCN. </w:t>
            </w:r>
            <w:proofErr w:type="gramStart"/>
            <w:r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e.g</w:t>
            </w:r>
            <w:proofErr w:type="gramEnd"/>
            <w:r w:rsidRPr="0091436D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. co-organize workshop to build NDE capacities, organize p</w:t>
            </w:r>
            <w:r w:rsidR="0073493B">
              <w:rPr>
                <w:rFonts w:asciiTheme="minorHAnsi" w:hAnsiTheme="minorHAnsi" w:cs="Calibri"/>
                <w:b w:val="0"/>
                <w:color w:val="000000" w:themeColor="text1"/>
                <w:sz w:val="22"/>
                <w:szCs w:val="22"/>
              </w:rPr>
              <w:t>eer visit, one-on-one mentoring</w:t>
            </w:r>
          </w:p>
        </w:tc>
      </w:tr>
    </w:tbl>
    <w:p w14:paraId="051DB144" w14:textId="74F31B6C" w:rsidR="0031552E" w:rsidRDefault="0031552E" w:rsidP="0031552E">
      <w:pPr>
        <w:spacing w:after="0" w:line="240" w:lineRule="auto"/>
      </w:pPr>
    </w:p>
    <w:sectPr w:rsidR="0031552E" w:rsidSect="00E23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0A5CD" w14:textId="77777777" w:rsidR="00F84086" w:rsidRDefault="00F84086" w:rsidP="00335DF6">
      <w:pPr>
        <w:spacing w:after="0" w:line="240" w:lineRule="auto"/>
      </w:pPr>
      <w:r>
        <w:separator/>
      </w:r>
    </w:p>
  </w:endnote>
  <w:endnote w:type="continuationSeparator" w:id="0">
    <w:p w14:paraId="48796FF8" w14:textId="77777777" w:rsidR="00F84086" w:rsidRDefault="00F84086" w:rsidP="0033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6292" w14:textId="77777777" w:rsidR="0046130A" w:rsidRDefault="004613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62C90" w14:textId="77777777" w:rsidR="0046130A" w:rsidRDefault="004613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3F80" w14:textId="77777777" w:rsidR="0046130A" w:rsidRDefault="00461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4E0CB" w14:textId="77777777" w:rsidR="00F84086" w:rsidRDefault="00F84086" w:rsidP="00335DF6">
      <w:pPr>
        <w:spacing w:after="0" w:line="240" w:lineRule="auto"/>
      </w:pPr>
      <w:r>
        <w:separator/>
      </w:r>
    </w:p>
  </w:footnote>
  <w:footnote w:type="continuationSeparator" w:id="0">
    <w:p w14:paraId="35F3BB80" w14:textId="77777777" w:rsidR="00F84086" w:rsidRDefault="00F84086" w:rsidP="0033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A1A65" w14:textId="50CBBA9A" w:rsidR="0048610E" w:rsidRDefault="004861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2B8BB" wp14:editId="5AA1CC5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0848B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" filled="f" stroked="f">
              <o:lock v:ext="edi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59837" w14:textId="74C55145" w:rsidR="0048610E" w:rsidRDefault="00E2335D">
    <w:pPr>
      <w:pStyle w:val="Header"/>
    </w:pPr>
    <w:r w:rsidRPr="00884181">
      <w:rPr>
        <w:noProof/>
      </w:rPr>
      <w:drawing>
        <wp:anchor distT="0" distB="0" distL="114300" distR="114300" simplePos="0" relativeHeight="251671552" behindDoc="1" locked="0" layoutInCell="0" allowOverlap="1" wp14:anchorId="5B576E10" wp14:editId="6EA92C56">
          <wp:simplePos x="0" y="0"/>
          <wp:positionH relativeFrom="column">
            <wp:posOffset>1841500</wp:posOffset>
          </wp:positionH>
          <wp:positionV relativeFrom="paragraph">
            <wp:posOffset>-152400</wp:posOffset>
          </wp:positionV>
          <wp:extent cx="2146300" cy="552450"/>
          <wp:effectExtent l="0" t="0" r="1270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610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590DC" wp14:editId="47327DD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F3EE9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" filled="f" stroked="f">
              <o:lock v:ext="edit" text="t" shapetype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834E3" w14:textId="32C28D93" w:rsidR="0048610E" w:rsidRDefault="004861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951A23" wp14:editId="59DE476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2376C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85CC350"/>
    <w:lvl w:ilvl="0">
      <w:numFmt w:val="bullet"/>
      <w:lvlText w:val="*"/>
      <w:lvlJc w:val="left"/>
    </w:lvl>
  </w:abstractNum>
  <w:abstractNum w:abstractNumId="1">
    <w:nsid w:val="003064B5"/>
    <w:multiLevelType w:val="hybridMultilevel"/>
    <w:tmpl w:val="18DE7E6A"/>
    <w:lvl w:ilvl="0" w:tplc="AC12AB7A">
      <w:start w:val="1"/>
      <w:numFmt w:val="lowerLetter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95071"/>
    <w:multiLevelType w:val="hybridMultilevel"/>
    <w:tmpl w:val="904AD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62972ED"/>
    <w:multiLevelType w:val="hybridMultilevel"/>
    <w:tmpl w:val="8B0CBB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9B477FB"/>
    <w:multiLevelType w:val="hybridMultilevel"/>
    <w:tmpl w:val="58A2DB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D843C4"/>
    <w:multiLevelType w:val="multilevel"/>
    <w:tmpl w:val="58A2D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1A3BD9"/>
    <w:multiLevelType w:val="hybridMultilevel"/>
    <w:tmpl w:val="6B82D5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07CB6"/>
    <w:multiLevelType w:val="hybridMultilevel"/>
    <w:tmpl w:val="5D7CD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7C2F06"/>
    <w:multiLevelType w:val="hybridMultilevel"/>
    <w:tmpl w:val="4E2E9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EB2833"/>
    <w:multiLevelType w:val="hybridMultilevel"/>
    <w:tmpl w:val="BCB03B40"/>
    <w:lvl w:ilvl="0" w:tplc="A2FC281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87CE2"/>
    <w:multiLevelType w:val="hybridMultilevel"/>
    <w:tmpl w:val="9154E1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7655D5"/>
    <w:multiLevelType w:val="hybridMultilevel"/>
    <w:tmpl w:val="323441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F16A3"/>
    <w:multiLevelType w:val="hybridMultilevel"/>
    <w:tmpl w:val="09CA0F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0058F"/>
    <w:multiLevelType w:val="hybridMultilevel"/>
    <w:tmpl w:val="D0746D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33B62"/>
    <w:multiLevelType w:val="hybridMultilevel"/>
    <w:tmpl w:val="CF907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2270B"/>
    <w:multiLevelType w:val="hybridMultilevel"/>
    <w:tmpl w:val="9B128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A2DE6"/>
    <w:multiLevelType w:val="hybridMultilevel"/>
    <w:tmpl w:val="F9FE2EC4"/>
    <w:lvl w:ilvl="0" w:tplc="2B140F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3583F"/>
    <w:multiLevelType w:val="hybridMultilevel"/>
    <w:tmpl w:val="4C7EF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743E19"/>
    <w:multiLevelType w:val="hybridMultilevel"/>
    <w:tmpl w:val="6C5C78B6"/>
    <w:lvl w:ilvl="0" w:tplc="45D45A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F7ECC"/>
    <w:multiLevelType w:val="hybridMultilevel"/>
    <w:tmpl w:val="307C5440"/>
    <w:lvl w:ilvl="0" w:tplc="E50EE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C20E9"/>
    <w:multiLevelType w:val="hybridMultilevel"/>
    <w:tmpl w:val="78BE7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27455"/>
    <w:multiLevelType w:val="hybridMultilevel"/>
    <w:tmpl w:val="766C9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83132"/>
    <w:multiLevelType w:val="hybridMultilevel"/>
    <w:tmpl w:val="279AC2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E775E"/>
    <w:multiLevelType w:val="multilevel"/>
    <w:tmpl w:val="4C7EFC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0A4EC2"/>
    <w:multiLevelType w:val="multilevel"/>
    <w:tmpl w:val="4E2E9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9A07D8"/>
    <w:multiLevelType w:val="hybridMultilevel"/>
    <w:tmpl w:val="F9FE2EC4"/>
    <w:lvl w:ilvl="0" w:tplc="2B140F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12BFF"/>
    <w:multiLevelType w:val="hybridMultilevel"/>
    <w:tmpl w:val="D7402AA8"/>
    <w:lvl w:ilvl="0" w:tplc="B5481F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785CC350"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072B3"/>
    <w:multiLevelType w:val="hybridMultilevel"/>
    <w:tmpl w:val="410CF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C63B9"/>
    <w:multiLevelType w:val="hybridMultilevel"/>
    <w:tmpl w:val="A50C456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36B76"/>
    <w:multiLevelType w:val="hybridMultilevel"/>
    <w:tmpl w:val="81703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303D0"/>
    <w:multiLevelType w:val="hybridMultilevel"/>
    <w:tmpl w:val="BC20CB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7358F"/>
    <w:multiLevelType w:val="hybridMultilevel"/>
    <w:tmpl w:val="1892ED02"/>
    <w:lvl w:ilvl="0" w:tplc="08BA453E">
      <w:start w:val="1"/>
      <w:numFmt w:val="lowerRoman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C42EF"/>
    <w:multiLevelType w:val="hybridMultilevel"/>
    <w:tmpl w:val="1892ED02"/>
    <w:lvl w:ilvl="0" w:tplc="08BA453E">
      <w:start w:val="1"/>
      <w:numFmt w:val="lowerRoman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C5A33"/>
    <w:multiLevelType w:val="hybridMultilevel"/>
    <w:tmpl w:val="307C5440"/>
    <w:lvl w:ilvl="0" w:tplc="E50EE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67506"/>
    <w:multiLevelType w:val="multilevel"/>
    <w:tmpl w:val="5AFE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925A79"/>
    <w:multiLevelType w:val="hybridMultilevel"/>
    <w:tmpl w:val="3FA4C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>
    <w:nsid w:val="6FAE3402"/>
    <w:multiLevelType w:val="hybridMultilevel"/>
    <w:tmpl w:val="50484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71494"/>
    <w:multiLevelType w:val="multilevel"/>
    <w:tmpl w:val="1D8CD612"/>
    <w:lvl w:ilvl="0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E06167"/>
    <w:multiLevelType w:val="hybridMultilevel"/>
    <w:tmpl w:val="BC0228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62E78"/>
    <w:multiLevelType w:val="multilevel"/>
    <w:tmpl w:val="C63E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77249C"/>
    <w:multiLevelType w:val="multilevel"/>
    <w:tmpl w:val="6B82D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9A54CF"/>
    <w:multiLevelType w:val="hybridMultilevel"/>
    <w:tmpl w:val="98522A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7802AD"/>
    <w:multiLevelType w:val="multilevel"/>
    <w:tmpl w:val="CF907F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44CCB"/>
    <w:multiLevelType w:val="hybridMultilevel"/>
    <w:tmpl w:val="CAE8AC72"/>
    <w:lvl w:ilvl="0" w:tplc="A39893F6">
      <w:start w:val="1"/>
      <w:numFmt w:val="lowerLetter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C2F6C"/>
    <w:multiLevelType w:val="hybridMultilevel"/>
    <w:tmpl w:val="C88E8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33"/>
  </w:num>
  <w:num w:numId="3">
    <w:abstractNumId w:val="19"/>
  </w:num>
  <w:num w:numId="4">
    <w:abstractNumId w:val="2"/>
  </w:num>
  <w:num w:numId="5">
    <w:abstractNumId w:val="26"/>
  </w:num>
  <w:num w:numId="6">
    <w:abstractNumId w:val="35"/>
  </w:num>
  <w:num w:numId="7">
    <w:abstractNumId w:val="32"/>
  </w:num>
  <w:num w:numId="8">
    <w:abstractNumId w:val="31"/>
  </w:num>
  <w:num w:numId="9">
    <w:abstractNumId w:val="11"/>
  </w:num>
  <w:num w:numId="10">
    <w:abstractNumId w:val="10"/>
  </w:num>
  <w:num w:numId="11">
    <w:abstractNumId w:val="3"/>
  </w:num>
  <w:num w:numId="12">
    <w:abstractNumId w:val="25"/>
  </w:num>
  <w:num w:numId="13">
    <w:abstractNumId w:val="18"/>
  </w:num>
  <w:num w:numId="14">
    <w:abstractNumId w:val="29"/>
  </w:num>
  <w:num w:numId="15">
    <w:abstractNumId w:val="16"/>
  </w:num>
  <w:num w:numId="16">
    <w:abstractNumId w:val="41"/>
  </w:num>
  <w:num w:numId="17">
    <w:abstractNumId w:val="38"/>
  </w:num>
  <w:num w:numId="18">
    <w:abstractNumId w:val="28"/>
  </w:num>
  <w:num w:numId="19">
    <w:abstractNumId w:val="37"/>
  </w:num>
  <w:num w:numId="20">
    <w:abstractNumId w:val="27"/>
  </w:num>
  <w:num w:numId="21">
    <w:abstractNumId w:val="22"/>
  </w:num>
  <w:num w:numId="22">
    <w:abstractNumId w:val="44"/>
  </w:num>
  <w:num w:numId="23">
    <w:abstractNumId w:val="13"/>
  </w:num>
  <w:num w:numId="24">
    <w:abstractNumId w:val="12"/>
  </w:num>
  <w:num w:numId="25">
    <w:abstractNumId w:val="21"/>
  </w:num>
  <w:num w:numId="26">
    <w:abstractNumId w:val="36"/>
  </w:num>
  <w:num w:numId="27">
    <w:abstractNumId w:val="20"/>
  </w:num>
  <w:num w:numId="28">
    <w:abstractNumId w:val="43"/>
  </w:num>
  <w:num w:numId="29">
    <w:abstractNumId w:val="9"/>
  </w:num>
  <w:num w:numId="30">
    <w:abstractNumId w:val="30"/>
  </w:num>
  <w:num w:numId="31">
    <w:abstractNumId w:val="1"/>
  </w:num>
  <w:num w:numId="32">
    <w:abstractNumId w:val="14"/>
  </w:num>
  <w:num w:numId="33">
    <w:abstractNumId w:val="15"/>
  </w:num>
  <w:num w:numId="34">
    <w:abstractNumId w:val="39"/>
  </w:num>
  <w:num w:numId="35">
    <w:abstractNumId w:val="34"/>
  </w:num>
  <w:num w:numId="36">
    <w:abstractNumId w:val="7"/>
  </w:num>
  <w:num w:numId="37">
    <w:abstractNumId w:val="8"/>
  </w:num>
  <w:num w:numId="38">
    <w:abstractNumId w:val="24"/>
  </w:num>
  <w:num w:numId="39">
    <w:abstractNumId w:val="6"/>
  </w:num>
  <w:num w:numId="40">
    <w:abstractNumId w:val="40"/>
  </w:num>
  <w:num w:numId="41">
    <w:abstractNumId w:val="4"/>
  </w:num>
  <w:num w:numId="42">
    <w:abstractNumId w:val="5"/>
  </w:num>
  <w:num w:numId="43">
    <w:abstractNumId w:val="17"/>
  </w:num>
  <w:num w:numId="44">
    <w:abstractNumId w:val="2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2A"/>
    <w:rsid w:val="00003FF3"/>
    <w:rsid w:val="00016A63"/>
    <w:rsid w:val="00017B89"/>
    <w:rsid w:val="00020C13"/>
    <w:rsid w:val="00031247"/>
    <w:rsid w:val="0003169F"/>
    <w:rsid w:val="00042AE6"/>
    <w:rsid w:val="000446E2"/>
    <w:rsid w:val="00056404"/>
    <w:rsid w:val="00060173"/>
    <w:rsid w:val="00062B9C"/>
    <w:rsid w:val="00065D54"/>
    <w:rsid w:val="00084657"/>
    <w:rsid w:val="000850EF"/>
    <w:rsid w:val="00091FD3"/>
    <w:rsid w:val="00092FBC"/>
    <w:rsid w:val="00093D40"/>
    <w:rsid w:val="000A0DF6"/>
    <w:rsid w:val="000A0FBF"/>
    <w:rsid w:val="000A1B97"/>
    <w:rsid w:val="000A2881"/>
    <w:rsid w:val="000A49F6"/>
    <w:rsid w:val="000A7286"/>
    <w:rsid w:val="000B2475"/>
    <w:rsid w:val="000C0899"/>
    <w:rsid w:val="000C0E27"/>
    <w:rsid w:val="000C568D"/>
    <w:rsid w:val="000D0319"/>
    <w:rsid w:val="000D1B83"/>
    <w:rsid w:val="000D73B8"/>
    <w:rsid w:val="000D73CF"/>
    <w:rsid w:val="000E3285"/>
    <w:rsid w:val="000E3B74"/>
    <w:rsid w:val="000F1611"/>
    <w:rsid w:val="00111A39"/>
    <w:rsid w:val="00116B09"/>
    <w:rsid w:val="001226B0"/>
    <w:rsid w:val="001247A8"/>
    <w:rsid w:val="00137095"/>
    <w:rsid w:val="001634BC"/>
    <w:rsid w:val="0016458E"/>
    <w:rsid w:val="001656BC"/>
    <w:rsid w:val="00165F08"/>
    <w:rsid w:val="00167651"/>
    <w:rsid w:val="001744F9"/>
    <w:rsid w:val="001804A7"/>
    <w:rsid w:val="00181773"/>
    <w:rsid w:val="00183D8D"/>
    <w:rsid w:val="00184BB9"/>
    <w:rsid w:val="00185C35"/>
    <w:rsid w:val="00190273"/>
    <w:rsid w:val="001909F2"/>
    <w:rsid w:val="00194615"/>
    <w:rsid w:val="001A50CD"/>
    <w:rsid w:val="001C7942"/>
    <w:rsid w:val="001D27ED"/>
    <w:rsid w:val="001E0711"/>
    <w:rsid w:val="001E21B9"/>
    <w:rsid w:val="001F2161"/>
    <w:rsid w:val="001F440F"/>
    <w:rsid w:val="001F5A06"/>
    <w:rsid w:val="001F5BEB"/>
    <w:rsid w:val="001F61F3"/>
    <w:rsid w:val="00200085"/>
    <w:rsid w:val="00200DBA"/>
    <w:rsid w:val="0020327D"/>
    <w:rsid w:val="0021101C"/>
    <w:rsid w:val="002133F0"/>
    <w:rsid w:val="002153EC"/>
    <w:rsid w:val="002165E5"/>
    <w:rsid w:val="00221BAA"/>
    <w:rsid w:val="0022220B"/>
    <w:rsid w:val="00231ACD"/>
    <w:rsid w:val="00231B20"/>
    <w:rsid w:val="00234CE4"/>
    <w:rsid w:val="00241162"/>
    <w:rsid w:val="00245032"/>
    <w:rsid w:val="00250222"/>
    <w:rsid w:val="00250260"/>
    <w:rsid w:val="0025241E"/>
    <w:rsid w:val="00253FB5"/>
    <w:rsid w:val="002540FC"/>
    <w:rsid w:val="002618A0"/>
    <w:rsid w:val="00276A3B"/>
    <w:rsid w:val="00276DAF"/>
    <w:rsid w:val="002836D9"/>
    <w:rsid w:val="00286315"/>
    <w:rsid w:val="00287792"/>
    <w:rsid w:val="00287CCB"/>
    <w:rsid w:val="00292FFF"/>
    <w:rsid w:val="002A0ADE"/>
    <w:rsid w:val="002A2E6B"/>
    <w:rsid w:val="002A608A"/>
    <w:rsid w:val="002B41DE"/>
    <w:rsid w:val="002B6F97"/>
    <w:rsid w:val="002C5C11"/>
    <w:rsid w:val="002D5AA5"/>
    <w:rsid w:val="002D6841"/>
    <w:rsid w:val="002E3C73"/>
    <w:rsid w:val="002E424C"/>
    <w:rsid w:val="002E7D22"/>
    <w:rsid w:val="0030643A"/>
    <w:rsid w:val="0030722E"/>
    <w:rsid w:val="0030796E"/>
    <w:rsid w:val="00311B5A"/>
    <w:rsid w:val="003122DA"/>
    <w:rsid w:val="0031552E"/>
    <w:rsid w:val="00316D54"/>
    <w:rsid w:val="00331176"/>
    <w:rsid w:val="00335DF6"/>
    <w:rsid w:val="00343696"/>
    <w:rsid w:val="003448DF"/>
    <w:rsid w:val="00351557"/>
    <w:rsid w:val="0035640D"/>
    <w:rsid w:val="003633D7"/>
    <w:rsid w:val="0037357E"/>
    <w:rsid w:val="00377848"/>
    <w:rsid w:val="003803D5"/>
    <w:rsid w:val="003851E9"/>
    <w:rsid w:val="003917AE"/>
    <w:rsid w:val="00394CB7"/>
    <w:rsid w:val="00395636"/>
    <w:rsid w:val="003971C1"/>
    <w:rsid w:val="003A05EE"/>
    <w:rsid w:val="003A24CB"/>
    <w:rsid w:val="003B2DE1"/>
    <w:rsid w:val="003B440D"/>
    <w:rsid w:val="003B6E48"/>
    <w:rsid w:val="003C4261"/>
    <w:rsid w:val="003C649C"/>
    <w:rsid w:val="003E057E"/>
    <w:rsid w:val="003E0E0C"/>
    <w:rsid w:val="003E6EED"/>
    <w:rsid w:val="004004B6"/>
    <w:rsid w:val="00400699"/>
    <w:rsid w:val="00400AD7"/>
    <w:rsid w:val="00402560"/>
    <w:rsid w:val="00402E31"/>
    <w:rsid w:val="004044F5"/>
    <w:rsid w:val="004064BC"/>
    <w:rsid w:val="004156E0"/>
    <w:rsid w:val="004304EA"/>
    <w:rsid w:val="00430EB3"/>
    <w:rsid w:val="004312DB"/>
    <w:rsid w:val="004349D9"/>
    <w:rsid w:val="00452F0D"/>
    <w:rsid w:val="0046130A"/>
    <w:rsid w:val="00461F7D"/>
    <w:rsid w:val="00467D64"/>
    <w:rsid w:val="0048610E"/>
    <w:rsid w:val="00492E63"/>
    <w:rsid w:val="004A2A27"/>
    <w:rsid w:val="004A398F"/>
    <w:rsid w:val="004B0251"/>
    <w:rsid w:val="004B22BE"/>
    <w:rsid w:val="004B2E88"/>
    <w:rsid w:val="004C1A9F"/>
    <w:rsid w:val="004E1A97"/>
    <w:rsid w:val="004E1D3C"/>
    <w:rsid w:val="004E3423"/>
    <w:rsid w:val="004E764C"/>
    <w:rsid w:val="00500EAF"/>
    <w:rsid w:val="00502ECA"/>
    <w:rsid w:val="00514795"/>
    <w:rsid w:val="005168D8"/>
    <w:rsid w:val="00520F79"/>
    <w:rsid w:val="00524EE8"/>
    <w:rsid w:val="0053045A"/>
    <w:rsid w:val="005321EF"/>
    <w:rsid w:val="0053294F"/>
    <w:rsid w:val="0054132A"/>
    <w:rsid w:val="00543832"/>
    <w:rsid w:val="005472F4"/>
    <w:rsid w:val="00552C80"/>
    <w:rsid w:val="005545C1"/>
    <w:rsid w:val="00560EDA"/>
    <w:rsid w:val="00567348"/>
    <w:rsid w:val="00581094"/>
    <w:rsid w:val="005815C9"/>
    <w:rsid w:val="0058213E"/>
    <w:rsid w:val="00590F83"/>
    <w:rsid w:val="005912EA"/>
    <w:rsid w:val="005945A1"/>
    <w:rsid w:val="00595C51"/>
    <w:rsid w:val="0059764E"/>
    <w:rsid w:val="005A117E"/>
    <w:rsid w:val="005A2583"/>
    <w:rsid w:val="005B0DA0"/>
    <w:rsid w:val="005B6470"/>
    <w:rsid w:val="005B64D4"/>
    <w:rsid w:val="005C02FF"/>
    <w:rsid w:val="005C2EFA"/>
    <w:rsid w:val="005C6242"/>
    <w:rsid w:val="005C662D"/>
    <w:rsid w:val="005D3131"/>
    <w:rsid w:val="005D7B03"/>
    <w:rsid w:val="005E50C6"/>
    <w:rsid w:val="006120C9"/>
    <w:rsid w:val="0061732A"/>
    <w:rsid w:val="00627882"/>
    <w:rsid w:val="00636636"/>
    <w:rsid w:val="0064646B"/>
    <w:rsid w:val="00647200"/>
    <w:rsid w:val="00647D3E"/>
    <w:rsid w:val="00666A95"/>
    <w:rsid w:val="0067209F"/>
    <w:rsid w:val="006747EC"/>
    <w:rsid w:val="00677EEB"/>
    <w:rsid w:val="0068003D"/>
    <w:rsid w:val="006812CB"/>
    <w:rsid w:val="006815D5"/>
    <w:rsid w:val="00691F0A"/>
    <w:rsid w:val="00693CCE"/>
    <w:rsid w:val="006B4776"/>
    <w:rsid w:val="006B7989"/>
    <w:rsid w:val="006C7BD4"/>
    <w:rsid w:val="006D2A4A"/>
    <w:rsid w:val="006E164E"/>
    <w:rsid w:val="006F2BB7"/>
    <w:rsid w:val="006F49DA"/>
    <w:rsid w:val="007040E6"/>
    <w:rsid w:val="007138AE"/>
    <w:rsid w:val="0072064D"/>
    <w:rsid w:val="0073493B"/>
    <w:rsid w:val="007376AE"/>
    <w:rsid w:val="00741A11"/>
    <w:rsid w:val="0075390B"/>
    <w:rsid w:val="007655B8"/>
    <w:rsid w:val="007661E8"/>
    <w:rsid w:val="00766F26"/>
    <w:rsid w:val="0076724C"/>
    <w:rsid w:val="00767E5E"/>
    <w:rsid w:val="007863EB"/>
    <w:rsid w:val="00786628"/>
    <w:rsid w:val="007B76AF"/>
    <w:rsid w:val="007C1BE8"/>
    <w:rsid w:val="007C7A9F"/>
    <w:rsid w:val="007D4D33"/>
    <w:rsid w:val="007E1007"/>
    <w:rsid w:val="007E113F"/>
    <w:rsid w:val="007E1D2A"/>
    <w:rsid w:val="007E1FA8"/>
    <w:rsid w:val="007E6DB3"/>
    <w:rsid w:val="0080020F"/>
    <w:rsid w:val="00802CC7"/>
    <w:rsid w:val="00813EF0"/>
    <w:rsid w:val="00831582"/>
    <w:rsid w:val="00833473"/>
    <w:rsid w:val="0085163E"/>
    <w:rsid w:val="008565CD"/>
    <w:rsid w:val="00856804"/>
    <w:rsid w:val="00857A44"/>
    <w:rsid w:val="008606DB"/>
    <w:rsid w:val="00867245"/>
    <w:rsid w:val="008762AC"/>
    <w:rsid w:val="0088625A"/>
    <w:rsid w:val="00887C2F"/>
    <w:rsid w:val="00897CDE"/>
    <w:rsid w:val="008A0137"/>
    <w:rsid w:val="008A0890"/>
    <w:rsid w:val="008C0A11"/>
    <w:rsid w:val="008C1C27"/>
    <w:rsid w:val="008C2CD2"/>
    <w:rsid w:val="008D1C57"/>
    <w:rsid w:val="008D3544"/>
    <w:rsid w:val="008E0012"/>
    <w:rsid w:val="008E4CF5"/>
    <w:rsid w:val="008E661C"/>
    <w:rsid w:val="008F1497"/>
    <w:rsid w:val="008F5CE5"/>
    <w:rsid w:val="008F6704"/>
    <w:rsid w:val="00901B3F"/>
    <w:rsid w:val="00902FE8"/>
    <w:rsid w:val="00910891"/>
    <w:rsid w:val="0091333E"/>
    <w:rsid w:val="0091436D"/>
    <w:rsid w:val="00923B78"/>
    <w:rsid w:val="00925C09"/>
    <w:rsid w:val="009267E2"/>
    <w:rsid w:val="00942C6F"/>
    <w:rsid w:val="0094312A"/>
    <w:rsid w:val="00944DC5"/>
    <w:rsid w:val="00946AB3"/>
    <w:rsid w:val="00954042"/>
    <w:rsid w:val="00954ED4"/>
    <w:rsid w:val="009605E4"/>
    <w:rsid w:val="00962189"/>
    <w:rsid w:val="00972B8C"/>
    <w:rsid w:val="00972EBA"/>
    <w:rsid w:val="0098587C"/>
    <w:rsid w:val="00985947"/>
    <w:rsid w:val="00986CFE"/>
    <w:rsid w:val="00987174"/>
    <w:rsid w:val="00992E19"/>
    <w:rsid w:val="009936D9"/>
    <w:rsid w:val="009937DA"/>
    <w:rsid w:val="00996EBE"/>
    <w:rsid w:val="009A0983"/>
    <w:rsid w:val="009A25BD"/>
    <w:rsid w:val="009C0F45"/>
    <w:rsid w:val="009C11D9"/>
    <w:rsid w:val="009E3270"/>
    <w:rsid w:val="009E70CC"/>
    <w:rsid w:val="009E7B1F"/>
    <w:rsid w:val="009F4366"/>
    <w:rsid w:val="00A0291A"/>
    <w:rsid w:val="00A02F36"/>
    <w:rsid w:val="00A0335A"/>
    <w:rsid w:val="00A11906"/>
    <w:rsid w:val="00A26B48"/>
    <w:rsid w:val="00A271BA"/>
    <w:rsid w:val="00A31A21"/>
    <w:rsid w:val="00A4393E"/>
    <w:rsid w:val="00A43D98"/>
    <w:rsid w:val="00A51BEA"/>
    <w:rsid w:val="00A54672"/>
    <w:rsid w:val="00A6266E"/>
    <w:rsid w:val="00A668A6"/>
    <w:rsid w:val="00A66C6F"/>
    <w:rsid w:val="00A8071D"/>
    <w:rsid w:val="00A8394C"/>
    <w:rsid w:val="00A91533"/>
    <w:rsid w:val="00A9593E"/>
    <w:rsid w:val="00A97E79"/>
    <w:rsid w:val="00AA08DA"/>
    <w:rsid w:val="00AA49A2"/>
    <w:rsid w:val="00AA5E06"/>
    <w:rsid w:val="00AA7912"/>
    <w:rsid w:val="00AB0EB7"/>
    <w:rsid w:val="00AB2E7E"/>
    <w:rsid w:val="00AB739C"/>
    <w:rsid w:val="00AC4792"/>
    <w:rsid w:val="00AC6956"/>
    <w:rsid w:val="00AD0577"/>
    <w:rsid w:val="00AD1FF7"/>
    <w:rsid w:val="00AD5AE0"/>
    <w:rsid w:val="00AF10E3"/>
    <w:rsid w:val="00AF4B89"/>
    <w:rsid w:val="00B128C0"/>
    <w:rsid w:val="00B156E1"/>
    <w:rsid w:val="00B263F9"/>
    <w:rsid w:val="00B32357"/>
    <w:rsid w:val="00B406B8"/>
    <w:rsid w:val="00B46AC4"/>
    <w:rsid w:val="00B475FD"/>
    <w:rsid w:val="00B60883"/>
    <w:rsid w:val="00B62643"/>
    <w:rsid w:val="00B741DB"/>
    <w:rsid w:val="00B84261"/>
    <w:rsid w:val="00B86644"/>
    <w:rsid w:val="00B91165"/>
    <w:rsid w:val="00B97BE9"/>
    <w:rsid w:val="00BA5D7A"/>
    <w:rsid w:val="00BB4932"/>
    <w:rsid w:val="00BB6098"/>
    <w:rsid w:val="00BC49B0"/>
    <w:rsid w:val="00BC686E"/>
    <w:rsid w:val="00BE3D23"/>
    <w:rsid w:val="00BF1E88"/>
    <w:rsid w:val="00BF27FC"/>
    <w:rsid w:val="00BF2C65"/>
    <w:rsid w:val="00C00126"/>
    <w:rsid w:val="00C028D0"/>
    <w:rsid w:val="00C11BB5"/>
    <w:rsid w:val="00C11D01"/>
    <w:rsid w:val="00C138B7"/>
    <w:rsid w:val="00C21972"/>
    <w:rsid w:val="00C2614F"/>
    <w:rsid w:val="00C2653B"/>
    <w:rsid w:val="00C27AC2"/>
    <w:rsid w:val="00C30109"/>
    <w:rsid w:val="00C331E5"/>
    <w:rsid w:val="00C40562"/>
    <w:rsid w:val="00C42922"/>
    <w:rsid w:val="00C4571E"/>
    <w:rsid w:val="00C5133C"/>
    <w:rsid w:val="00C51E65"/>
    <w:rsid w:val="00C538EB"/>
    <w:rsid w:val="00C53FC0"/>
    <w:rsid w:val="00C54293"/>
    <w:rsid w:val="00C7357A"/>
    <w:rsid w:val="00C7413B"/>
    <w:rsid w:val="00C74FFE"/>
    <w:rsid w:val="00C77270"/>
    <w:rsid w:val="00C776A8"/>
    <w:rsid w:val="00C83093"/>
    <w:rsid w:val="00CA6389"/>
    <w:rsid w:val="00CB44B5"/>
    <w:rsid w:val="00CB5614"/>
    <w:rsid w:val="00CB7188"/>
    <w:rsid w:val="00CB7D51"/>
    <w:rsid w:val="00CC2110"/>
    <w:rsid w:val="00CC3B36"/>
    <w:rsid w:val="00CC3CC3"/>
    <w:rsid w:val="00CC5760"/>
    <w:rsid w:val="00CD0A3D"/>
    <w:rsid w:val="00CD2491"/>
    <w:rsid w:val="00CD51E0"/>
    <w:rsid w:val="00CD60C4"/>
    <w:rsid w:val="00CE253A"/>
    <w:rsid w:val="00CF3604"/>
    <w:rsid w:val="00D00233"/>
    <w:rsid w:val="00D0671D"/>
    <w:rsid w:val="00D23C10"/>
    <w:rsid w:val="00D3361B"/>
    <w:rsid w:val="00D43F91"/>
    <w:rsid w:val="00D45F1B"/>
    <w:rsid w:val="00D5694D"/>
    <w:rsid w:val="00D577D6"/>
    <w:rsid w:val="00D61491"/>
    <w:rsid w:val="00D6752F"/>
    <w:rsid w:val="00D7270B"/>
    <w:rsid w:val="00D7279C"/>
    <w:rsid w:val="00D83395"/>
    <w:rsid w:val="00D86310"/>
    <w:rsid w:val="00D86F0A"/>
    <w:rsid w:val="00D875CB"/>
    <w:rsid w:val="00DA571F"/>
    <w:rsid w:val="00DA6D4B"/>
    <w:rsid w:val="00DB0217"/>
    <w:rsid w:val="00DB0A53"/>
    <w:rsid w:val="00DB24A5"/>
    <w:rsid w:val="00DC5DAA"/>
    <w:rsid w:val="00DD1398"/>
    <w:rsid w:val="00DD5AD9"/>
    <w:rsid w:val="00DD6B17"/>
    <w:rsid w:val="00DE5109"/>
    <w:rsid w:val="00DE51BA"/>
    <w:rsid w:val="00DE610E"/>
    <w:rsid w:val="00DE6988"/>
    <w:rsid w:val="00DE7429"/>
    <w:rsid w:val="00E2335D"/>
    <w:rsid w:val="00E2445D"/>
    <w:rsid w:val="00E26894"/>
    <w:rsid w:val="00E26A7F"/>
    <w:rsid w:val="00E35E93"/>
    <w:rsid w:val="00E377F3"/>
    <w:rsid w:val="00E4297C"/>
    <w:rsid w:val="00E4298C"/>
    <w:rsid w:val="00E42E7A"/>
    <w:rsid w:val="00E43952"/>
    <w:rsid w:val="00E478D9"/>
    <w:rsid w:val="00E51EDC"/>
    <w:rsid w:val="00E62EA9"/>
    <w:rsid w:val="00E63054"/>
    <w:rsid w:val="00E644A4"/>
    <w:rsid w:val="00E67D62"/>
    <w:rsid w:val="00E708AD"/>
    <w:rsid w:val="00E715A6"/>
    <w:rsid w:val="00E72290"/>
    <w:rsid w:val="00E743B3"/>
    <w:rsid w:val="00E81225"/>
    <w:rsid w:val="00E82704"/>
    <w:rsid w:val="00E83DB2"/>
    <w:rsid w:val="00E8507A"/>
    <w:rsid w:val="00EA2989"/>
    <w:rsid w:val="00EA29F0"/>
    <w:rsid w:val="00EB092C"/>
    <w:rsid w:val="00EB6632"/>
    <w:rsid w:val="00EC5C30"/>
    <w:rsid w:val="00EC6A11"/>
    <w:rsid w:val="00ED6A8C"/>
    <w:rsid w:val="00EE6F06"/>
    <w:rsid w:val="00EF237C"/>
    <w:rsid w:val="00F10959"/>
    <w:rsid w:val="00F12BD6"/>
    <w:rsid w:val="00F20791"/>
    <w:rsid w:val="00F22CE7"/>
    <w:rsid w:val="00F23CB4"/>
    <w:rsid w:val="00F32506"/>
    <w:rsid w:val="00F34096"/>
    <w:rsid w:val="00F35B9D"/>
    <w:rsid w:val="00F37023"/>
    <w:rsid w:val="00F37D59"/>
    <w:rsid w:val="00F45BF7"/>
    <w:rsid w:val="00F519C8"/>
    <w:rsid w:val="00F521C9"/>
    <w:rsid w:val="00F545EF"/>
    <w:rsid w:val="00F55228"/>
    <w:rsid w:val="00F63BDF"/>
    <w:rsid w:val="00F6504A"/>
    <w:rsid w:val="00F66AB9"/>
    <w:rsid w:val="00F70739"/>
    <w:rsid w:val="00F723E3"/>
    <w:rsid w:val="00F83661"/>
    <w:rsid w:val="00F84086"/>
    <w:rsid w:val="00FA19A6"/>
    <w:rsid w:val="00FA4F90"/>
    <w:rsid w:val="00FA5667"/>
    <w:rsid w:val="00FA56F0"/>
    <w:rsid w:val="00FB04A0"/>
    <w:rsid w:val="00FB2CA5"/>
    <w:rsid w:val="00FB4576"/>
    <w:rsid w:val="00FB4F72"/>
    <w:rsid w:val="00FB74E6"/>
    <w:rsid w:val="00FB7E82"/>
    <w:rsid w:val="00FC0141"/>
    <w:rsid w:val="00FC03A1"/>
    <w:rsid w:val="00FC55DC"/>
    <w:rsid w:val="00FC56B5"/>
    <w:rsid w:val="00FC659B"/>
    <w:rsid w:val="00FD0A0D"/>
    <w:rsid w:val="00FD4BC3"/>
    <w:rsid w:val="00FE0155"/>
    <w:rsid w:val="00FE072F"/>
    <w:rsid w:val="00FE245F"/>
    <w:rsid w:val="00FF0562"/>
    <w:rsid w:val="00FF0D3D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691F36"/>
  <w15:docId w15:val="{C49D06F5-656C-428B-A960-95123D28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4A0"/>
  </w:style>
  <w:style w:type="paragraph" w:styleId="Heading1">
    <w:name w:val="heading 1"/>
    <w:basedOn w:val="Normal"/>
    <w:next w:val="Normal"/>
    <w:link w:val="Heading1Char"/>
    <w:uiPriority w:val="9"/>
    <w:qFormat/>
    <w:rsid w:val="0059764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64E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paragraph" w:styleId="ListParagraph">
    <w:name w:val="List Paragraph"/>
    <w:basedOn w:val="Normal"/>
    <w:uiPriority w:val="34"/>
    <w:qFormat/>
    <w:rsid w:val="00CB7D51"/>
    <w:pPr>
      <w:ind w:left="720"/>
    </w:pPr>
    <w:rPr>
      <w:rFonts w:ascii="Calibri" w:eastAsia="Calibri" w:hAnsi="Calibri" w:cs="Calibri"/>
      <w:lang w:val="en-GB"/>
    </w:rPr>
  </w:style>
  <w:style w:type="paragraph" w:customStyle="1" w:styleId="Default">
    <w:name w:val="Default"/>
    <w:rsid w:val="00003F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E328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74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335DF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5D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35DF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65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5E5"/>
  </w:style>
  <w:style w:type="paragraph" w:styleId="Footer">
    <w:name w:val="footer"/>
    <w:basedOn w:val="Normal"/>
    <w:link w:val="FooterChar"/>
    <w:uiPriority w:val="99"/>
    <w:unhideWhenUsed/>
    <w:rsid w:val="002165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5E5"/>
  </w:style>
  <w:style w:type="character" w:styleId="CommentReference">
    <w:name w:val="annotation reference"/>
    <w:basedOn w:val="DefaultParagraphFont"/>
    <w:uiPriority w:val="99"/>
    <w:semiHidden/>
    <w:unhideWhenUsed/>
    <w:rsid w:val="00FD0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0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7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4369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66C6F"/>
  </w:style>
  <w:style w:type="paragraph" w:styleId="BodyText2">
    <w:name w:val="Body Text 2"/>
    <w:basedOn w:val="Normal"/>
    <w:link w:val="BodyText2Char"/>
    <w:uiPriority w:val="99"/>
    <w:semiHidden/>
    <w:unhideWhenUsed/>
    <w:rsid w:val="00A66C6F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6C6F"/>
    <w:rPr>
      <w:rFonts w:ascii="Times" w:hAnsi="Times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A81A-0E62-45A5-A567-ABDBB03B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stanfiej</dc:creator>
  <cp:lastModifiedBy>Zitouni Ould-Dada</cp:lastModifiedBy>
  <cp:revision>7</cp:revision>
  <cp:lastPrinted>2014-02-18T15:15:00Z</cp:lastPrinted>
  <dcterms:created xsi:type="dcterms:W3CDTF">2014-02-24T16:04:00Z</dcterms:created>
  <dcterms:modified xsi:type="dcterms:W3CDTF">2014-03-06T20:53:00Z</dcterms:modified>
</cp:coreProperties>
</file>