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A466A" w14:textId="77777777" w:rsidR="00BF6AC2" w:rsidRPr="002214BB" w:rsidRDefault="00BF6AC2">
      <w:pPr>
        <w:rPr>
          <w:sz w:val="2"/>
          <w:szCs w:val="2"/>
        </w:rPr>
      </w:pPr>
    </w:p>
    <w:tbl>
      <w:tblPr>
        <w:tblStyle w:val="TableGrid"/>
        <w:tblW w:w="130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951"/>
        <w:gridCol w:w="284"/>
        <w:gridCol w:w="1984"/>
        <w:gridCol w:w="709"/>
        <w:gridCol w:w="567"/>
        <w:gridCol w:w="142"/>
        <w:gridCol w:w="567"/>
        <w:gridCol w:w="850"/>
        <w:gridCol w:w="2295"/>
        <w:gridCol w:w="3686"/>
      </w:tblGrid>
      <w:tr w:rsidR="00C90FA8" w14:paraId="3F6B0CC7" w14:textId="77777777" w:rsidTr="00A37F8D">
        <w:trPr>
          <w:gridAfter w:val="1"/>
          <w:wAfter w:w="3686" w:type="dxa"/>
        </w:trPr>
        <w:tc>
          <w:tcPr>
            <w:tcW w:w="9349" w:type="dxa"/>
            <w:gridSpan w:val="9"/>
            <w:tcBorders>
              <w:bottom w:val="single" w:sz="4" w:space="0" w:color="FFFFFF" w:themeColor="background1"/>
            </w:tcBorders>
            <w:shd w:val="clear" w:color="auto" w:fill="auto"/>
          </w:tcPr>
          <w:p w14:paraId="59AC3B48" w14:textId="77777777" w:rsidR="001F0604" w:rsidRPr="00C90FA8" w:rsidRDefault="00C90FA8" w:rsidP="004A3A41">
            <w:pPr>
              <w:pStyle w:val="Header"/>
              <w:spacing w:before="60" w:after="60"/>
              <w:rPr>
                <w:b/>
                <w:i/>
              </w:rPr>
            </w:pPr>
            <w:r w:rsidRPr="0025027A">
              <w:rPr>
                <w:b/>
                <w:i/>
              </w:rPr>
              <w:t xml:space="preserve">Please fill in the form in the </w:t>
            </w:r>
            <w:r>
              <w:rPr>
                <w:b/>
                <w:i/>
              </w:rPr>
              <w:t>grey</w:t>
            </w:r>
            <w:r w:rsidRPr="0025027A">
              <w:rPr>
                <w:b/>
                <w:i/>
              </w:rPr>
              <w:t xml:space="preserve"> spaces, by following the instructions in italic.</w:t>
            </w:r>
          </w:p>
        </w:tc>
      </w:tr>
      <w:tr w:rsidR="00091827" w:rsidRPr="00BF5FED" w14:paraId="0777C655" w14:textId="77777777" w:rsidTr="00A37F8D">
        <w:trPr>
          <w:gridAfter w:val="1"/>
          <w:wAfter w:w="3686" w:type="dxa"/>
        </w:trPr>
        <w:tc>
          <w:tcPr>
            <w:tcW w:w="2235"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08D5FD0C" w14:textId="77777777" w:rsidR="00D95506"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459652B" w14:textId="77777777" w:rsidR="00D316DE" w:rsidRPr="0091088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48AD1C0" w14:textId="77777777" w:rsidR="00D316DE" w:rsidRPr="0091088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C9D9642" w14:textId="77777777" w:rsidR="00D316DE" w:rsidRPr="0091088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649A1DD8" w14:textId="77777777" w:rsidR="00D316DE" w:rsidRPr="00BF5FED" w:rsidRDefault="00D316DE" w:rsidP="004A3A41">
            <w:pPr>
              <w:tabs>
                <w:tab w:val="left" w:pos="90"/>
              </w:tabs>
              <w:spacing w:before="60" w:after="60"/>
              <w:rPr>
                <w:i/>
                <w:lang w:val="fr-FR"/>
              </w:rPr>
            </w:pPr>
          </w:p>
        </w:tc>
      </w:tr>
      <w:tr w:rsidR="007C7F53" w:rsidRPr="00BF5FED" w14:paraId="6F9FB7BA" w14:textId="77777777" w:rsidTr="00A37F8D">
        <w:trPr>
          <w:gridAfter w:val="1"/>
          <w:wAfter w:w="3686" w:type="dxa"/>
        </w:trPr>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19005CB5" w14:textId="77777777" w:rsidR="007C7F53" w:rsidRPr="00D46D43" w:rsidRDefault="007C7F53" w:rsidP="004E0ABF">
            <w:pPr>
              <w:rPr>
                <w:b/>
              </w:rPr>
            </w:pPr>
            <w:r>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3DF15D93" w14:textId="77777777" w:rsidR="007C7F53" w:rsidRPr="00BF5FED" w:rsidRDefault="003B4514" w:rsidP="004E0ABF">
            <w:pPr>
              <w:tabs>
                <w:tab w:val="left" w:pos="90"/>
              </w:tabs>
              <w:spacing w:before="60" w:after="60"/>
              <w:rPr>
                <w:i/>
                <w:lang w:val="fr-FR"/>
              </w:rPr>
            </w:pPr>
            <w:r w:rsidRPr="00EC1374">
              <w:rPr>
                <w:i/>
                <w:lang w:val="fr-FR"/>
              </w:rPr>
              <w:t>Uganda</w:t>
            </w:r>
          </w:p>
        </w:tc>
      </w:tr>
      <w:tr w:rsidR="00337F3B" w:rsidRPr="00BF5FED" w14:paraId="3ECBD2D7" w14:textId="77777777" w:rsidTr="00A37F8D">
        <w:trPr>
          <w:gridAfter w:val="1"/>
          <w:wAfter w:w="3686" w:type="dxa"/>
        </w:trPr>
        <w:tc>
          <w:tcPr>
            <w:tcW w:w="2235" w:type="dxa"/>
            <w:gridSpan w:val="2"/>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D5846EA" w14:textId="77777777" w:rsidR="00337F3B" w:rsidRPr="00D46D43"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1EA57206" w14:textId="77777777" w:rsidR="00337F3B" w:rsidRPr="0091088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4C14230D" w14:textId="77777777" w:rsidR="00337F3B" w:rsidRPr="0091088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B917F84" w14:textId="77777777" w:rsidR="00337F3B" w:rsidRPr="00D46D43"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57D5C3F8" w14:textId="77777777" w:rsidR="00337F3B" w:rsidRPr="00BF5FED" w:rsidRDefault="00337F3B" w:rsidP="004E0ABF">
            <w:pPr>
              <w:tabs>
                <w:tab w:val="left" w:pos="90"/>
              </w:tabs>
              <w:spacing w:before="60" w:after="60"/>
              <w:rPr>
                <w:i/>
                <w:lang w:val="fr-FR"/>
              </w:rPr>
            </w:pPr>
          </w:p>
        </w:tc>
      </w:tr>
      <w:tr w:rsidR="00337F3B" w:rsidRPr="00BF5FED" w14:paraId="15FE645F" w14:textId="77777777" w:rsidTr="00A37F8D">
        <w:trPr>
          <w:gridAfter w:val="1"/>
          <w:wAfter w:w="3686" w:type="dxa"/>
        </w:trPr>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2C646277" w14:textId="77777777" w:rsidR="00337F3B" w:rsidRPr="00D46D43" w:rsidRDefault="00601B39" w:rsidP="004E0ABF">
            <w:pPr>
              <w:rPr>
                <w:b/>
              </w:rPr>
            </w:pPr>
            <w:r>
              <w:rPr>
                <w:b/>
              </w:rPr>
              <w:t>Request title</w:t>
            </w:r>
            <w:r w:rsidR="004E0ABF">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22223956" w14:textId="06C3C6F5" w:rsidR="001B3D89" w:rsidRPr="00BF5FED" w:rsidRDefault="001B744C" w:rsidP="001B744C">
            <w:pPr>
              <w:tabs>
                <w:tab w:val="left" w:pos="90"/>
              </w:tabs>
              <w:spacing w:before="60" w:after="60"/>
              <w:rPr>
                <w:i/>
                <w:lang w:val="fr-FR"/>
              </w:rPr>
            </w:pPr>
            <w:proofErr w:type="spellStart"/>
            <w:r w:rsidRPr="00EC1374">
              <w:rPr>
                <w:i/>
                <w:lang w:val="fr-FR"/>
              </w:rPr>
              <w:t>Foreign</w:t>
            </w:r>
            <w:proofErr w:type="spellEnd"/>
            <w:r w:rsidRPr="00EC1374">
              <w:rPr>
                <w:i/>
                <w:lang w:val="fr-FR"/>
              </w:rPr>
              <w:t xml:space="preserve"> </w:t>
            </w:r>
            <w:proofErr w:type="spellStart"/>
            <w:r w:rsidRPr="00EC1374">
              <w:rPr>
                <w:i/>
                <w:lang w:val="fr-FR"/>
              </w:rPr>
              <w:t>Currency</w:t>
            </w:r>
            <w:proofErr w:type="spellEnd"/>
            <w:r w:rsidRPr="00EC1374">
              <w:rPr>
                <w:i/>
                <w:lang w:val="fr-FR"/>
              </w:rPr>
              <w:t xml:space="preserve"> PPA </w:t>
            </w:r>
            <w:proofErr w:type="spellStart"/>
            <w:r w:rsidRPr="00EC1374">
              <w:rPr>
                <w:i/>
                <w:lang w:val="fr-FR"/>
              </w:rPr>
              <w:t>Risk</w:t>
            </w:r>
            <w:proofErr w:type="spellEnd"/>
            <w:r w:rsidRPr="00EC1374">
              <w:rPr>
                <w:i/>
                <w:lang w:val="fr-FR"/>
              </w:rPr>
              <w:t xml:space="preserve"> </w:t>
            </w:r>
            <w:proofErr w:type="spellStart"/>
            <w:r w:rsidRPr="00EC1374">
              <w:rPr>
                <w:i/>
                <w:lang w:val="fr-FR"/>
              </w:rPr>
              <w:t>Analysis</w:t>
            </w:r>
            <w:proofErr w:type="spellEnd"/>
            <w:r w:rsidRPr="00EC1374">
              <w:rPr>
                <w:i/>
                <w:lang w:val="fr-FR"/>
              </w:rPr>
              <w:t xml:space="preserve"> and </w:t>
            </w:r>
            <w:proofErr w:type="spellStart"/>
            <w:r w:rsidRPr="00EC1374">
              <w:rPr>
                <w:i/>
                <w:lang w:val="fr-FR"/>
              </w:rPr>
              <w:t>Assessment</w:t>
            </w:r>
            <w:proofErr w:type="spellEnd"/>
            <w:r w:rsidRPr="00EC1374">
              <w:rPr>
                <w:i/>
                <w:lang w:val="fr-FR"/>
              </w:rPr>
              <w:t xml:space="preserve"> of Local </w:t>
            </w:r>
            <w:proofErr w:type="spellStart"/>
            <w:r w:rsidRPr="00EC1374">
              <w:rPr>
                <w:i/>
                <w:lang w:val="fr-FR"/>
              </w:rPr>
              <w:t>Currency</w:t>
            </w:r>
            <w:proofErr w:type="spellEnd"/>
            <w:r w:rsidRPr="00EC1374">
              <w:rPr>
                <w:i/>
                <w:lang w:val="fr-FR"/>
              </w:rPr>
              <w:t xml:space="preserve"> </w:t>
            </w:r>
            <w:proofErr w:type="spellStart"/>
            <w:r w:rsidRPr="00EC1374">
              <w:rPr>
                <w:i/>
                <w:lang w:val="fr-FR"/>
              </w:rPr>
              <w:t>financin</w:t>
            </w:r>
            <w:r w:rsidR="008F32C3">
              <w:rPr>
                <w:i/>
                <w:lang w:val="fr-FR"/>
              </w:rPr>
              <w:t>g</w:t>
            </w:r>
            <w:proofErr w:type="spellEnd"/>
            <w:r w:rsidR="008F32C3">
              <w:rPr>
                <w:i/>
                <w:lang w:val="fr-FR"/>
              </w:rPr>
              <w:t xml:space="preserve"> options for </w:t>
            </w:r>
            <w:proofErr w:type="spellStart"/>
            <w:r w:rsidR="008F32C3">
              <w:rPr>
                <w:i/>
                <w:lang w:val="fr-FR"/>
              </w:rPr>
              <w:t>Renewable</w:t>
            </w:r>
            <w:proofErr w:type="spellEnd"/>
            <w:r w:rsidR="008F32C3">
              <w:rPr>
                <w:i/>
                <w:lang w:val="fr-FR"/>
              </w:rPr>
              <w:t xml:space="preserve"> </w:t>
            </w:r>
            <w:proofErr w:type="spellStart"/>
            <w:r w:rsidR="008F32C3">
              <w:rPr>
                <w:i/>
                <w:lang w:val="fr-FR"/>
              </w:rPr>
              <w:t>Energy</w:t>
            </w:r>
            <w:proofErr w:type="spellEnd"/>
            <w:r w:rsidR="008F32C3">
              <w:rPr>
                <w:i/>
                <w:lang w:val="fr-FR"/>
              </w:rPr>
              <w:t xml:space="preserve"> </w:t>
            </w:r>
            <w:proofErr w:type="spellStart"/>
            <w:r w:rsidR="008F32C3">
              <w:rPr>
                <w:i/>
                <w:lang w:val="fr-FR"/>
              </w:rPr>
              <w:t>D</w:t>
            </w:r>
            <w:r w:rsidRPr="00EC1374">
              <w:rPr>
                <w:i/>
                <w:lang w:val="fr-FR"/>
              </w:rPr>
              <w:t>evelopment</w:t>
            </w:r>
            <w:proofErr w:type="spellEnd"/>
            <w:r w:rsidRPr="00EC1374">
              <w:rPr>
                <w:i/>
                <w:lang w:val="fr-FR"/>
              </w:rPr>
              <w:t xml:space="preserve"> in Uganda</w:t>
            </w:r>
          </w:p>
        </w:tc>
      </w:tr>
      <w:tr w:rsidR="00091827" w14:paraId="33DF2A92" w14:textId="77777777" w:rsidTr="00A37F8D">
        <w:trPr>
          <w:gridAfter w:val="1"/>
          <w:wAfter w:w="3686" w:type="dxa"/>
        </w:trPr>
        <w:tc>
          <w:tcPr>
            <w:tcW w:w="2235" w:type="dxa"/>
            <w:gridSpan w:val="2"/>
            <w:tcBorders>
              <w:top w:val="single" w:sz="4" w:space="0" w:color="1F497D" w:themeColor="text2"/>
              <w:bottom w:val="single" w:sz="4" w:space="0" w:color="1F497D" w:themeColor="text2"/>
            </w:tcBorders>
            <w:shd w:val="clear" w:color="auto" w:fill="auto"/>
          </w:tcPr>
          <w:p w14:paraId="5B5D58F7" w14:textId="77777777" w:rsidR="004A3A41" w:rsidRPr="00D46D43" w:rsidRDefault="004A3A41" w:rsidP="004A3A41">
            <w:pPr>
              <w:rPr>
                <w:b/>
              </w:rPr>
            </w:pPr>
          </w:p>
        </w:tc>
        <w:tc>
          <w:tcPr>
            <w:tcW w:w="2693" w:type="dxa"/>
            <w:gridSpan w:val="2"/>
            <w:tcBorders>
              <w:top w:val="single" w:sz="4" w:space="0" w:color="1F497D" w:themeColor="text2"/>
              <w:bottom w:val="nil"/>
            </w:tcBorders>
            <w:shd w:val="clear" w:color="auto" w:fill="auto"/>
          </w:tcPr>
          <w:p w14:paraId="272AEE5F" w14:textId="77777777" w:rsidR="004A3A41" w:rsidRPr="0091088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14:paraId="350788E8" w14:textId="77777777" w:rsidR="004A3A41" w:rsidRPr="0091088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14:paraId="7D1BF050" w14:textId="77777777" w:rsidR="004A3A41" w:rsidRPr="00910885" w:rsidRDefault="004A3A41" w:rsidP="004A3A41">
            <w:pPr>
              <w:tabs>
                <w:tab w:val="left" w:pos="90"/>
              </w:tabs>
              <w:spacing w:before="60" w:after="60"/>
              <w:rPr>
                <w:i/>
              </w:rPr>
            </w:pPr>
          </w:p>
        </w:tc>
      </w:tr>
      <w:tr w:rsidR="004A3A41" w14:paraId="6C524712"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370E01C" w14:textId="77777777" w:rsidR="004A3A41" w:rsidRPr="00910885" w:rsidRDefault="004A3A41" w:rsidP="004A3A41">
            <w:pPr>
              <w:tabs>
                <w:tab w:val="left" w:pos="90"/>
              </w:tabs>
              <w:spacing w:before="60" w:after="60"/>
              <w:rPr>
                <w:i/>
              </w:rPr>
            </w:pPr>
            <w:r>
              <w:rPr>
                <w:b/>
              </w:rPr>
              <w:t>Contact information:</w:t>
            </w:r>
          </w:p>
        </w:tc>
      </w:tr>
      <w:tr w:rsidR="009B25D3" w14:paraId="03ECA636"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2B7D6085" w14:textId="77777777" w:rsidR="009B25D3" w:rsidRPr="009B25D3" w:rsidRDefault="007301CB" w:rsidP="009B25D3">
            <w:pPr>
              <w:tabs>
                <w:tab w:val="left" w:pos="90"/>
              </w:tabs>
              <w:spacing w:before="60" w:after="60"/>
              <w:rPr>
                <w:i/>
              </w:rPr>
            </w:pPr>
            <w:r w:rsidRPr="00910885">
              <w:rPr>
                <w:i/>
              </w:rPr>
              <w:t>{</w:t>
            </w:r>
            <w:r w:rsidR="00337F3B">
              <w:rPr>
                <w:i/>
              </w:rPr>
              <w:t>Please f</w:t>
            </w:r>
            <w:r w:rsidR="009B25D3" w:rsidRPr="009B25D3">
              <w:rPr>
                <w:i/>
              </w:rPr>
              <w:t>ill in the table below with the requested information. The request proponent is the organization that the request originates from</w:t>
            </w:r>
            <w:r w:rsidR="00B6102C">
              <w:rPr>
                <w:i/>
              </w:rPr>
              <w:t>, if different from the National Designated Entity (NDE)</w:t>
            </w:r>
            <w:r w:rsidR="009B25D3" w:rsidRPr="009B25D3">
              <w:rPr>
                <w:i/>
              </w:rPr>
              <w:t>.</w:t>
            </w:r>
            <w:r w:rsidRPr="00910885">
              <w:rPr>
                <w:i/>
              </w:rPr>
              <w:t>}</w:t>
            </w:r>
          </w:p>
        </w:tc>
      </w:tr>
      <w:tr w:rsidR="00D316DE" w14:paraId="38DBCFC3" w14:textId="77777777" w:rsidTr="00A37F8D">
        <w:trPr>
          <w:gridAfter w:val="1"/>
          <w:wAfter w:w="3686" w:type="dxa"/>
        </w:trPr>
        <w:tc>
          <w:tcPr>
            <w:tcW w:w="195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8B11B91" w14:textId="77777777" w:rsidR="00D316DE" w:rsidRPr="00393039"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D7B5B20" w14:textId="77777777" w:rsidR="00D316DE" w:rsidRPr="00393039" w:rsidRDefault="00D316DE" w:rsidP="00B168FE">
            <w:pPr>
              <w:tabs>
                <w:tab w:val="left" w:pos="90"/>
                <w:tab w:val="right" w:pos="4912"/>
              </w:tabs>
              <w:spacing w:before="60" w:after="60"/>
              <w:jc w:val="center"/>
              <w:rPr>
                <w:b/>
              </w:rPr>
            </w:pPr>
            <w:r w:rsidRPr="00B30EF3">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70639F1B" w14:textId="77777777" w:rsidR="00D316DE" w:rsidRPr="00393039" w:rsidRDefault="004A3A41" w:rsidP="00B168FE">
            <w:pPr>
              <w:tabs>
                <w:tab w:val="left" w:pos="90"/>
              </w:tabs>
              <w:spacing w:before="60" w:after="60"/>
              <w:jc w:val="center"/>
              <w:rPr>
                <w:b/>
              </w:rPr>
            </w:pPr>
            <w:r>
              <w:rPr>
                <w:b/>
              </w:rPr>
              <w:t xml:space="preserve">Request </w:t>
            </w:r>
            <w:r w:rsidR="00B168FE">
              <w:rPr>
                <w:b/>
              </w:rPr>
              <w:t>Applicant</w:t>
            </w:r>
          </w:p>
        </w:tc>
      </w:tr>
      <w:tr w:rsidR="00A37F8D" w14:paraId="6B873F0A" w14:textId="77777777" w:rsidTr="00A37F8D">
        <w:trPr>
          <w:gridAfter w:val="1"/>
          <w:wAfter w:w="3686" w:type="dxa"/>
        </w:trPr>
        <w:tc>
          <w:tcPr>
            <w:tcW w:w="1951" w:type="dxa"/>
            <w:tcBorders>
              <w:top w:val="single" w:sz="4" w:space="0" w:color="1F497D" w:themeColor="text2"/>
              <w:left w:val="single" w:sz="4" w:space="0" w:color="1F497D" w:themeColor="text2"/>
              <w:bottom w:val="nil"/>
              <w:right w:val="single" w:sz="4" w:space="0" w:color="1F497D" w:themeColor="text2"/>
            </w:tcBorders>
            <w:shd w:val="clear" w:color="auto" w:fill="auto"/>
          </w:tcPr>
          <w:p w14:paraId="63BE368B" w14:textId="77777777" w:rsidR="00A37F8D" w:rsidRPr="00393039" w:rsidRDefault="00A37F8D" w:rsidP="00886DEC">
            <w:pPr>
              <w:spacing w:before="60" w:after="60"/>
            </w:pPr>
            <w:r w:rsidRPr="00393039">
              <w:t>Contact person</w:t>
            </w:r>
            <w:r>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133F5002" w14:textId="7AAD7C8F" w:rsidR="00A37F8D" w:rsidRPr="00910885" w:rsidRDefault="002772C2" w:rsidP="00886DEC">
            <w:pPr>
              <w:tabs>
                <w:tab w:val="left" w:pos="90"/>
              </w:tabs>
              <w:spacing w:before="60" w:after="60"/>
              <w:rPr>
                <w:i/>
              </w:rPr>
            </w:pPr>
            <w:r>
              <w:rPr>
                <w:i/>
              </w:rPr>
              <w:t>D</w:t>
            </w:r>
            <w:r w:rsidR="00A37F8D" w:rsidRPr="003876C3">
              <w:rPr>
                <w:i/>
              </w:rPr>
              <w:t>r. Maxwell Otim Onapa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7EED2A93" w14:textId="76FBCFF3" w:rsidR="00A37F8D" w:rsidRPr="00910885" w:rsidRDefault="00A37F8D" w:rsidP="00886DEC">
            <w:pPr>
              <w:tabs>
                <w:tab w:val="left" w:pos="90"/>
              </w:tabs>
              <w:spacing w:before="60" w:after="60"/>
              <w:rPr>
                <w:i/>
              </w:rPr>
            </w:pPr>
            <w:r>
              <w:rPr>
                <w:i/>
              </w:rPr>
              <w:t xml:space="preserve">Dr. </w:t>
            </w:r>
            <w:proofErr w:type="spellStart"/>
            <w:r>
              <w:rPr>
                <w:i/>
              </w:rPr>
              <w:t>Benon</w:t>
            </w:r>
            <w:proofErr w:type="spellEnd"/>
            <w:r>
              <w:rPr>
                <w:i/>
              </w:rPr>
              <w:t xml:space="preserve"> </w:t>
            </w:r>
            <w:proofErr w:type="spellStart"/>
            <w:r>
              <w:rPr>
                <w:i/>
              </w:rPr>
              <w:t>Mutambi</w:t>
            </w:r>
            <w:proofErr w:type="spellEnd"/>
          </w:p>
        </w:tc>
      </w:tr>
      <w:tr w:rsidR="00A37F8D" w14:paraId="2F8D2E83" w14:textId="77777777" w:rsidTr="00A37F8D">
        <w:trPr>
          <w:gridAfter w:val="1"/>
          <w:wAfter w:w="3686" w:type="dxa"/>
        </w:trPr>
        <w:tc>
          <w:tcPr>
            <w:tcW w:w="1951" w:type="dxa"/>
            <w:tcBorders>
              <w:top w:val="nil"/>
              <w:left w:val="single" w:sz="4" w:space="0" w:color="1F497D" w:themeColor="text2"/>
              <w:bottom w:val="nil"/>
              <w:right w:val="single" w:sz="4" w:space="0" w:color="1F497D" w:themeColor="text2"/>
            </w:tcBorders>
            <w:shd w:val="clear" w:color="auto" w:fill="auto"/>
          </w:tcPr>
          <w:p w14:paraId="3E8A435E" w14:textId="77777777" w:rsidR="00A37F8D" w:rsidRPr="00393039" w:rsidRDefault="00A37F8D" w:rsidP="00886DEC">
            <w:pPr>
              <w:spacing w:before="60" w:after="60"/>
            </w:pPr>
            <w:r w:rsidRPr="00393039">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94733CE" w14:textId="7689A13D" w:rsidR="00A37F8D" w:rsidRPr="00910885" w:rsidRDefault="00A37F8D" w:rsidP="00886DEC">
            <w:pPr>
              <w:tabs>
                <w:tab w:val="left" w:pos="90"/>
              </w:tabs>
              <w:spacing w:before="60" w:after="60"/>
              <w:rPr>
                <w:i/>
              </w:rPr>
            </w:pPr>
            <w:r w:rsidRPr="003876C3">
              <w:rPr>
                <w:i/>
              </w:rPr>
              <w:t>Deputy Executive Secretary</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1B9B4AB1" w14:textId="77777777" w:rsidR="00A37F8D" w:rsidRPr="00910885" w:rsidRDefault="00A37F8D" w:rsidP="00886DEC">
            <w:pPr>
              <w:tabs>
                <w:tab w:val="left" w:pos="90"/>
              </w:tabs>
              <w:spacing w:before="60" w:after="60"/>
              <w:rPr>
                <w:i/>
              </w:rPr>
            </w:pPr>
            <w:r>
              <w:rPr>
                <w:i/>
              </w:rPr>
              <w:t>Chief Executive Officer</w:t>
            </w:r>
          </w:p>
        </w:tc>
      </w:tr>
      <w:tr w:rsidR="00A37F8D" w14:paraId="1F8426EC" w14:textId="77777777" w:rsidTr="00A37F8D">
        <w:trPr>
          <w:gridAfter w:val="1"/>
          <w:wAfter w:w="3686" w:type="dxa"/>
        </w:trPr>
        <w:tc>
          <w:tcPr>
            <w:tcW w:w="1951" w:type="dxa"/>
            <w:tcBorders>
              <w:top w:val="nil"/>
              <w:left w:val="single" w:sz="4" w:space="0" w:color="1F497D" w:themeColor="text2"/>
              <w:bottom w:val="nil"/>
              <w:right w:val="single" w:sz="4" w:space="0" w:color="1F497D" w:themeColor="text2"/>
            </w:tcBorders>
            <w:shd w:val="clear" w:color="auto" w:fill="auto"/>
          </w:tcPr>
          <w:p w14:paraId="563E12A2" w14:textId="77777777" w:rsidR="00A37F8D" w:rsidRPr="00393039" w:rsidRDefault="00A37F8D" w:rsidP="00886DEC">
            <w:pPr>
              <w:spacing w:before="60" w:after="60"/>
            </w:pPr>
            <w:r w:rsidRPr="00393039">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265DAFCA" w14:textId="078C6140" w:rsidR="008F32C3" w:rsidRPr="00910885" w:rsidRDefault="00A37F8D" w:rsidP="008F32C3">
            <w:pPr>
              <w:tabs>
                <w:tab w:val="left" w:pos="90"/>
              </w:tabs>
              <w:spacing w:before="60" w:after="60"/>
              <w:rPr>
                <w:i/>
              </w:rPr>
            </w:pPr>
            <w:r w:rsidRPr="003876C3">
              <w:rPr>
                <w:i/>
              </w:rPr>
              <w:t>Uganda National Council of Science and Technology (UNSCT)</w:t>
            </w:r>
          </w:p>
          <w:p w14:paraId="732D912D" w14:textId="1FB4594E" w:rsidR="00A37F8D" w:rsidRPr="00910885" w:rsidRDefault="00A37F8D" w:rsidP="00406C47">
            <w:pPr>
              <w:tabs>
                <w:tab w:val="left" w:pos="90"/>
              </w:tabs>
              <w:spacing w:before="60" w:after="60"/>
              <w:rPr>
                <w:i/>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6275F6A" w14:textId="77777777" w:rsidR="00A37F8D" w:rsidRPr="00910885" w:rsidRDefault="00A37F8D" w:rsidP="00886DEC">
            <w:pPr>
              <w:tabs>
                <w:tab w:val="left" w:pos="90"/>
              </w:tabs>
              <w:spacing w:before="60" w:after="60"/>
              <w:rPr>
                <w:i/>
              </w:rPr>
            </w:pPr>
            <w:r w:rsidRPr="004B7CD3">
              <w:rPr>
                <w:i/>
              </w:rPr>
              <w:t>Electricity Regulatory Authority</w:t>
            </w:r>
          </w:p>
        </w:tc>
      </w:tr>
      <w:tr w:rsidR="00A37F8D" w14:paraId="0F969312" w14:textId="77777777" w:rsidTr="00A37F8D">
        <w:trPr>
          <w:gridAfter w:val="1"/>
          <w:wAfter w:w="3686" w:type="dxa"/>
        </w:trPr>
        <w:tc>
          <w:tcPr>
            <w:tcW w:w="1951" w:type="dxa"/>
            <w:tcBorders>
              <w:top w:val="nil"/>
              <w:left w:val="single" w:sz="4" w:space="0" w:color="1F497D" w:themeColor="text2"/>
              <w:bottom w:val="nil"/>
              <w:right w:val="single" w:sz="4" w:space="0" w:color="1F497D" w:themeColor="text2"/>
            </w:tcBorders>
            <w:shd w:val="clear" w:color="auto" w:fill="auto"/>
          </w:tcPr>
          <w:p w14:paraId="2BD5F52A" w14:textId="77777777" w:rsidR="00A37F8D" w:rsidRPr="00393039" w:rsidRDefault="00A37F8D" w:rsidP="00886DEC">
            <w:pPr>
              <w:spacing w:before="60" w:after="60"/>
            </w:pPr>
            <w:r w:rsidRPr="00393039">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C6362F4" w14:textId="77777777" w:rsidR="00A37F8D" w:rsidRDefault="00A37F8D" w:rsidP="00A37F8D">
            <w:pPr>
              <w:tabs>
                <w:tab w:val="left" w:pos="90"/>
              </w:tabs>
              <w:spacing w:before="60" w:after="60"/>
              <w:rPr>
                <w:i/>
              </w:rPr>
            </w:pPr>
            <w:r>
              <w:rPr>
                <w:i/>
              </w:rPr>
              <w:t xml:space="preserve">Office: </w:t>
            </w:r>
            <w:r w:rsidRPr="003876C3">
              <w:rPr>
                <w:i/>
              </w:rPr>
              <w:t xml:space="preserve">+256 414 705 500, </w:t>
            </w:r>
          </w:p>
          <w:p w14:paraId="0592FF55" w14:textId="59B7CE47" w:rsidR="00A37F8D" w:rsidRDefault="00A37F8D" w:rsidP="00A37F8D">
            <w:pPr>
              <w:tabs>
                <w:tab w:val="left" w:pos="90"/>
              </w:tabs>
              <w:spacing w:before="60" w:after="60"/>
              <w:rPr>
                <w:i/>
              </w:rPr>
            </w:pPr>
            <w:r>
              <w:rPr>
                <w:i/>
              </w:rPr>
              <w:t xml:space="preserve">Cell: </w:t>
            </w:r>
            <w:r w:rsidRPr="003876C3">
              <w:rPr>
                <w:i/>
              </w:rPr>
              <w:t>+256 772 997 450</w:t>
            </w:r>
          </w:p>
          <w:p w14:paraId="4A2B2665" w14:textId="6C4F07AE" w:rsidR="00A37F8D" w:rsidRPr="00E55E7A" w:rsidRDefault="00A37F8D" w:rsidP="00886DEC">
            <w:pPr>
              <w:tabs>
                <w:tab w:val="left" w:pos="90"/>
              </w:tabs>
              <w:spacing w:before="60" w:after="60"/>
              <w:rPr>
                <w:i/>
                <w:highlight w:val="yellow"/>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46CDE3C" w14:textId="77777777" w:rsidR="00A37F8D" w:rsidRPr="00E55E7A" w:rsidRDefault="00A37F8D" w:rsidP="00886DEC">
            <w:pPr>
              <w:tabs>
                <w:tab w:val="left" w:pos="90"/>
              </w:tabs>
              <w:spacing w:before="60" w:after="60"/>
              <w:rPr>
                <w:i/>
                <w:highlight w:val="yellow"/>
              </w:rPr>
            </w:pPr>
            <w:r w:rsidRPr="00B31D76">
              <w:rPr>
                <w:i/>
              </w:rPr>
              <w:t>+256 414 341852, +256 312 260166</w:t>
            </w:r>
          </w:p>
        </w:tc>
      </w:tr>
      <w:tr w:rsidR="00A37F8D" w14:paraId="1F9A6183" w14:textId="77777777" w:rsidTr="00A37F8D">
        <w:trPr>
          <w:gridAfter w:val="1"/>
          <w:wAfter w:w="3686" w:type="dxa"/>
        </w:trPr>
        <w:tc>
          <w:tcPr>
            <w:tcW w:w="1951" w:type="dxa"/>
            <w:tcBorders>
              <w:top w:val="nil"/>
              <w:left w:val="single" w:sz="4" w:space="0" w:color="1F497D" w:themeColor="text2"/>
              <w:bottom w:val="nil"/>
              <w:right w:val="single" w:sz="4" w:space="0" w:color="1F497D" w:themeColor="text2"/>
            </w:tcBorders>
            <w:shd w:val="clear" w:color="auto" w:fill="auto"/>
          </w:tcPr>
          <w:p w14:paraId="1E94C2FA" w14:textId="77777777" w:rsidR="00A37F8D" w:rsidRPr="00393039" w:rsidRDefault="00A37F8D" w:rsidP="00886DEC">
            <w:pPr>
              <w:spacing w:before="60" w:after="60"/>
            </w:pPr>
            <w:r w:rsidRPr="00393039">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4C08B574" w14:textId="5CD182DD" w:rsidR="0070454B" w:rsidRPr="00910885" w:rsidRDefault="00A37F8D" w:rsidP="00886DEC">
            <w:pPr>
              <w:tabs>
                <w:tab w:val="left" w:pos="90"/>
              </w:tabs>
              <w:spacing w:before="60" w:after="60"/>
              <w:rPr>
                <w:i/>
              </w:rPr>
            </w:pPr>
            <w:r>
              <w:rPr>
                <w:i/>
              </w:rPr>
              <w:t>+256 414 234579</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05260BAB" w14:textId="77777777" w:rsidR="00A37F8D" w:rsidRPr="00910885" w:rsidRDefault="00A37F8D" w:rsidP="00886DEC">
            <w:pPr>
              <w:tabs>
                <w:tab w:val="left" w:pos="90"/>
              </w:tabs>
              <w:spacing w:before="60" w:after="60"/>
              <w:rPr>
                <w:i/>
              </w:rPr>
            </w:pPr>
            <w:r w:rsidRPr="006074D1">
              <w:rPr>
                <w:i/>
              </w:rPr>
              <w:t>+256 414 341624</w:t>
            </w:r>
          </w:p>
        </w:tc>
      </w:tr>
      <w:tr w:rsidR="00A37F8D" w14:paraId="2334C2A7" w14:textId="77777777" w:rsidTr="00A37F8D">
        <w:trPr>
          <w:gridAfter w:val="1"/>
          <w:wAfter w:w="3686" w:type="dxa"/>
        </w:trPr>
        <w:tc>
          <w:tcPr>
            <w:tcW w:w="1951" w:type="dxa"/>
            <w:tcBorders>
              <w:top w:val="nil"/>
              <w:left w:val="single" w:sz="4" w:space="0" w:color="1F497D" w:themeColor="text2"/>
              <w:bottom w:val="nil"/>
              <w:right w:val="single" w:sz="4" w:space="0" w:color="1F497D" w:themeColor="text2"/>
            </w:tcBorders>
            <w:shd w:val="clear" w:color="auto" w:fill="auto"/>
          </w:tcPr>
          <w:p w14:paraId="009B8F86" w14:textId="77777777" w:rsidR="00A37F8D" w:rsidRPr="00393039" w:rsidRDefault="00A37F8D" w:rsidP="00886DEC">
            <w:pPr>
              <w:spacing w:before="60" w:after="60"/>
            </w:pPr>
            <w:r w:rsidRPr="00393039">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6ADDAC3E" w14:textId="6C962E4D" w:rsidR="00A37F8D" w:rsidRPr="00910885" w:rsidRDefault="0070454B" w:rsidP="00886DEC">
            <w:pPr>
              <w:tabs>
                <w:tab w:val="left" w:pos="90"/>
              </w:tabs>
              <w:spacing w:before="60" w:after="60"/>
              <w:rPr>
                <w:i/>
              </w:rPr>
            </w:pPr>
            <w:r>
              <w:rPr>
                <w:i/>
              </w:rPr>
              <w:t>m.onapa@uncst.go.ug</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525B8F0" w14:textId="77777777" w:rsidR="00A37F8D" w:rsidRPr="00910885" w:rsidRDefault="00A37F8D" w:rsidP="00886DEC">
            <w:pPr>
              <w:tabs>
                <w:tab w:val="left" w:pos="90"/>
              </w:tabs>
              <w:spacing w:before="60" w:after="60"/>
              <w:rPr>
                <w:i/>
              </w:rPr>
            </w:pPr>
            <w:r w:rsidRPr="006074D1">
              <w:rPr>
                <w:i/>
              </w:rPr>
              <w:t>ceo.era@era.or.ug</w:t>
            </w:r>
          </w:p>
        </w:tc>
      </w:tr>
      <w:tr w:rsidR="00A37F8D" w:rsidRPr="00B54A61" w14:paraId="3593D6C3" w14:textId="77777777" w:rsidTr="00A37F8D">
        <w:trPr>
          <w:gridAfter w:val="1"/>
          <w:wAfter w:w="3686" w:type="dxa"/>
        </w:trPr>
        <w:tc>
          <w:tcPr>
            <w:tcW w:w="1951" w:type="dxa"/>
            <w:tcBorders>
              <w:top w:val="nil"/>
              <w:left w:val="single" w:sz="4" w:space="0" w:color="1F497D" w:themeColor="text2"/>
              <w:bottom w:val="single" w:sz="4" w:space="0" w:color="1F497D" w:themeColor="text2"/>
              <w:right w:val="single" w:sz="4" w:space="0" w:color="1F497D" w:themeColor="text2"/>
            </w:tcBorders>
            <w:shd w:val="clear" w:color="auto" w:fill="auto"/>
          </w:tcPr>
          <w:p w14:paraId="3A1C56FC" w14:textId="77777777" w:rsidR="00A37F8D" w:rsidRPr="00393039" w:rsidRDefault="00A37F8D" w:rsidP="00886DEC">
            <w:pPr>
              <w:spacing w:before="60" w:after="60"/>
            </w:pPr>
            <w:r w:rsidRPr="00393039">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6C41E4F9" w14:textId="5AC1E6C7" w:rsidR="00A37F8D" w:rsidRPr="00910885" w:rsidRDefault="0070454B" w:rsidP="00886DEC">
            <w:pPr>
              <w:tabs>
                <w:tab w:val="left" w:pos="90"/>
              </w:tabs>
              <w:spacing w:before="60" w:after="60"/>
              <w:rPr>
                <w:i/>
              </w:rPr>
            </w:pPr>
            <w:r>
              <w:rPr>
                <w:i/>
              </w:rPr>
              <w:t>P. O</w:t>
            </w:r>
            <w:r w:rsidR="00CA3215">
              <w:rPr>
                <w:i/>
              </w:rPr>
              <w:t>.</w:t>
            </w:r>
            <w:r>
              <w:rPr>
                <w:i/>
              </w:rPr>
              <w:t xml:space="preserve"> Box 6884 Kampala</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36FA2615" w14:textId="77777777" w:rsidR="00A37F8D" w:rsidRPr="00EC1374" w:rsidRDefault="00A37F8D" w:rsidP="00886DEC">
            <w:pPr>
              <w:tabs>
                <w:tab w:val="left" w:pos="90"/>
              </w:tabs>
              <w:spacing w:before="60" w:after="60"/>
              <w:rPr>
                <w:i/>
                <w:lang w:val="de-DE"/>
              </w:rPr>
            </w:pPr>
            <w:r w:rsidRPr="00EC1374">
              <w:rPr>
                <w:i/>
                <w:lang w:val="de-DE"/>
              </w:rPr>
              <w:t>P.O. Box 10332, Kampala, Uganda</w:t>
            </w:r>
          </w:p>
        </w:tc>
      </w:tr>
      <w:tr w:rsidR="00A37F8D" w:rsidRPr="00B54A61" w14:paraId="3692A76C" w14:textId="77777777" w:rsidTr="00A37F8D">
        <w:trPr>
          <w:gridAfter w:val="1"/>
          <w:wAfter w:w="3686" w:type="dxa"/>
        </w:trPr>
        <w:tc>
          <w:tcPr>
            <w:tcW w:w="1951" w:type="dxa"/>
            <w:tcBorders>
              <w:top w:val="single" w:sz="4" w:space="0" w:color="1F497D" w:themeColor="text2"/>
              <w:bottom w:val="single" w:sz="4" w:space="0" w:color="1F497D" w:themeColor="text2"/>
            </w:tcBorders>
            <w:shd w:val="clear" w:color="auto" w:fill="auto"/>
          </w:tcPr>
          <w:p w14:paraId="03A2B63C" w14:textId="77777777" w:rsidR="00A37F8D" w:rsidRPr="00EC1374" w:rsidRDefault="00A37F8D" w:rsidP="004A3A41">
            <w:pPr>
              <w:rPr>
                <w:b/>
                <w:lang w:val="de-DE"/>
              </w:rPr>
            </w:pPr>
          </w:p>
        </w:tc>
        <w:tc>
          <w:tcPr>
            <w:tcW w:w="3686" w:type="dxa"/>
            <w:gridSpan w:val="5"/>
            <w:tcBorders>
              <w:top w:val="single" w:sz="4" w:space="0" w:color="1F497D" w:themeColor="text2"/>
              <w:bottom w:val="single" w:sz="4" w:space="0" w:color="1F497D" w:themeColor="text2"/>
            </w:tcBorders>
            <w:shd w:val="clear" w:color="auto" w:fill="auto"/>
          </w:tcPr>
          <w:p w14:paraId="1435C28A" w14:textId="25599CE6" w:rsidR="00A37F8D" w:rsidRPr="00EC1374" w:rsidRDefault="00A37F8D" w:rsidP="004A3A41">
            <w:pPr>
              <w:tabs>
                <w:tab w:val="left" w:pos="90"/>
              </w:tabs>
              <w:spacing w:before="60" w:after="60"/>
              <w:rPr>
                <w:i/>
                <w:lang w:val="de-DE"/>
              </w:rPr>
            </w:pPr>
          </w:p>
        </w:tc>
        <w:tc>
          <w:tcPr>
            <w:tcW w:w="3712" w:type="dxa"/>
            <w:gridSpan w:val="3"/>
            <w:tcBorders>
              <w:top w:val="single" w:sz="4" w:space="0" w:color="1F497D" w:themeColor="text2"/>
              <w:bottom w:val="single" w:sz="4" w:space="0" w:color="1F497D" w:themeColor="text2"/>
            </w:tcBorders>
            <w:shd w:val="clear" w:color="auto" w:fill="auto"/>
          </w:tcPr>
          <w:p w14:paraId="6D74D816" w14:textId="77777777" w:rsidR="00A37F8D" w:rsidRPr="00EC1374" w:rsidRDefault="00A37F8D" w:rsidP="004A3A41">
            <w:pPr>
              <w:tabs>
                <w:tab w:val="left" w:pos="90"/>
              </w:tabs>
              <w:spacing w:before="60" w:after="60"/>
              <w:rPr>
                <w:i/>
                <w:lang w:val="de-DE"/>
              </w:rPr>
            </w:pPr>
          </w:p>
        </w:tc>
      </w:tr>
      <w:tr w:rsidR="00A37F8D" w14:paraId="7B9B8BFC" w14:textId="34E8D31E" w:rsidTr="00A37F8D">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32DB593" w14:textId="77777777" w:rsidR="00A37F8D" w:rsidRDefault="00A37F8D" w:rsidP="004A3A41">
            <w:pPr>
              <w:tabs>
                <w:tab w:val="left" w:pos="90"/>
              </w:tabs>
              <w:spacing w:before="60" w:after="60"/>
              <w:rPr>
                <w:b/>
              </w:rPr>
            </w:pPr>
            <w:r w:rsidRPr="00B30EF3">
              <w:rPr>
                <w:b/>
              </w:rPr>
              <w:t>Technology Needs Assessment (TNA):</w:t>
            </w:r>
          </w:p>
        </w:tc>
        <w:tc>
          <w:tcPr>
            <w:tcW w:w="3686" w:type="dxa"/>
          </w:tcPr>
          <w:p w14:paraId="62F800C9" w14:textId="6BF3FE72" w:rsidR="00A37F8D" w:rsidRDefault="00A37F8D">
            <w:pPr>
              <w:spacing w:after="200"/>
            </w:pPr>
          </w:p>
        </w:tc>
      </w:tr>
      <w:tr w:rsidR="00A37F8D" w14:paraId="20636165" w14:textId="77777777" w:rsidTr="00A37F8D">
        <w:trPr>
          <w:gridAfter w:val="1"/>
          <w:wAfter w:w="3686"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14:paraId="19563C9C" w14:textId="77777777" w:rsidR="00A37F8D" w:rsidRDefault="00A37F8D" w:rsidP="00F531AE">
            <w:pPr>
              <w:tabs>
                <w:tab w:val="left" w:pos="90"/>
              </w:tabs>
              <w:spacing w:before="60" w:after="60"/>
              <w:rPr>
                <w:i/>
              </w:rPr>
            </w:pPr>
            <w:r w:rsidRPr="00910885">
              <w:rPr>
                <w:i/>
              </w:rPr>
              <w:t>{Select</w:t>
            </w:r>
            <w:r>
              <w:rPr>
                <w:i/>
              </w:rPr>
              <w:t xml:space="preserve"> one of the three boxes below:</w:t>
            </w:r>
            <w:r w:rsidRPr="00910885">
              <w:rPr>
                <w:i/>
              </w:rPr>
              <w:t>}</w:t>
            </w:r>
          </w:p>
          <w:p w14:paraId="1C5FDC1B" w14:textId="7AF4980A" w:rsidR="00A37F8D" w:rsidRDefault="00A37F8D" w:rsidP="00F531AE">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i/>
              </w:rPr>
              <w:t xml:space="preserve"> </w:t>
            </w:r>
            <w:r>
              <w:rPr>
                <w:i/>
              </w:rPr>
              <w:t xml:space="preserve">The requesting country has conducted a TNA in </w:t>
            </w:r>
          </w:p>
          <w:p w14:paraId="248BAA76" w14:textId="77777777" w:rsidR="00A37F8D" w:rsidRDefault="00A37F8D" w:rsidP="00F531AE">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Pr>
                <w:i/>
              </w:rPr>
              <w:t xml:space="preserve"> The requesting country is currently conducting a TNA</w:t>
            </w:r>
            <w:r w:rsidRPr="00910885">
              <w:rPr>
                <w:i/>
              </w:rPr>
              <w:t xml:space="preserve">          </w:t>
            </w:r>
            <w:r w:rsidRPr="00910885">
              <w:rPr>
                <w:b/>
              </w:rPr>
              <w:t xml:space="preserve"> </w:t>
            </w:r>
          </w:p>
          <w:p w14:paraId="1D17429E" w14:textId="2F7B803C" w:rsidR="00A37F8D" w:rsidRPr="00F531AE" w:rsidRDefault="00A37F8D" w:rsidP="008F32C3">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Pr="00910885">
              <w:rPr>
                <w:rFonts w:eastAsia="Meiryo"/>
              </w:rPr>
              <w:t xml:space="preserve"> </w:t>
            </w:r>
            <w:r>
              <w:rPr>
                <w:i/>
              </w:rPr>
              <w:t xml:space="preserve">The requesting country has never conducted a TNA </w:t>
            </w:r>
          </w:p>
        </w:tc>
      </w:tr>
      <w:tr w:rsidR="00A37F8D" w14:paraId="1CAC439E"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F9C29CC" w14:textId="77777777" w:rsidR="00A37F8D" w:rsidRDefault="00A37F8D" w:rsidP="004E0ABF">
            <w:pPr>
              <w:tabs>
                <w:tab w:val="left" w:pos="90"/>
              </w:tabs>
              <w:spacing w:before="60" w:after="60"/>
            </w:pPr>
            <w:r w:rsidRPr="00910885">
              <w:rPr>
                <w:i/>
              </w:rPr>
              <w:t xml:space="preserve">{If </w:t>
            </w:r>
            <w:r>
              <w:rPr>
                <w:i/>
              </w:rPr>
              <w:t xml:space="preserve">the requesting country </w:t>
            </w:r>
            <w:r w:rsidRPr="00D7089B">
              <w:rPr>
                <w:i/>
              </w:rPr>
              <w:t xml:space="preserve">has completed a TNA, please indicate what climate technology priority this request directly relates to. Please </w:t>
            </w:r>
            <w:r>
              <w:rPr>
                <w:i/>
              </w:rPr>
              <w:t>indicate reference</w:t>
            </w:r>
            <w:r w:rsidRPr="00D7089B">
              <w:rPr>
                <w:i/>
              </w:rPr>
              <w:t xml:space="preserve"> </w:t>
            </w:r>
            <w:r>
              <w:rPr>
                <w:i/>
              </w:rPr>
              <w:t>in</w:t>
            </w:r>
            <w:r w:rsidRPr="00D7089B">
              <w:rPr>
                <w:i/>
              </w:rPr>
              <w:t xml:space="preserve"> TNA/TAP/Project Ideas</w:t>
            </w:r>
            <w:r>
              <w:rPr>
                <w:i/>
              </w:rPr>
              <w:t>.</w:t>
            </w:r>
            <w:r w:rsidRPr="00D7089B">
              <w:rPr>
                <w:i/>
              </w:rPr>
              <w:t>}</w:t>
            </w:r>
          </w:p>
          <w:p w14:paraId="44FC433D" w14:textId="77777777" w:rsidR="00A37F8D" w:rsidRPr="00910885" w:rsidRDefault="00A37F8D" w:rsidP="004A3A41">
            <w:pPr>
              <w:tabs>
                <w:tab w:val="left" w:pos="90"/>
              </w:tabs>
              <w:spacing w:before="60" w:after="60"/>
              <w:rPr>
                <w:i/>
              </w:rPr>
            </w:pPr>
          </w:p>
        </w:tc>
      </w:tr>
      <w:tr w:rsidR="00A37F8D" w14:paraId="0F14533E"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17AAD0AE" w14:textId="77777777" w:rsidR="00A37F8D" w:rsidRDefault="00A37F8D" w:rsidP="00F531AE">
            <w:pPr>
              <w:tabs>
                <w:tab w:val="left" w:pos="90"/>
              </w:tabs>
              <w:spacing w:before="60" w:after="60"/>
              <w:rPr>
                <w:b/>
              </w:rPr>
            </w:pPr>
          </w:p>
        </w:tc>
      </w:tr>
      <w:tr w:rsidR="00A37F8D" w14:paraId="7D758616" w14:textId="77777777" w:rsidTr="00A37F8D">
        <w:trPr>
          <w:gridAfter w:val="1"/>
          <w:wAfter w:w="3686" w:type="dxa"/>
        </w:trPr>
        <w:tc>
          <w:tcPr>
            <w:tcW w:w="9349" w:type="dxa"/>
            <w:gridSpan w:val="9"/>
            <w:tcBorders>
              <w:top w:val="single" w:sz="4" w:space="0" w:color="auto"/>
              <w:left w:val="single" w:sz="4" w:space="0" w:color="auto"/>
              <w:bottom w:val="nil"/>
              <w:right w:val="single" w:sz="4" w:space="0" w:color="auto"/>
            </w:tcBorders>
            <w:shd w:val="clear" w:color="auto" w:fill="auto"/>
          </w:tcPr>
          <w:p w14:paraId="19CA3590" w14:textId="77777777" w:rsidR="00A37F8D" w:rsidRDefault="00A37F8D" w:rsidP="00F531AE">
            <w:pPr>
              <w:tabs>
                <w:tab w:val="left" w:pos="90"/>
              </w:tabs>
              <w:spacing w:before="60" w:after="60"/>
              <w:rPr>
                <w:b/>
              </w:rPr>
            </w:pPr>
            <w:r w:rsidRPr="004B7CD3">
              <w:rPr>
                <w:b/>
              </w:rPr>
              <w:t xml:space="preserve">CTCN Request Incubator </w:t>
            </w:r>
            <w:proofErr w:type="spellStart"/>
            <w:r w:rsidRPr="004B7CD3">
              <w:rPr>
                <w:b/>
              </w:rPr>
              <w:t>Programme</w:t>
            </w:r>
            <w:proofErr w:type="spellEnd"/>
            <w:r w:rsidRPr="004B7CD3">
              <w:rPr>
                <w:b/>
              </w:rPr>
              <w:t>:</w:t>
            </w:r>
          </w:p>
        </w:tc>
      </w:tr>
      <w:tr w:rsidR="00A37F8D" w14:paraId="3380CC1C" w14:textId="77777777" w:rsidTr="00A37F8D">
        <w:trPr>
          <w:gridAfter w:val="1"/>
          <w:wAfter w:w="3686" w:type="dxa"/>
        </w:trPr>
        <w:tc>
          <w:tcPr>
            <w:tcW w:w="9349" w:type="dxa"/>
            <w:gridSpan w:val="9"/>
            <w:tcBorders>
              <w:top w:val="nil"/>
              <w:left w:val="single" w:sz="4" w:space="0" w:color="auto"/>
              <w:bottom w:val="single" w:sz="4" w:space="0" w:color="auto"/>
              <w:right w:val="single" w:sz="4" w:space="0" w:color="auto"/>
            </w:tcBorders>
            <w:shd w:val="clear" w:color="auto" w:fill="auto"/>
          </w:tcPr>
          <w:p w14:paraId="20A603B6" w14:textId="77777777" w:rsidR="00A37F8D" w:rsidRDefault="00A37F8D" w:rsidP="00A8123F">
            <w:pPr>
              <w:tabs>
                <w:tab w:val="left" w:pos="90"/>
              </w:tabs>
              <w:spacing w:before="60" w:after="60"/>
              <w:rPr>
                <w:i/>
              </w:rPr>
            </w:pPr>
            <w:r w:rsidRPr="00910885">
              <w:rPr>
                <w:i/>
              </w:rPr>
              <w:t>{</w:t>
            </w:r>
            <w:r>
              <w:rPr>
                <w:i/>
              </w:rPr>
              <w:t xml:space="preserve">Please indicate if this request was developed with support from the Request Incubator </w:t>
            </w:r>
            <w:proofErr w:type="spellStart"/>
            <w:r>
              <w:rPr>
                <w:i/>
              </w:rPr>
              <w:t>Programme</w:t>
            </w:r>
            <w:proofErr w:type="spellEnd"/>
            <w:r>
              <w:rPr>
                <w:i/>
              </w:rPr>
              <w:t>:</w:t>
            </w:r>
            <w:r w:rsidRPr="00910885">
              <w:rPr>
                <w:i/>
              </w:rPr>
              <w:t>}</w:t>
            </w:r>
          </w:p>
          <w:p w14:paraId="1BE93190" w14:textId="77777777" w:rsidR="00A37F8D" w:rsidRDefault="00A37F8D" w:rsidP="00A8123F">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i/>
              </w:rPr>
              <w:t xml:space="preserve"> </w:t>
            </w:r>
            <w:r>
              <w:rPr>
                <w:i/>
              </w:rPr>
              <w:t xml:space="preserve">Yes </w:t>
            </w:r>
          </w:p>
          <w:p w14:paraId="5C1F2FFC" w14:textId="77777777" w:rsidR="00A37F8D" w:rsidRDefault="00A37F8D" w:rsidP="00F531AE">
            <w:pPr>
              <w:tabs>
                <w:tab w:val="left" w:pos="90"/>
              </w:tabs>
              <w:spacing w:before="60" w:after="60"/>
              <w:rPr>
                <w:b/>
              </w:rPr>
            </w:pPr>
            <w:r>
              <w:rPr>
                <w:highlight w:val="lightGray"/>
              </w:rPr>
              <w:fldChar w:fldCharType="begin">
                <w:ffData>
                  <w:name w:val="Check2"/>
                  <w:enabled/>
                  <w:calcOnExit w:val="0"/>
                  <w:checkBox>
                    <w:sizeAuto/>
                    <w:default w:val="1"/>
                  </w:checkBox>
                </w:ffData>
              </w:fldChar>
            </w:r>
            <w:bookmarkStart w:id="0" w:name="Check2"/>
            <w:r>
              <w:rPr>
                <w:highlight w:val="lightGray"/>
              </w:rPr>
              <w:instrText xml:space="preserve"> FORMCHECKBOX </w:instrText>
            </w:r>
            <w:r>
              <w:rPr>
                <w:highlight w:val="lightGray"/>
              </w:rPr>
            </w:r>
            <w:r>
              <w:rPr>
                <w:highlight w:val="lightGray"/>
              </w:rPr>
              <w:fldChar w:fldCharType="end"/>
            </w:r>
            <w:bookmarkEnd w:id="0"/>
            <w:r>
              <w:rPr>
                <w:i/>
              </w:rPr>
              <w:t xml:space="preserve"> No </w:t>
            </w:r>
          </w:p>
        </w:tc>
      </w:tr>
      <w:tr w:rsidR="00A37F8D" w14:paraId="32BA2D27" w14:textId="77777777" w:rsidTr="00A37F8D">
        <w:trPr>
          <w:gridAfter w:val="1"/>
          <w:wAfter w:w="3686" w:type="dxa"/>
        </w:trPr>
        <w:tc>
          <w:tcPr>
            <w:tcW w:w="9349" w:type="dxa"/>
            <w:gridSpan w:val="9"/>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6F2327C9" w14:textId="77777777" w:rsidR="00A37F8D" w:rsidRDefault="00A37F8D" w:rsidP="00F531AE">
            <w:pPr>
              <w:tabs>
                <w:tab w:val="left" w:pos="90"/>
              </w:tabs>
              <w:spacing w:before="60" w:after="60"/>
              <w:rPr>
                <w:b/>
              </w:rPr>
            </w:pPr>
          </w:p>
        </w:tc>
      </w:tr>
      <w:tr w:rsidR="00A37F8D" w14:paraId="0DB64AED"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2B62F0A2" w14:textId="77777777" w:rsidR="00A37F8D" w:rsidRPr="00910885" w:rsidRDefault="00A37F8D" w:rsidP="004A3A41">
            <w:pPr>
              <w:tabs>
                <w:tab w:val="left" w:pos="90"/>
              </w:tabs>
              <w:spacing w:before="60" w:after="60"/>
              <w:rPr>
                <w:i/>
              </w:rPr>
            </w:pPr>
            <w:r>
              <w:rPr>
                <w:b/>
              </w:rPr>
              <w:t>Geographical focus:</w:t>
            </w:r>
          </w:p>
        </w:tc>
      </w:tr>
      <w:tr w:rsidR="00A37F8D" w14:paraId="16E7EDA4" w14:textId="77777777" w:rsidTr="00A37F8D">
        <w:trPr>
          <w:gridAfter w:val="1"/>
          <w:wAfter w:w="3686"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14:paraId="256511EF" w14:textId="77777777" w:rsidR="00A37F8D" w:rsidRDefault="00A37F8D" w:rsidP="004A3A41">
            <w:pPr>
              <w:tabs>
                <w:tab w:val="left" w:pos="90"/>
              </w:tabs>
              <w:spacing w:before="60" w:after="60"/>
              <w:rPr>
                <w:i/>
              </w:rPr>
            </w:pPr>
            <w:r w:rsidRPr="00910885">
              <w:rPr>
                <w:i/>
              </w:rPr>
              <w:t>{Select</w:t>
            </w:r>
            <w:r>
              <w:rPr>
                <w:i/>
              </w:rPr>
              <w:t xml:space="preserve"> below</w:t>
            </w:r>
            <w:r w:rsidRPr="00910885">
              <w:rPr>
                <w:i/>
              </w:rPr>
              <w:t xml:space="preserve"> the most relevant geographical level</w:t>
            </w:r>
            <w:r>
              <w:rPr>
                <w:i/>
              </w:rPr>
              <w:t xml:space="preserve"> for this request:</w:t>
            </w:r>
            <w:r w:rsidRPr="00910885">
              <w:rPr>
                <w:i/>
              </w:rPr>
              <w:t>}</w:t>
            </w:r>
          </w:p>
          <w:p w14:paraId="316DBB44" w14:textId="77777777" w:rsidR="00A37F8D" w:rsidRDefault="00A37F8D"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i/>
              </w:rPr>
              <w:t xml:space="preserve"> Community-based          </w:t>
            </w:r>
            <w:r w:rsidRPr="00910885">
              <w:rPr>
                <w:b/>
              </w:rPr>
              <w:t xml:space="preserve"> </w:t>
            </w:r>
          </w:p>
          <w:p w14:paraId="59B5F771" w14:textId="77777777" w:rsidR="00A37F8D" w:rsidRDefault="00A37F8D" w:rsidP="004A3A41">
            <w:pPr>
              <w:tabs>
                <w:tab w:val="left" w:pos="90"/>
              </w:tabs>
              <w:spacing w:before="60" w:after="60"/>
              <w:rPr>
                <w:i/>
              </w:rPr>
            </w:pPr>
            <w:r w:rsidRPr="005B5156">
              <w:rPr>
                <w:highlight w:val="lightGray"/>
              </w:rPr>
              <w:lastRenderedPageBreak/>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rFonts w:eastAsia="Meiryo"/>
              </w:rPr>
              <w:t xml:space="preserve"> </w:t>
            </w:r>
            <w:r w:rsidRPr="00910885">
              <w:rPr>
                <w:i/>
              </w:rPr>
              <w:t xml:space="preserve">Sub-national         </w:t>
            </w:r>
            <w:r>
              <w:rPr>
                <w:i/>
              </w:rPr>
              <w:t xml:space="preserve">  </w:t>
            </w:r>
            <w:r w:rsidRPr="00910885">
              <w:rPr>
                <w:i/>
              </w:rPr>
              <w:t xml:space="preserve">  </w:t>
            </w:r>
          </w:p>
          <w:p w14:paraId="34E29ECA" w14:textId="77777777" w:rsidR="00A37F8D" w:rsidRDefault="00A37F8D"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Pr="00910885">
              <w:rPr>
                <w:i/>
              </w:rPr>
              <w:t xml:space="preserve"> National         </w:t>
            </w:r>
            <w:r>
              <w:rPr>
                <w:i/>
              </w:rPr>
              <w:t xml:space="preserve">    </w:t>
            </w:r>
            <w:r w:rsidRPr="00910885">
              <w:rPr>
                <w:i/>
              </w:rPr>
              <w:t xml:space="preserve">  </w:t>
            </w:r>
          </w:p>
          <w:p w14:paraId="74F28512" w14:textId="77777777" w:rsidR="00A37F8D" w:rsidRPr="004E0ABF" w:rsidRDefault="00A37F8D" w:rsidP="004A3A41">
            <w:pPr>
              <w:rPr>
                <w:i/>
              </w:rPr>
            </w:pPr>
            <w:r w:rsidRPr="005B5156">
              <w:rPr>
                <w:highlight w:val="lightGray"/>
              </w:rPr>
              <w:fldChar w:fldCharType="begin">
                <w:ffData>
                  <w:name w:val="Check2"/>
                  <w:enabled/>
                  <w:calcOnExit w:val="0"/>
                  <w:checkBox>
                    <w:sizeAuto/>
                    <w:default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5B5156">
              <w:rPr>
                <w:b/>
              </w:rPr>
              <w:t xml:space="preserve"> </w:t>
            </w:r>
            <w:r w:rsidRPr="00910885">
              <w:rPr>
                <w:i/>
              </w:rPr>
              <w:t>Multi-country</w:t>
            </w:r>
          </w:p>
        </w:tc>
      </w:tr>
      <w:tr w:rsidR="00A37F8D" w14:paraId="3C4B527F" w14:textId="77777777" w:rsidTr="00A37F8D">
        <w:trPr>
          <w:gridAfter w:val="1"/>
          <w:wAfter w:w="3686" w:type="dxa"/>
          <w:trHeight w:val="617"/>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A9467D8" w14:textId="77777777" w:rsidR="00A37F8D" w:rsidRDefault="00A37F8D" w:rsidP="00337F3B">
            <w:pPr>
              <w:tabs>
                <w:tab w:val="left" w:pos="90"/>
              </w:tabs>
              <w:spacing w:before="60" w:after="60"/>
              <w:rPr>
                <w:i/>
              </w:rPr>
            </w:pPr>
            <w:r w:rsidRPr="00910885">
              <w:rPr>
                <w:i/>
              </w:rPr>
              <w:lastRenderedPageBreak/>
              <w:t xml:space="preserve">{If </w:t>
            </w:r>
            <w:r>
              <w:rPr>
                <w:i/>
              </w:rPr>
              <w:t xml:space="preserve">the request is related to the </w:t>
            </w:r>
            <w:r w:rsidRPr="00910885">
              <w:rPr>
                <w:i/>
              </w:rPr>
              <w:t>sub-national or multi-country level, please indicate</w:t>
            </w:r>
            <w:r>
              <w:rPr>
                <w:i/>
              </w:rPr>
              <w:t xml:space="preserve"> here</w:t>
            </w:r>
            <w:r w:rsidRPr="00910885">
              <w:rPr>
                <w:i/>
              </w:rPr>
              <w:t xml:space="preserve"> the areas </w:t>
            </w:r>
            <w:r>
              <w:rPr>
                <w:i/>
              </w:rPr>
              <w:t xml:space="preserve">concerned </w:t>
            </w:r>
            <w:r w:rsidRPr="00910885">
              <w:rPr>
                <w:i/>
              </w:rPr>
              <w:t>(provinces, states, countries, regions, etc.)}</w:t>
            </w:r>
            <w:r>
              <w:rPr>
                <w:i/>
              </w:rPr>
              <w:t xml:space="preserve"> </w:t>
            </w:r>
          </w:p>
          <w:p w14:paraId="0A60BD50" w14:textId="77777777" w:rsidR="00A37F8D" w:rsidRPr="00910885" w:rsidRDefault="00A37F8D" w:rsidP="00337F3B">
            <w:pPr>
              <w:tabs>
                <w:tab w:val="left" w:pos="90"/>
              </w:tabs>
              <w:spacing w:before="60" w:after="60"/>
              <w:rPr>
                <w:i/>
              </w:rPr>
            </w:pPr>
          </w:p>
        </w:tc>
      </w:tr>
      <w:tr w:rsidR="00A37F8D" w14:paraId="5033DA81" w14:textId="77777777" w:rsidTr="00A37F8D">
        <w:trPr>
          <w:gridAfter w:val="1"/>
          <w:wAfter w:w="3686" w:type="dxa"/>
          <w:trHeight w:val="309"/>
        </w:trPr>
        <w:tc>
          <w:tcPr>
            <w:tcW w:w="9349" w:type="dxa"/>
            <w:gridSpan w:val="9"/>
            <w:tcBorders>
              <w:top w:val="single" w:sz="4" w:space="0" w:color="1F497D" w:themeColor="text2"/>
              <w:left w:val="nil"/>
              <w:bottom w:val="single" w:sz="4" w:space="0" w:color="1F497D" w:themeColor="text2"/>
              <w:right w:val="nil"/>
            </w:tcBorders>
            <w:shd w:val="clear" w:color="auto" w:fill="auto"/>
          </w:tcPr>
          <w:p w14:paraId="30A8A0F6" w14:textId="77777777" w:rsidR="00A37F8D" w:rsidRPr="00910885" w:rsidRDefault="00A37F8D" w:rsidP="00337F3B">
            <w:pPr>
              <w:tabs>
                <w:tab w:val="left" w:pos="90"/>
              </w:tabs>
              <w:spacing w:before="60" w:after="60"/>
              <w:rPr>
                <w:i/>
              </w:rPr>
            </w:pPr>
          </w:p>
        </w:tc>
      </w:tr>
      <w:tr w:rsidR="00A37F8D" w14:paraId="220FD9AE"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7052583C" w14:textId="77777777" w:rsidR="00A37F8D" w:rsidRPr="00910885" w:rsidRDefault="00A37F8D" w:rsidP="004A3A41">
            <w:pPr>
              <w:tabs>
                <w:tab w:val="left" w:pos="90"/>
              </w:tabs>
              <w:spacing w:before="60" w:after="60"/>
              <w:rPr>
                <w:i/>
              </w:rPr>
            </w:pPr>
            <w:r>
              <w:rPr>
                <w:b/>
              </w:rPr>
              <w:t>Theme:</w:t>
            </w:r>
          </w:p>
        </w:tc>
      </w:tr>
      <w:tr w:rsidR="00A37F8D" w14:paraId="726CBFBC"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551EA0A2" w14:textId="77777777" w:rsidR="00A37F8D" w:rsidRDefault="00A37F8D" w:rsidP="004A3A41">
            <w:pPr>
              <w:tabs>
                <w:tab w:val="left" w:pos="90"/>
              </w:tabs>
              <w:spacing w:before="60" w:after="60"/>
              <w:rPr>
                <w:i/>
              </w:rPr>
            </w:pPr>
            <w:r w:rsidRPr="00910885">
              <w:rPr>
                <w:i/>
              </w:rPr>
              <w:t>{Select</w:t>
            </w:r>
            <w:r>
              <w:rPr>
                <w:i/>
              </w:rPr>
              <w:t xml:space="preserve"> below</w:t>
            </w:r>
            <w:r w:rsidRPr="00910885">
              <w:rPr>
                <w:i/>
              </w:rPr>
              <w:t xml:space="preserve"> the most relevant </w:t>
            </w:r>
            <w:r>
              <w:rPr>
                <w:i/>
              </w:rPr>
              <w:t>theme(s) for this request:</w:t>
            </w:r>
            <w:r w:rsidRPr="00910885">
              <w:rPr>
                <w:i/>
              </w:rPr>
              <w:t>}</w:t>
            </w:r>
          </w:p>
          <w:p w14:paraId="13053814" w14:textId="77777777" w:rsidR="00A37F8D" w:rsidRDefault="00A37F8D" w:rsidP="004A3A41">
            <w:pPr>
              <w:tabs>
                <w:tab w:val="left" w:pos="90"/>
              </w:tabs>
              <w:spacing w:before="60" w:after="60"/>
              <w:rPr>
                <w:b/>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i/>
              </w:rPr>
              <w:t xml:space="preserve"> </w:t>
            </w:r>
            <w:r>
              <w:rPr>
                <w:i/>
              </w:rPr>
              <w:t>Adaptation to climate change</w:t>
            </w:r>
            <w:r w:rsidRPr="00910885">
              <w:rPr>
                <w:i/>
              </w:rPr>
              <w:t xml:space="preserve">          </w:t>
            </w:r>
            <w:r w:rsidRPr="00910885">
              <w:rPr>
                <w:b/>
              </w:rPr>
              <w:t xml:space="preserve"> </w:t>
            </w:r>
          </w:p>
          <w:p w14:paraId="4A4506D8" w14:textId="77777777" w:rsidR="00A37F8D" w:rsidRDefault="00A37F8D" w:rsidP="004A3A41">
            <w:pPr>
              <w:tabs>
                <w:tab w:val="left" w:pos="90"/>
              </w:tabs>
              <w:spacing w:before="60" w:after="60"/>
              <w:rPr>
                <w:i/>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Pr="00C90FA8">
              <w:rPr>
                <w:rFonts w:eastAsia="Meiryo"/>
                <w:highlight w:val="lightGray"/>
              </w:rPr>
              <w:t xml:space="preserve"> </w:t>
            </w:r>
            <w:r>
              <w:rPr>
                <w:i/>
              </w:rPr>
              <w:t>Mitigation to climate change</w:t>
            </w:r>
            <w:r w:rsidRPr="00910885">
              <w:rPr>
                <w:i/>
              </w:rPr>
              <w:t xml:space="preserve">         </w:t>
            </w:r>
            <w:r>
              <w:rPr>
                <w:i/>
              </w:rPr>
              <w:t xml:space="preserve">  </w:t>
            </w:r>
            <w:r w:rsidRPr="00910885">
              <w:rPr>
                <w:i/>
              </w:rPr>
              <w:t xml:space="preserve">  </w:t>
            </w:r>
          </w:p>
          <w:p w14:paraId="5524736B" w14:textId="77777777" w:rsidR="00A37F8D" w:rsidRPr="00C90FA8" w:rsidRDefault="00A37F8D"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910885">
              <w:rPr>
                <w:i/>
              </w:rPr>
              <w:t xml:space="preserve"> </w:t>
            </w:r>
            <w:r>
              <w:rPr>
                <w:i/>
              </w:rPr>
              <w:t>Combination of adaptation and mitigation to climate change</w:t>
            </w:r>
            <w:r w:rsidRPr="00910885">
              <w:rPr>
                <w:i/>
              </w:rPr>
              <w:t xml:space="preserve"> </w:t>
            </w:r>
          </w:p>
        </w:tc>
      </w:tr>
      <w:tr w:rsidR="00A37F8D" w14:paraId="3818C6A1"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10496C4" w14:textId="77777777" w:rsidR="00A37F8D" w:rsidRPr="00910885" w:rsidRDefault="00A37F8D" w:rsidP="004A3A41">
            <w:pPr>
              <w:tabs>
                <w:tab w:val="left" w:pos="90"/>
              </w:tabs>
              <w:spacing w:before="60" w:after="60"/>
              <w:rPr>
                <w:i/>
              </w:rPr>
            </w:pPr>
          </w:p>
        </w:tc>
      </w:tr>
      <w:tr w:rsidR="00A37F8D" w14:paraId="4DBB90FD"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2988D7C5" w14:textId="77777777" w:rsidR="00A37F8D" w:rsidRDefault="00A37F8D" w:rsidP="004A3A41">
            <w:pPr>
              <w:keepNext/>
              <w:tabs>
                <w:tab w:val="left" w:pos="90"/>
              </w:tabs>
              <w:spacing w:before="60" w:after="60"/>
              <w:rPr>
                <w:b/>
              </w:rPr>
            </w:pPr>
            <w:r w:rsidRPr="009626D6">
              <w:rPr>
                <w:b/>
              </w:rPr>
              <w:t>Sectors:</w:t>
            </w:r>
          </w:p>
          <w:p w14:paraId="01CA6CC6" w14:textId="77777777" w:rsidR="00A37F8D" w:rsidRPr="00EC1374" w:rsidRDefault="00A37F8D" w:rsidP="00EC1374">
            <w:pPr>
              <w:tabs>
                <w:tab w:val="left" w:pos="90"/>
              </w:tabs>
              <w:spacing w:before="60" w:after="60"/>
              <w:rPr>
                <w:color w:val="1F497D" w:themeColor="text2"/>
              </w:rPr>
            </w:pPr>
            <w:r w:rsidRPr="00EC1374">
              <w:t>Energy</w:t>
            </w:r>
          </w:p>
        </w:tc>
      </w:tr>
      <w:tr w:rsidR="00A37F8D" w14:paraId="1BFB70BF"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2FB6286F" w14:textId="77777777" w:rsidR="00A37F8D" w:rsidRDefault="00A37F8D" w:rsidP="0024253F">
            <w:pPr>
              <w:tabs>
                <w:tab w:val="left" w:pos="90"/>
              </w:tabs>
              <w:spacing w:before="60" w:after="60"/>
              <w:rPr>
                <w:i/>
              </w:rPr>
            </w:pPr>
            <w:r w:rsidRPr="00910885">
              <w:rPr>
                <w:i/>
              </w:rPr>
              <w:t>{</w:t>
            </w:r>
            <w:r>
              <w:rPr>
                <w:i/>
              </w:rPr>
              <w:t>Please indicate here the main sectors</w:t>
            </w:r>
            <w:r w:rsidRPr="00910885">
              <w:rPr>
                <w:i/>
              </w:rPr>
              <w:t xml:space="preserve"> </w:t>
            </w:r>
            <w:r>
              <w:rPr>
                <w:i/>
              </w:rPr>
              <w:t>related to</w:t>
            </w:r>
            <w:r w:rsidRPr="00910885">
              <w:rPr>
                <w:i/>
              </w:rPr>
              <w:t xml:space="preserve"> the request</w:t>
            </w:r>
            <w:r>
              <w:rPr>
                <w:i/>
              </w:rPr>
              <w:t>. e.g. energy, industry, transport, waste, agriculture/fisheries, forestry, water, ecosystem/biodiversity, coastal zones, health, education, infrastructure/human settlement, tourism, businesses, early warning/disaster reduction, institutional design and mandates, cross-sectorial</w:t>
            </w:r>
            <w:r w:rsidRPr="00910885">
              <w:rPr>
                <w:i/>
              </w:rPr>
              <w:t>}</w:t>
            </w:r>
          </w:p>
          <w:p w14:paraId="7A39F1BA" w14:textId="77777777" w:rsidR="00A37F8D" w:rsidRPr="00910885" w:rsidRDefault="00A37F8D" w:rsidP="0024253F">
            <w:pPr>
              <w:tabs>
                <w:tab w:val="left" w:pos="90"/>
              </w:tabs>
              <w:spacing w:before="60" w:after="60"/>
              <w:rPr>
                <w:i/>
              </w:rPr>
            </w:pPr>
          </w:p>
        </w:tc>
      </w:tr>
      <w:tr w:rsidR="00A37F8D" w14:paraId="47D90E8A"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82112C0" w14:textId="77777777" w:rsidR="00A37F8D" w:rsidRPr="00910885" w:rsidRDefault="00A37F8D" w:rsidP="004A3A41">
            <w:pPr>
              <w:tabs>
                <w:tab w:val="left" w:pos="90"/>
              </w:tabs>
              <w:spacing w:before="60" w:after="60"/>
              <w:rPr>
                <w:i/>
              </w:rPr>
            </w:pPr>
          </w:p>
        </w:tc>
      </w:tr>
      <w:tr w:rsidR="00A37F8D" w14:paraId="3E623BD2"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6D0FA636" w14:textId="77777777" w:rsidR="00A37F8D" w:rsidRDefault="00A37F8D" w:rsidP="004A3A41">
            <w:pPr>
              <w:tabs>
                <w:tab w:val="left" w:pos="90"/>
              </w:tabs>
              <w:spacing w:before="60" w:after="60"/>
              <w:rPr>
                <w:i/>
              </w:rPr>
            </w:pPr>
            <w:r w:rsidRPr="001C3498">
              <w:rPr>
                <w:b/>
              </w:rPr>
              <w:t>Problem statement</w:t>
            </w:r>
            <w:r>
              <w:rPr>
                <w:i/>
              </w:rPr>
              <w:t xml:space="preserve"> (up to one page):</w:t>
            </w:r>
          </w:p>
          <w:p w14:paraId="0C685CE8" w14:textId="0282D9A2" w:rsidR="00A37F8D" w:rsidRPr="00EC1374" w:rsidRDefault="00A37F8D" w:rsidP="00EC1374">
            <w:pPr>
              <w:pStyle w:val="ListParagraph"/>
              <w:numPr>
                <w:ilvl w:val="0"/>
                <w:numId w:val="1"/>
              </w:numPr>
              <w:tabs>
                <w:tab w:val="left" w:pos="90"/>
              </w:tabs>
              <w:spacing w:before="60" w:after="60"/>
              <w:jc w:val="both"/>
            </w:pPr>
            <w:r w:rsidRPr="00EC1374">
              <w:t xml:space="preserve">Electricity generation is capital intensive. Strategies for attracting investment in renewable energy generation, therefore, had to target global capital flows for direct investment in </w:t>
            </w:r>
            <w:r>
              <w:t>renewable energy (</w:t>
            </w:r>
            <w:r w:rsidRPr="00A37F8D">
              <w:t>RE</w:t>
            </w:r>
            <w:r>
              <w:t>)</w:t>
            </w:r>
            <w:r w:rsidRPr="00EC1374">
              <w:t xml:space="preserve">. To attract foreign investors’ participation in the Ugandan electricity sector, therefore, </w:t>
            </w:r>
            <w:r>
              <w:t xml:space="preserve">required </w:t>
            </w:r>
            <w:r w:rsidRPr="00EC1374">
              <w:t xml:space="preserve">hard currency denominated contracts to mitigate </w:t>
            </w:r>
            <w:r>
              <w:t>foreign exchange (</w:t>
            </w:r>
            <w:r w:rsidRPr="00EC1374">
              <w:t>FX</w:t>
            </w:r>
            <w:r>
              <w:t xml:space="preserve">) </w:t>
            </w:r>
            <w:r w:rsidRPr="00EC1374">
              <w:t>risk.</w:t>
            </w:r>
          </w:p>
          <w:p w14:paraId="1AC0EA5A" w14:textId="77777777" w:rsidR="00A37F8D" w:rsidRPr="00EC1374" w:rsidRDefault="00A37F8D" w:rsidP="00EC1374">
            <w:pPr>
              <w:pStyle w:val="ListParagraph"/>
              <w:numPr>
                <w:ilvl w:val="0"/>
                <w:numId w:val="1"/>
              </w:numPr>
              <w:tabs>
                <w:tab w:val="left" w:pos="90"/>
              </w:tabs>
              <w:spacing w:before="60" w:after="60"/>
              <w:jc w:val="both"/>
            </w:pPr>
            <w:r w:rsidRPr="00EC1374">
              <w:t>Power generation costs account for about 60% of the end-user power tariff in Uganda. About 98% of generation costs in Uganda are denominated in foreign currencies and therefore, foreign exchange exposure of the tariff is a real threat to affordability of power.</w:t>
            </w:r>
          </w:p>
          <w:p w14:paraId="75EB4FC4" w14:textId="121EDDF6" w:rsidR="00A37F8D" w:rsidRPr="00EC1374" w:rsidRDefault="00A37F8D" w:rsidP="00EC1374">
            <w:pPr>
              <w:pStyle w:val="ListParagraph"/>
              <w:numPr>
                <w:ilvl w:val="0"/>
                <w:numId w:val="1"/>
              </w:numPr>
              <w:tabs>
                <w:tab w:val="left" w:pos="90"/>
              </w:tabs>
              <w:spacing w:before="60" w:after="60"/>
              <w:jc w:val="both"/>
            </w:pPr>
            <w:r w:rsidRPr="00EC1374">
              <w:t xml:space="preserve">RE projects are usually financed in USD or other hard currencies and Uganda has chosen USD  The driver behind this is that the Ugandan Government wants to create a sustainable enabling environment for investors, with significant amounts of long-term debt capital only available in hard currencies. </w:t>
            </w:r>
            <w:proofErr w:type="spellStart"/>
            <w:r w:rsidRPr="008F32C3">
              <w:t>Utilising</w:t>
            </w:r>
            <w:proofErr w:type="spellEnd"/>
            <w:r w:rsidRPr="008F32C3">
              <w:t xml:space="preserve"> this approach tends to exclude local investors but there is an upside as hard currency power purchase agreements (PPAs) generally decrease financing costs and consequently lower required feed in Tariff</w:t>
            </w:r>
            <w:r w:rsidR="008F32C3" w:rsidRPr="008F32C3">
              <w:t xml:space="preserve"> </w:t>
            </w:r>
            <w:r w:rsidRPr="008F32C3">
              <w:t>(</w:t>
            </w:r>
            <w:proofErr w:type="spellStart"/>
            <w:r w:rsidRPr="008F32C3">
              <w:t>FiT</w:t>
            </w:r>
            <w:proofErr w:type="spellEnd"/>
            <w:r w:rsidRPr="008F32C3">
              <w:t xml:space="preserve">) levels. </w:t>
            </w:r>
          </w:p>
          <w:p w14:paraId="5F600092" w14:textId="10A314FF" w:rsidR="00A37F8D" w:rsidRPr="000213B8" w:rsidRDefault="00A37F8D" w:rsidP="00EC1374">
            <w:pPr>
              <w:pStyle w:val="ListParagraph"/>
              <w:numPr>
                <w:ilvl w:val="0"/>
                <w:numId w:val="1"/>
              </w:numPr>
              <w:tabs>
                <w:tab w:val="left" w:pos="90"/>
              </w:tabs>
              <w:spacing w:before="60" w:after="60"/>
              <w:jc w:val="both"/>
            </w:pPr>
            <w:r w:rsidRPr="000213B8">
              <w:t>Before 2010, the investment climate for renewable energy did not serve to attract the needed investments into energy generation despite FX denominated Power Purchase Agreements.</w:t>
            </w:r>
          </w:p>
          <w:p w14:paraId="63FE366C" w14:textId="5484BF83" w:rsidR="00A37F8D" w:rsidRPr="00EC1374" w:rsidRDefault="00A37F8D" w:rsidP="00EC1374">
            <w:pPr>
              <w:pStyle w:val="ListParagraph"/>
              <w:numPr>
                <w:ilvl w:val="0"/>
                <w:numId w:val="1"/>
              </w:numPr>
              <w:tabs>
                <w:tab w:val="left" w:pos="90"/>
              </w:tabs>
              <w:spacing w:before="60" w:after="60"/>
              <w:jc w:val="both"/>
            </w:pPr>
            <w:r w:rsidRPr="00EC1374">
              <w:t>Consumers pay for electricity in local currency</w:t>
            </w:r>
            <w:r>
              <w:t>. This</w:t>
            </w:r>
            <w:r w:rsidRPr="00EC1374">
              <w:t xml:space="preserve"> creates a mismatch between revenues and costs for utilities. Uganda has addressed this with an automatic adjustment clause in end consumer tariffs, i.e. costs of FX mismatch are allocated as a pass through to the consumer.</w:t>
            </w:r>
          </w:p>
          <w:p w14:paraId="2A7AB144" w14:textId="70E3D325" w:rsidR="00A37F8D" w:rsidRPr="00C1728A" w:rsidRDefault="00A37F8D" w:rsidP="00EC1374">
            <w:pPr>
              <w:pStyle w:val="ListParagraph"/>
              <w:numPr>
                <w:ilvl w:val="0"/>
                <w:numId w:val="1"/>
              </w:numPr>
              <w:tabs>
                <w:tab w:val="left" w:pos="90"/>
              </w:tabs>
              <w:spacing w:before="60" w:after="60"/>
              <w:jc w:val="both"/>
            </w:pPr>
            <w:r w:rsidRPr="00EC1374">
              <w:t xml:space="preserve">From a consumer perspective there is a trade-off between lower financing costs (and </w:t>
            </w:r>
            <w:r w:rsidRPr="00C1728A">
              <w:t xml:space="preserve">consequently lower </w:t>
            </w:r>
            <w:proofErr w:type="spellStart"/>
            <w:r w:rsidRPr="00C1728A">
              <w:t>FiT</w:t>
            </w:r>
            <w:proofErr w:type="spellEnd"/>
            <w:r w:rsidRPr="00C1728A">
              <w:t xml:space="preserve"> level and increasing FX costs</w:t>
            </w:r>
          </w:p>
          <w:p w14:paraId="5AC7CF22" w14:textId="05321074" w:rsidR="00A37F8D" w:rsidRPr="00EC1374" w:rsidRDefault="00A37F8D" w:rsidP="00EC1374">
            <w:pPr>
              <w:pStyle w:val="ListParagraph"/>
              <w:numPr>
                <w:ilvl w:val="0"/>
                <w:numId w:val="1"/>
              </w:numPr>
              <w:tabs>
                <w:tab w:val="left" w:pos="90"/>
              </w:tabs>
              <w:spacing w:before="60" w:after="60"/>
              <w:jc w:val="both"/>
              <w:rPr>
                <w:i/>
                <w:color w:val="1F497D" w:themeColor="text2"/>
              </w:rPr>
            </w:pPr>
            <w:r>
              <w:t>Electricity regulatory Authority (</w:t>
            </w:r>
            <w:r w:rsidRPr="00611F06">
              <w:t>ERA</w:t>
            </w:r>
            <w:r>
              <w:t>)</w:t>
            </w:r>
            <w:r w:rsidRPr="00611F06">
              <w:t xml:space="preserve"> is seeking support to </w:t>
            </w:r>
            <w:r w:rsidRPr="00463D64">
              <w:t>assess various options to further balance economic and financial viability of RE investment</w:t>
            </w:r>
            <w:r w:rsidRPr="00DF7242">
              <w:t xml:space="preserve">s. By seeking to include local lender(s) / </w:t>
            </w:r>
            <w:r w:rsidRPr="00800CFC">
              <w:t>investor(s) involvement in the RE sector</w:t>
            </w:r>
            <w:r w:rsidRPr="00C1728A">
              <w:t xml:space="preserve">, ERA needs to have a stronger understanding of the following: how to </w:t>
            </w:r>
            <w:proofErr w:type="spellStart"/>
            <w:r w:rsidRPr="00C1728A">
              <w:t>minimise</w:t>
            </w:r>
            <w:proofErr w:type="spellEnd"/>
            <w:r w:rsidRPr="00C1728A">
              <w:t xml:space="preserve"> adverse FX impact on consumers, potential FX indexing instruments to adjust tariffs with minimal impact and what would the effect on tariffs be by encouraging local investors / lenders</w:t>
            </w:r>
            <w:r>
              <w:t>.</w:t>
            </w:r>
            <w:r w:rsidRPr="00C1728A">
              <w:rPr>
                <w:i/>
              </w:rPr>
              <w:t xml:space="preserve">  </w:t>
            </w:r>
          </w:p>
        </w:tc>
      </w:tr>
      <w:tr w:rsidR="00A37F8D" w14:paraId="128FDACC"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1F8D854" w14:textId="00763AAA" w:rsidR="00A37F8D" w:rsidRPr="00910885" w:rsidRDefault="00A37F8D" w:rsidP="004A3A41">
            <w:pPr>
              <w:tabs>
                <w:tab w:val="left" w:pos="90"/>
              </w:tabs>
              <w:spacing w:before="60" w:after="60"/>
              <w:rPr>
                <w:i/>
              </w:rPr>
            </w:pPr>
            <w:r>
              <w:rPr>
                <w:i/>
              </w:rPr>
              <w:lastRenderedPageBreak/>
              <w:t>{Please d</w:t>
            </w:r>
            <w:r w:rsidRPr="00910885">
              <w:rPr>
                <w:i/>
              </w:rPr>
              <w:t>escribe</w:t>
            </w:r>
            <w:r>
              <w:rPr>
                <w:i/>
              </w:rPr>
              <w:t xml:space="preserve"> here</w:t>
            </w:r>
            <w:r w:rsidRPr="00910885">
              <w:rPr>
                <w:i/>
              </w:rPr>
              <w:t xml:space="preserve"> the difficulties and specific gaps </w:t>
            </w:r>
            <w:r>
              <w:rPr>
                <w:i/>
              </w:rPr>
              <w:t xml:space="preserve">of the country </w:t>
            </w:r>
            <w:r w:rsidRPr="00910885">
              <w:rPr>
                <w:i/>
              </w:rPr>
              <w:t>in relation to climate change, for which the country is seeking support from the CTCN. Please only provide information directly relevant to this request, and that justifies the need for CTCN</w:t>
            </w:r>
            <w:r>
              <w:rPr>
                <w:i/>
              </w:rPr>
              <w:t xml:space="preserve"> technical</w:t>
            </w:r>
            <w:r w:rsidRPr="00910885">
              <w:rPr>
                <w:i/>
              </w:rPr>
              <w:t xml:space="preserve"> assistance</w:t>
            </w:r>
            <w:r>
              <w:rPr>
                <w:i/>
              </w:rPr>
              <w:t>.</w:t>
            </w:r>
            <w:r w:rsidRPr="00910885">
              <w:rPr>
                <w:i/>
              </w:rPr>
              <w:t>}</w:t>
            </w:r>
          </w:p>
        </w:tc>
      </w:tr>
      <w:tr w:rsidR="00A37F8D" w14:paraId="52794D1D"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3C97424" w14:textId="77777777" w:rsidR="00A37F8D" w:rsidRPr="00910885" w:rsidRDefault="00A37F8D" w:rsidP="004A3A41">
            <w:pPr>
              <w:tabs>
                <w:tab w:val="left" w:pos="90"/>
              </w:tabs>
              <w:spacing w:before="60" w:after="60"/>
              <w:rPr>
                <w:i/>
              </w:rPr>
            </w:pPr>
          </w:p>
        </w:tc>
      </w:tr>
      <w:tr w:rsidR="00A37F8D" w14:paraId="76DD0EC9"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29028AE" w14:textId="77777777" w:rsidR="00A37F8D" w:rsidRDefault="00A37F8D" w:rsidP="004A3A41">
            <w:pPr>
              <w:tabs>
                <w:tab w:val="left" w:pos="90"/>
              </w:tabs>
              <w:spacing w:before="60" w:after="60"/>
              <w:rPr>
                <w:i/>
              </w:rPr>
            </w:pPr>
            <w:r w:rsidRPr="00D0541C">
              <w:rPr>
                <w:b/>
              </w:rPr>
              <w:t>Past and ongoing efforts</w:t>
            </w:r>
            <w:r w:rsidRPr="00D0541C">
              <w:rPr>
                <w:i/>
              </w:rPr>
              <w:t xml:space="preserve"> (up to half a page):</w:t>
            </w:r>
          </w:p>
          <w:p w14:paraId="3F755834" w14:textId="77777777" w:rsidR="00A37F8D" w:rsidRPr="00EC1374" w:rsidRDefault="00A37F8D" w:rsidP="00EC1374">
            <w:pPr>
              <w:pStyle w:val="ListParagraph"/>
              <w:numPr>
                <w:ilvl w:val="0"/>
                <w:numId w:val="1"/>
              </w:numPr>
              <w:tabs>
                <w:tab w:val="left" w:pos="90"/>
              </w:tabs>
              <w:spacing w:before="60" w:after="60"/>
              <w:jc w:val="both"/>
            </w:pPr>
            <w:r w:rsidRPr="00EC1374">
              <w:t xml:space="preserve">In order to further attract investment, Uganda was a beneficiary of the </w:t>
            </w:r>
            <w:proofErr w:type="spellStart"/>
            <w:r w:rsidRPr="00EC1374">
              <w:t>KfW</w:t>
            </w:r>
            <w:proofErr w:type="spellEnd"/>
            <w:r w:rsidRPr="00EC1374">
              <w:t xml:space="preserve">-led development partner funding mechanism that offered tariff premium for new renewable energy generation investors (GET </w:t>
            </w:r>
            <w:proofErr w:type="spellStart"/>
            <w:r w:rsidRPr="00EC1374">
              <w:t>FiT</w:t>
            </w:r>
            <w:proofErr w:type="spellEnd"/>
            <w:r>
              <w:t xml:space="preserve"> Program</w:t>
            </w:r>
            <w:r w:rsidRPr="00EC1374">
              <w:t>).</w:t>
            </w:r>
          </w:p>
          <w:p w14:paraId="13C59730" w14:textId="77777777" w:rsidR="00A37F8D" w:rsidRDefault="00A37F8D" w:rsidP="00EC1374">
            <w:pPr>
              <w:pStyle w:val="ListParagraph"/>
              <w:numPr>
                <w:ilvl w:val="0"/>
                <w:numId w:val="1"/>
              </w:numPr>
              <w:tabs>
                <w:tab w:val="left" w:pos="90"/>
              </w:tabs>
              <w:spacing w:before="60" w:after="60"/>
              <w:jc w:val="both"/>
            </w:pPr>
            <w:r w:rsidRPr="00EC1374">
              <w:t>Uganda has been very successful in creating an enabling environment for RE investments and is now in a position to think about further adjustments to the scheme to further reduce societal costs of electricity generation and to broaden the investor base to potentially include more local investors.</w:t>
            </w:r>
          </w:p>
          <w:p w14:paraId="1E45CD2E" w14:textId="724E66F7" w:rsidR="00A37F8D" w:rsidRPr="00EC1374" w:rsidRDefault="00A37F8D" w:rsidP="00A46F75">
            <w:pPr>
              <w:pStyle w:val="ListParagraph"/>
              <w:numPr>
                <w:ilvl w:val="0"/>
                <w:numId w:val="1"/>
              </w:numPr>
              <w:tabs>
                <w:tab w:val="left" w:pos="90"/>
              </w:tabs>
              <w:spacing w:before="60" w:after="60"/>
              <w:jc w:val="both"/>
            </w:pPr>
            <w:r w:rsidRPr="00FD0332">
              <w:t xml:space="preserve">ERA has received technical assistance to develop capacities on the </w:t>
            </w:r>
            <w:proofErr w:type="spellStart"/>
            <w:r w:rsidRPr="00FD0332">
              <w:t>REFiT</w:t>
            </w:r>
            <w:proofErr w:type="spellEnd"/>
            <w:r w:rsidRPr="00FD0332">
              <w:t xml:space="preserve"> calculation mechanism with tools (financial models in hard currency) to guide the viability of investments and make decisions to foster the development of the sector</w:t>
            </w:r>
            <w:r>
              <w:t xml:space="preserve">. </w:t>
            </w:r>
          </w:p>
        </w:tc>
      </w:tr>
      <w:tr w:rsidR="00A37F8D" w14:paraId="5EF7CACA"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91A3F35" w14:textId="7447C5A5" w:rsidR="00A37F8D" w:rsidRDefault="00A37F8D" w:rsidP="004A3A41">
            <w:pPr>
              <w:tabs>
                <w:tab w:val="left" w:pos="90"/>
              </w:tabs>
              <w:spacing w:before="60" w:after="60"/>
              <w:rPr>
                <w:i/>
              </w:rPr>
            </w:pPr>
            <w:r>
              <w:rPr>
                <w:i/>
              </w:rPr>
              <w:t>{Please d</w:t>
            </w:r>
            <w:r w:rsidRPr="00910885">
              <w:rPr>
                <w:i/>
              </w:rPr>
              <w:t>escribe</w:t>
            </w:r>
            <w:r>
              <w:rPr>
                <w:i/>
              </w:rPr>
              <w:t xml:space="preserve"> here</w:t>
            </w:r>
            <w:r w:rsidRPr="00910885">
              <w:rPr>
                <w:i/>
              </w:rPr>
              <w:t xml:space="preserve"> past and on-going processes, projects and initiatives implemented in the country to tackle the difficulties and gaps explained above. Explain why CTCN</w:t>
            </w:r>
            <w:r>
              <w:rPr>
                <w:i/>
              </w:rPr>
              <w:t xml:space="preserve"> technical</w:t>
            </w:r>
            <w:r w:rsidRPr="00910885">
              <w:rPr>
                <w:i/>
              </w:rPr>
              <w:t xml:space="preserve"> assistance is needed to complement these efforts, and how the assistance can link or build on this previous work.}</w:t>
            </w:r>
          </w:p>
        </w:tc>
      </w:tr>
      <w:tr w:rsidR="00A37F8D" w14:paraId="191461D8"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32B8EDB" w14:textId="77777777" w:rsidR="00A37F8D" w:rsidRDefault="00A37F8D" w:rsidP="004A3A41">
            <w:pPr>
              <w:tabs>
                <w:tab w:val="left" w:pos="90"/>
              </w:tabs>
              <w:spacing w:before="60" w:after="60"/>
              <w:rPr>
                <w:i/>
              </w:rPr>
            </w:pPr>
          </w:p>
        </w:tc>
      </w:tr>
      <w:tr w:rsidR="00A37F8D" w14:paraId="75B83978"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3DFA5FBB" w14:textId="77777777" w:rsidR="00A37F8D" w:rsidRDefault="00A37F8D" w:rsidP="004A3A41">
            <w:pPr>
              <w:tabs>
                <w:tab w:val="left" w:pos="90"/>
              </w:tabs>
              <w:spacing w:before="60" w:after="60"/>
              <w:rPr>
                <w:i/>
              </w:rPr>
            </w:pPr>
            <w:r w:rsidRPr="001C3498">
              <w:rPr>
                <w:b/>
              </w:rPr>
              <w:t>Assistance requested</w:t>
            </w:r>
            <w:r>
              <w:rPr>
                <w:i/>
              </w:rPr>
              <w:t xml:space="preserve"> (up to one page):</w:t>
            </w:r>
          </w:p>
          <w:p w14:paraId="436E92EC" w14:textId="5328DE62" w:rsidR="00A37F8D" w:rsidRPr="00EC1374" w:rsidRDefault="00A37F8D" w:rsidP="00EC1374">
            <w:pPr>
              <w:pStyle w:val="ListParagraph"/>
              <w:numPr>
                <w:ilvl w:val="0"/>
                <w:numId w:val="2"/>
              </w:numPr>
              <w:tabs>
                <w:tab w:val="left" w:pos="90"/>
              </w:tabs>
              <w:spacing w:before="60" w:after="60"/>
              <w:jc w:val="both"/>
            </w:pPr>
            <w:r w:rsidRPr="00EC1374">
              <w:t xml:space="preserve">ERA received technical assistance to create an enabling environment for the development of the renewable energy sector with the GET </w:t>
            </w:r>
            <w:proofErr w:type="spellStart"/>
            <w:r w:rsidRPr="00EC1374">
              <w:t>FiT</w:t>
            </w:r>
            <w:proofErr w:type="spellEnd"/>
            <w:r w:rsidRPr="00EC1374">
              <w:t xml:space="preserve"> program of </w:t>
            </w:r>
            <w:proofErr w:type="spellStart"/>
            <w:r w:rsidRPr="00EC1374">
              <w:t>KfW</w:t>
            </w:r>
            <w:proofErr w:type="spellEnd"/>
            <w:r w:rsidRPr="00EC1374">
              <w:t xml:space="preserve">. After the phasing out of GET </w:t>
            </w:r>
            <w:proofErr w:type="spellStart"/>
            <w:r w:rsidRPr="00EC1374">
              <w:t>FiT</w:t>
            </w:r>
            <w:proofErr w:type="spellEnd"/>
            <w:r w:rsidRPr="00EC1374">
              <w:t xml:space="preserve"> in 2016</w:t>
            </w:r>
            <w:r w:rsidRPr="008F32C3">
              <w:t xml:space="preserve">, ERA aims to maintain the positive investment climate and to further upgrade the </w:t>
            </w:r>
            <w:proofErr w:type="spellStart"/>
            <w:r w:rsidRPr="008F32C3">
              <w:t>FiT</w:t>
            </w:r>
            <w:proofErr w:type="spellEnd"/>
            <w:r w:rsidRPr="008F32C3">
              <w:t xml:space="preserve"> scheme to broaden investor base.</w:t>
            </w:r>
          </w:p>
          <w:p w14:paraId="04074E17" w14:textId="2536FF4B" w:rsidR="00A37F8D" w:rsidRPr="00EC1374" w:rsidRDefault="00A37F8D" w:rsidP="00EC1374">
            <w:pPr>
              <w:pStyle w:val="ListParagraph"/>
              <w:numPr>
                <w:ilvl w:val="0"/>
                <w:numId w:val="2"/>
              </w:numPr>
              <w:tabs>
                <w:tab w:val="left" w:pos="90"/>
              </w:tabs>
              <w:spacing w:before="60" w:after="60"/>
              <w:jc w:val="both"/>
            </w:pPr>
            <w:r w:rsidRPr="00EC1374">
              <w:t xml:space="preserve">Another important consideration to ERA is incorporating </w:t>
            </w:r>
            <w:r>
              <w:t>l</w:t>
            </w:r>
            <w:r w:rsidRPr="00EC1374">
              <w:t xml:space="preserve">ocal </w:t>
            </w:r>
            <w:r>
              <w:t>c</w:t>
            </w:r>
            <w:r w:rsidRPr="00EC1374">
              <w:t>ontent (local investors) in RE financing and, consequently, reducing the exposure of the sector to FX risk and strengthening the local financial sector.</w:t>
            </w:r>
          </w:p>
          <w:p w14:paraId="274B807B" w14:textId="74768940" w:rsidR="00A37F8D" w:rsidRPr="00EC1374" w:rsidRDefault="00A37F8D" w:rsidP="00EC1374">
            <w:pPr>
              <w:pStyle w:val="ListParagraph"/>
              <w:numPr>
                <w:ilvl w:val="0"/>
                <w:numId w:val="2"/>
              </w:numPr>
              <w:tabs>
                <w:tab w:val="left" w:pos="90"/>
              </w:tabs>
              <w:spacing w:before="60" w:after="60"/>
              <w:jc w:val="both"/>
            </w:pPr>
            <w:r w:rsidRPr="00EC1374">
              <w:t>Local investors such as the National Social Security Fund (</w:t>
            </w:r>
            <w:r>
              <w:t>P</w:t>
            </w:r>
            <w:r w:rsidRPr="00EC1374">
              <w:t xml:space="preserve">rovident </w:t>
            </w:r>
            <w:r>
              <w:t>F</w:t>
            </w:r>
            <w:r w:rsidRPr="00EC1374">
              <w:t>und) prefer local currency investments. Their involvement in the sector would further stabilize the system by aligning interests and reducing the regulatory risk, i.e. retroactive policy changes.</w:t>
            </w:r>
          </w:p>
          <w:p w14:paraId="168CA409" w14:textId="77777777" w:rsidR="00A37F8D" w:rsidRPr="00EC1374" w:rsidRDefault="00A37F8D" w:rsidP="00EC1374">
            <w:pPr>
              <w:pStyle w:val="ListParagraph"/>
              <w:numPr>
                <w:ilvl w:val="0"/>
                <w:numId w:val="2"/>
              </w:numPr>
              <w:tabs>
                <w:tab w:val="left" w:pos="90"/>
              </w:tabs>
              <w:spacing w:before="60" w:after="60"/>
              <w:jc w:val="both"/>
            </w:pPr>
            <w:r w:rsidRPr="00EC1374">
              <w:t xml:space="preserve">There is, therefore, need to adapt the </w:t>
            </w:r>
            <w:proofErr w:type="spellStart"/>
            <w:r w:rsidRPr="00EC1374">
              <w:t>FiT</w:t>
            </w:r>
            <w:proofErr w:type="spellEnd"/>
            <w:r w:rsidRPr="00EC1374">
              <w:t xml:space="preserve"> framework to the needs and aspirations of local currency providers of investment capital while balancing the requirements of international developers </w:t>
            </w:r>
            <w:r w:rsidRPr="008F32C3">
              <w:t>and financiers.</w:t>
            </w:r>
          </w:p>
          <w:p w14:paraId="2C7DAD56" w14:textId="027C5AF5" w:rsidR="00A37F8D" w:rsidRPr="008F32C3" w:rsidRDefault="00A37F8D" w:rsidP="00EC1374">
            <w:pPr>
              <w:pStyle w:val="ListParagraph"/>
              <w:numPr>
                <w:ilvl w:val="0"/>
                <w:numId w:val="2"/>
              </w:numPr>
              <w:tabs>
                <w:tab w:val="left" w:pos="90"/>
              </w:tabs>
              <w:spacing w:before="60" w:after="60"/>
              <w:jc w:val="both"/>
            </w:pPr>
            <w:r w:rsidRPr="008F32C3">
              <w:t xml:space="preserve">The TA shall assess the capacity and needs of local investors/lenders and the expected impact of their involvement on societal costs of electricity generation {quantify positive (no cost increase in UGX due to UGX/USD devaluation) and negative effects (potentially higher financing </w:t>
            </w:r>
            <w:r w:rsidRPr="008F32C3">
              <w:rPr>
                <w:sz w:val="24"/>
                <w:szCs w:val="24"/>
              </w:rPr>
              <w:t>costs)}</w:t>
            </w:r>
          </w:p>
          <w:p w14:paraId="6C6F7B54" w14:textId="77777777" w:rsidR="00A37F8D" w:rsidRPr="00EC1374" w:rsidRDefault="00A37F8D" w:rsidP="00EC1374">
            <w:pPr>
              <w:pStyle w:val="ListParagraph"/>
              <w:numPr>
                <w:ilvl w:val="0"/>
                <w:numId w:val="1"/>
              </w:numPr>
              <w:tabs>
                <w:tab w:val="left" w:pos="90"/>
              </w:tabs>
              <w:spacing w:before="60" w:after="60"/>
              <w:jc w:val="both"/>
            </w:pPr>
            <w:r w:rsidRPr="00EC1374">
              <w:t xml:space="preserve">Assess the impact on the </w:t>
            </w:r>
            <w:proofErr w:type="spellStart"/>
            <w:r w:rsidRPr="00EC1374">
              <w:t>FiT</w:t>
            </w:r>
            <w:proofErr w:type="spellEnd"/>
            <w:r w:rsidRPr="00EC1374">
              <w:t xml:space="preserve"> rate by including local investors / lenders who have higher financing costs. A local </w:t>
            </w:r>
            <w:proofErr w:type="spellStart"/>
            <w:r w:rsidRPr="00EC1374">
              <w:t>FiT</w:t>
            </w:r>
            <w:proofErr w:type="spellEnd"/>
            <w:r w:rsidRPr="00EC1374">
              <w:t xml:space="preserve"> (potentially lower due to the removal of FX risk) with local investors / lenders (higher financing cost) has the potential to offset one another</w:t>
            </w:r>
            <w:r>
              <w:t>.</w:t>
            </w:r>
            <w:r w:rsidRPr="00EC1374">
              <w:t xml:space="preserve"> </w:t>
            </w:r>
          </w:p>
          <w:p w14:paraId="0BDB4379" w14:textId="77777777" w:rsidR="00A37F8D" w:rsidRPr="00EC1374" w:rsidRDefault="00A37F8D" w:rsidP="00EC1374">
            <w:pPr>
              <w:pStyle w:val="ListParagraph"/>
              <w:numPr>
                <w:ilvl w:val="0"/>
                <w:numId w:val="2"/>
              </w:numPr>
              <w:tabs>
                <w:tab w:val="left" w:pos="90"/>
              </w:tabs>
              <w:spacing w:before="60" w:after="60"/>
              <w:jc w:val="both"/>
              <w:rPr>
                <w:i/>
                <w:color w:val="1F497D" w:themeColor="text2"/>
              </w:rPr>
            </w:pPr>
            <w:r w:rsidRPr="008F32C3">
              <w:t xml:space="preserve">This technical assistance will provide ERA with the technical know-how, tools including financial models to implement </w:t>
            </w:r>
            <w:proofErr w:type="spellStart"/>
            <w:r w:rsidRPr="008F32C3">
              <w:t>FiTs</w:t>
            </w:r>
            <w:proofErr w:type="spellEnd"/>
            <w:r w:rsidRPr="008F32C3">
              <w:t xml:space="preserve"> (partially) in UGX along with current structure of USD denominated </w:t>
            </w:r>
            <w:proofErr w:type="spellStart"/>
            <w:r w:rsidRPr="008F32C3">
              <w:t>FiT</w:t>
            </w:r>
            <w:proofErr w:type="spellEnd"/>
            <w:r w:rsidRPr="008F32C3">
              <w:t xml:space="preserve"> policy and the effect on the </w:t>
            </w:r>
            <w:proofErr w:type="spellStart"/>
            <w:r w:rsidRPr="008F32C3">
              <w:t>FiT</w:t>
            </w:r>
            <w:proofErr w:type="spellEnd"/>
            <w:r w:rsidRPr="008F32C3">
              <w:t xml:space="preserve"> if they bring on board local investors / lenders. Processes and tools need to ensure limitation of arbitrage driven activity.</w:t>
            </w:r>
          </w:p>
        </w:tc>
      </w:tr>
      <w:tr w:rsidR="00A37F8D" w14:paraId="16D8550D"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01EA5C01" w14:textId="52B538A4" w:rsidR="00A37F8D" w:rsidRDefault="00A37F8D" w:rsidP="004A3A41">
            <w:pPr>
              <w:tabs>
                <w:tab w:val="left" w:pos="90"/>
              </w:tabs>
              <w:spacing w:before="60" w:after="60"/>
              <w:rPr>
                <w:i/>
              </w:rPr>
            </w:pPr>
            <w:r w:rsidRPr="00910885">
              <w:rPr>
                <w:i/>
              </w:rPr>
              <w:t>{</w:t>
            </w:r>
            <w:r>
              <w:rPr>
                <w:i/>
                <w:noProof/>
                <w:lang w:val="en-GB"/>
              </w:rPr>
              <w:t>Please d</w:t>
            </w:r>
            <w:r w:rsidRPr="00910885">
              <w:rPr>
                <w:i/>
                <w:noProof/>
                <w:lang w:val="en-GB"/>
              </w:rPr>
              <w:t>escribe</w:t>
            </w:r>
            <w:r>
              <w:rPr>
                <w:i/>
                <w:noProof/>
                <w:lang w:val="en-GB"/>
              </w:rPr>
              <w:t xml:space="preserve"> here</w:t>
            </w:r>
            <w:r w:rsidRPr="00910885">
              <w:rPr>
                <w:i/>
                <w:noProof/>
                <w:lang w:val="en-GB"/>
              </w:rPr>
              <w:t xml:space="preserve"> the scope </w:t>
            </w:r>
            <w:r>
              <w:rPr>
                <w:i/>
                <w:noProof/>
                <w:lang w:val="en-GB"/>
              </w:rPr>
              <w:t xml:space="preserve">and nature </w:t>
            </w:r>
            <w:r w:rsidRPr="00910885">
              <w:rPr>
                <w:i/>
                <w:noProof/>
                <w:lang w:val="en-GB"/>
              </w:rPr>
              <w:t>of the technical assistance requested from the CTCN and how this could help address the problem stated above</w:t>
            </w:r>
            <w:r>
              <w:rPr>
                <w:i/>
                <w:noProof/>
                <w:lang w:val="en-GB"/>
              </w:rPr>
              <w:t xml:space="preserve"> and add value vis-à-vis the past and on-going efforts</w:t>
            </w:r>
            <w:r w:rsidRPr="00910885">
              <w:rPr>
                <w:i/>
              </w:rPr>
              <w:t>.</w:t>
            </w:r>
            <w:r>
              <w:rPr>
                <w:i/>
              </w:rPr>
              <w:t xml:space="preserve"> Please note that the CTCN facilitates technical assistance and is not a project financing mechanism.</w:t>
            </w:r>
            <w:r w:rsidRPr="00910885">
              <w:rPr>
                <w:i/>
              </w:rPr>
              <w:t>}</w:t>
            </w:r>
          </w:p>
        </w:tc>
      </w:tr>
      <w:tr w:rsidR="00A37F8D" w14:paraId="31722C7E"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FAD1B0E" w14:textId="77777777" w:rsidR="00A37F8D" w:rsidRDefault="00A37F8D" w:rsidP="004A3A41">
            <w:pPr>
              <w:tabs>
                <w:tab w:val="left" w:pos="90"/>
              </w:tabs>
              <w:spacing w:before="60" w:after="60"/>
              <w:rPr>
                <w:i/>
              </w:rPr>
            </w:pPr>
          </w:p>
          <w:p w14:paraId="0443A088" w14:textId="77777777" w:rsidR="00291D8F" w:rsidRDefault="00291D8F" w:rsidP="004A3A41">
            <w:pPr>
              <w:tabs>
                <w:tab w:val="left" w:pos="90"/>
              </w:tabs>
              <w:spacing w:before="60" w:after="60"/>
              <w:rPr>
                <w:i/>
              </w:rPr>
            </w:pPr>
            <w:bookmarkStart w:id="1" w:name="_GoBack"/>
            <w:bookmarkEnd w:id="1"/>
          </w:p>
        </w:tc>
      </w:tr>
      <w:tr w:rsidR="00A37F8D" w14:paraId="19BDC6AC"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0421A243" w14:textId="77777777" w:rsidR="00A37F8D" w:rsidRDefault="00A37F8D" w:rsidP="004A3A41">
            <w:pPr>
              <w:tabs>
                <w:tab w:val="left" w:pos="90"/>
              </w:tabs>
              <w:spacing w:before="60" w:after="60"/>
              <w:rPr>
                <w:i/>
              </w:rPr>
            </w:pPr>
            <w:r w:rsidRPr="00612898">
              <w:rPr>
                <w:b/>
              </w:rPr>
              <w:lastRenderedPageBreak/>
              <w:t xml:space="preserve">Expected benefits </w:t>
            </w:r>
            <w:r w:rsidRPr="00612898">
              <w:rPr>
                <w:i/>
              </w:rPr>
              <w:t>(up to half a page):</w:t>
            </w:r>
          </w:p>
          <w:p w14:paraId="195A9891" w14:textId="77777777" w:rsidR="00A37F8D" w:rsidRPr="00EC1374" w:rsidRDefault="00A37F8D" w:rsidP="00EC1374">
            <w:pPr>
              <w:tabs>
                <w:tab w:val="left" w:pos="90"/>
              </w:tabs>
              <w:spacing w:before="60" w:after="60"/>
              <w:jc w:val="both"/>
            </w:pPr>
            <w:r w:rsidRPr="00EC1374">
              <w:t>Benefits of the assessment:</w:t>
            </w:r>
          </w:p>
          <w:p w14:paraId="439BBD4E" w14:textId="77777777" w:rsidR="00A37F8D" w:rsidRPr="00EC1374" w:rsidRDefault="00A37F8D" w:rsidP="00DF7242">
            <w:pPr>
              <w:pStyle w:val="ListParagraph"/>
              <w:numPr>
                <w:ilvl w:val="0"/>
                <w:numId w:val="1"/>
              </w:numPr>
              <w:tabs>
                <w:tab w:val="left" w:pos="90"/>
              </w:tabs>
              <w:spacing w:before="60" w:after="60"/>
              <w:jc w:val="both"/>
            </w:pPr>
            <w:r w:rsidRPr="00EC1374">
              <w:t>Quantification and further analysis of negative effects from UGX devaluation</w:t>
            </w:r>
            <w:r>
              <w:t>.</w:t>
            </w:r>
          </w:p>
          <w:p w14:paraId="171D656E" w14:textId="77BA2279" w:rsidR="00A37F8D" w:rsidRDefault="00A37F8D" w:rsidP="00DF7242">
            <w:pPr>
              <w:pStyle w:val="ListParagraph"/>
              <w:numPr>
                <w:ilvl w:val="0"/>
                <w:numId w:val="1"/>
              </w:numPr>
              <w:tabs>
                <w:tab w:val="left" w:pos="90"/>
              </w:tabs>
              <w:spacing w:before="60" w:after="60"/>
              <w:jc w:val="both"/>
            </w:pPr>
            <w:r w:rsidRPr="00EC1374">
              <w:t xml:space="preserve">Impact of RE </w:t>
            </w:r>
            <w:proofErr w:type="spellStart"/>
            <w:r w:rsidRPr="00EC1374">
              <w:t>FiT</w:t>
            </w:r>
            <w:proofErr w:type="spellEnd"/>
            <w:r w:rsidRPr="00EC1374">
              <w:t xml:space="preserve"> policy on overall FX exposure </w:t>
            </w:r>
            <w:r w:rsidRPr="008F32C3">
              <w:t xml:space="preserve">of UETCL </w:t>
            </w:r>
            <w:r w:rsidRPr="00EC1374">
              <w:t>(the purchaser of bulk energy/off-taker) and the effects on the end</w:t>
            </w:r>
            <w:r>
              <w:t>-</w:t>
            </w:r>
            <w:r w:rsidRPr="00EC1374">
              <w:t>user who the FX costs are passed on to.</w:t>
            </w:r>
          </w:p>
          <w:p w14:paraId="29CB9CB6" w14:textId="5DC8E9E0" w:rsidR="00A37F8D" w:rsidRPr="00EC1374" w:rsidRDefault="00A37F8D" w:rsidP="00DF7242">
            <w:pPr>
              <w:pStyle w:val="ListParagraph"/>
              <w:numPr>
                <w:ilvl w:val="0"/>
                <w:numId w:val="1"/>
              </w:numPr>
              <w:tabs>
                <w:tab w:val="left" w:pos="90"/>
              </w:tabs>
              <w:spacing w:before="60" w:after="60"/>
              <w:jc w:val="both"/>
            </w:pPr>
            <w:r w:rsidRPr="00EC1374">
              <w:t xml:space="preserve">Evaluate the </w:t>
            </w:r>
            <w:r>
              <w:t>p</w:t>
            </w:r>
            <w:r w:rsidRPr="00EC1374">
              <w:t xml:space="preserve">ossibility of </w:t>
            </w:r>
            <w:r>
              <w:t>l</w:t>
            </w:r>
            <w:r w:rsidRPr="00EC1374">
              <w:t xml:space="preserve">ocal </w:t>
            </w:r>
            <w:r>
              <w:t>i</w:t>
            </w:r>
            <w:r w:rsidRPr="00EC1374">
              <w:t xml:space="preserve">nvestor/lender participation in RE financing and its impact on LCOE and therefore the required </w:t>
            </w:r>
            <w:proofErr w:type="spellStart"/>
            <w:r w:rsidRPr="00EC1374">
              <w:t>FiT</w:t>
            </w:r>
            <w:proofErr w:type="spellEnd"/>
            <w:r w:rsidRPr="00EC1374">
              <w:t xml:space="preserve"> </w:t>
            </w:r>
            <w:r>
              <w:t>level.</w:t>
            </w:r>
            <w:r w:rsidRPr="00EC1374">
              <w:t xml:space="preserve"> </w:t>
            </w:r>
          </w:p>
          <w:p w14:paraId="0347C105" w14:textId="77777777" w:rsidR="00A37F8D" w:rsidRPr="00EC1374" w:rsidRDefault="00A37F8D" w:rsidP="00EC1374">
            <w:pPr>
              <w:tabs>
                <w:tab w:val="left" w:pos="90"/>
              </w:tabs>
              <w:spacing w:before="60" w:after="60"/>
              <w:jc w:val="both"/>
            </w:pPr>
            <w:r w:rsidRPr="00EC1374">
              <w:t>The following are the expected benefits of the PPA-FX option:</w:t>
            </w:r>
          </w:p>
          <w:p w14:paraId="72C49A8E" w14:textId="6D5744C3" w:rsidR="00A37F8D" w:rsidRPr="00EC1374" w:rsidRDefault="00A37F8D" w:rsidP="00EC1374">
            <w:pPr>
              <w:pStyle w:val="ListParagraph"/>
              <w:numPr>
                <w:ilvl w:val="0"/>
                <w:numId w:val="1"/>
              </w:numPr>
              <w:tabs>
                <w:tab w:val="left" w:pos="90"/>
              </w:tabs>
              <w:spacing w:before="60" w:after="60"/>
              <w:jc w:val="both"/>
            </w:pPr>
            <w:r w:rsidRPr="00EC1374">
              <w:t xml:space="preserve">Mitigate currency risk and improve- the local financial sector opportunities.   </w:t>
            </w:r>
          </w:p>
          <w:p w14:paraId="7B6A2D33" w14:textId="47F5E2A1" w:rsidR="00A37F8D" w:rsidRPr="00EC1374" w:rsidRDefault="00A37F8D" w:rsidP="00EC1374">
            <w:pPr>
              <w:pStyle w:val="ListParagraph"/>
              <w:numPr>
                <w:ilvl w:val="0"/>
                <w:numId w:val="1"/>
              </w:numPr>
              <w:tabs>
                <w:tab w:val="left" w:pos="90"/>
              </w:tabs>
              <w:spacing w:before="60" w:after="60"/>
              <w:jc w:val="both"/>
            </w:pPr>
            <w:r w:rsidRPr="00EC1374">
              <w:t xml:space="preserve">Enable options </w:t>
            </w:r>
            <w:r w:rsidRPr="008F32C3">
              <w:t xml:space="preserve">for IPPs to </w:t>
            </w:r>
            <w:r w:rsidRPr="00EC1374">
              <w:t>seek out financing denominated in local currency rather than international currency, thereby addressing the pervasive currency risk issue</w:t>
            </w:r>
            <w:r>
              <w:t>.</w:t>
            </w:r>
          </w:p>
          <w:p w14:paraId="3354F8C9" w14:textId="77777777" w:rsidR="00A37F8D" w:rsidRPr="00EC1374" w:rsidRDefault="00A37F8D" w:rsidP="00EC1374">
            <w:pPr>
              <w:pStyle w:val="ListParagraph"/>
              <w:numPr>
                <w:ilvl w:val="0"/>
                <w:numId w:val="1"/>
              </w:numPr>
              <w:tabs>
                <w:tab w:val="left" w:pos="90"/>
              </w:tabs>
              <w:spacing w:before="60" w:after="60"/>
              <w:jc w:val="both"/>
            </w:pPr>
            <w:r w:rsidRPr="00EC1374">
              <w:t xml:space="preserve">Once approved and implemented the </w:t>
            </w:r>
            <w:r>
              <w:t>(</w:t>
            </w:r>
            <w:r w:rsidRPr="00EC1374">
              <w:t>partial</w:t>
            </w:r>
            <w:r>
              <w:t>)</w:t>
            </w:r>
            <w:r w:rsidRPr="00EC1374">
              <w:t xml:space="preserve"> local currency denominated </w:t>
            </w:r>
            <w:proofErr w:type="spellStart"/>
            <w:r w:rsidRPr="00EC1374">
              <w:t>FiT</w:t>
            </w:r>
            <w:proofErr w:type="spellEnd"/>
            <w:r w:rsidRPr="00EC1374">
              <w:t xml:space="preserve"> has the potential to facilitate the development of the local financial sector.</w:t>
            </w:r>
          </w:p>
          <w:p w14:paraId="5DD90937" w14:textId="78CCE8A1" w:rsidR="00A37F8D" w:rsidRPr="00EC1374" w:rsidRDefault="00A37F8D" w:rsidP="00EC1374">
            <w:pPr>
              <w:pStyle w:val="ListParagraph"/>
              <w:numPr>
                <w:ilvl w:val="0"/>
                <w:numId w:val="1"/>
              </w:numPr>
              <w:tabs>
                <w:tab w:val="left" w:pos="90"/>
              </w:tabs>
              <w:spacing w:before="60" w:after="60"/>
              <w:jc w:val="both"/>
            </w:pPr>
            <w:r w:rsidRPr="00800CFC">
              <w:t xml:space="preserve">Availing investors would have the option to select either </w:t>
            </w:r>
            <w:proofErr w:type="spellStart"/>
            <w:r w:rsidRPr="00800CFC">
              <w:t>FiT</w:t>
            </w:r>
            <w:proofErr w:type="spellEnd"/>
            <w:r w:rsidRPr="00800CFC">
              <w:t>, depending on their risk appetite and sources of financing. The (partial)</w:t>
            </w:r>
            <w:r w:rsidRPr="00744710">
              <w:t xml:space="preserve"> </w:t>
            </w:r>
            <w:r w:rsidRPr="004D4FD2">
              <w:t xml:space="preserve">UGX </w:t>
            </w:r>
            <w:proofErr w:type="spellStart"/>
            <w:r w:rsidRPr="004D4FD2">
              <w:t>FiT</w:t>
            </w:r>
            <w:proofErr w:type="spellEnd"/>
            <w:r w:rsidRPr="004D4FD2">
              <w:t xml:space="preserve"> </w:t>
            </w:r>
            <w:r w:rsidRPr="00A46F75">
              <w:t>could be adjusted on a quarterly basis, based on a model to be</w:t>
            </w:r>
            <w:r w:rsidRPr="00EC1374">
              <w:t xml:space="preserve"> prepared to avoid arbitrage.</w:t>
            </w:r>
          </w:p>
          <w:p w14:paraId="6A4366C8" w14:textId="77777777" w:rsidR="00A37F8D" w:rsidRPr="008F32C3" w:rsidRDefault="00A37F8D" w:rsidP="00EC1374">
            <w:pPr>
              <w:pStyle w:val="ListParagraph"/>
              <w:numPr>
                <w:ilvl w:val="0"/>
                <w:numId w:val="1"/>
              </w:numPr>
              <w:tabs>
                <w:tab w:val="left" w:pos="90"/>
              </w:tabs>
              <w:spacing w:before="60" w:after="60"/>
              <w:jc w:val="both"/>
              <w:rPr>
                <w:sz w:val="24"/>
                <w:szCs w:val="24"/>
              </w:rPr>
            </w:pPr>
            <w:r w:rsidRPr="008F32C3">
              <w:t xml:space="preserve">Uganda could become a blue print for other African nations which struggle with the impact of </w:t>
            </w:r>
            <w:r w:rsidRPr="008F32C3">
              <w:rPr>
                <w:sz w:val="24"/>
                <w:szCs w:val="24"/>
              </w:rPr>
              <w:t xml:space="preserve">USD dominated </w:t>
            </w:r>
            <w:proofErr w:type="spellStart"/>
            <w:r w:rsidRPr="008F32C3">
              <w:rPr>
                <w:sz w:val="24"/>
                <w:szCs w:val="24"/>
              </w:rPr>
              <w:t>FiTs</w:t>
            </w:r>
            <w:proofErr w:type="spellEnd"/>
            <w:r w:rsidRPr="008F32C3">
              <w:rPr>
                <w:sz w:val="24"/>
                <w:szCs w:val="24"/>
              </w:rPr>
              <w:t>.</w:t>
            </w:r>
          </w:p>
          <w:p w14:paraId="36CB04C3" w14:textId="3AC96203" w:rsidR="00A37F8D" w:rsidRPr="00EC1374" w:rsidRDefault="00A37F8D" w:rsidP="00EC1374">
            <w:pPr>
              <w:pStyle w:val="ListParagraph"/>
              <w:numPr>
                <w:ilvl w:val="0"/>
                <w:numId w:val="1"/>
              </w:numPr>
              <w:tabs>
                <w:tab w:val="left" w:pos="90"/>
              </w:tabs>
              <w:spacing w:before="60" w:after="60"/>
              <w:jc w:val="both"/>
            </w:pPr>
            <w:r w:rsidRPr="008F32C3">
              <w:rPr>
                <w:sz w:val="24"/>
                <w:szCs w:val="24"/>
              </w:rPr>
              <w:t xml:space="preserve">By including local investors and lenders in the </w:t>
            </w:r>
            <w:proofErr w:type="spellStart"/>
            <w:r w:rsidRPr="008F32C3">
              <w:rPr>
                <w:sz w:val="24"/>
                <w:szCs w:val="24"/>
              </w:rPr>
              <w:t>programme</w:t>
            </w:r>
            <w:proofErr w:type="spellEnd"/>
            <w:r w:rsidRPr="008F32C3">
              <w:rPr>
                <w:sz w:val="24"/>
                <w:szCs w:val="24"/>
              </w:rPr>
              <w:t xml:space="preserve"> it will have tremendous upside for the local economy. It will allow investors</w:t>
            </w:r>
            <w:r w:rsidRPr="00EC1374">
              <w:t xml:space="preserve"> to earn the steady long-term returns associated with RE projects and allow lenders to build up </w:t>
            </w:r>
            <w:r>
              <w:t>their</w:t>
            </w:r>
            <w:r w:rsidRPr="00EC1374">
              <w:t xml:space="preserve"> asset base and gain key know</w:t>
            </w:r>
            <w:r>
              <w:t>-</w:t>
            </w:r>
            <w:r w:rsidRPr="00EC1374">
              <w:t xml:space="preserve">how in the RE sector which could be transferred across to other infrastructure projects the country is pursuing. </w:t>
            </w:r>
          </w:p>
          <w:p w14:paraId="25827B37" w14:textId="77777777" w:rsidR="00A37F8D" w:rsidRPr="00EC1374" w:rsidRDefault="00A37F8D" w:rsidP="00EC1374">
            <w:pPr>
              <w:pStyle w:val="ListParagraph"/>
              <w:numPr>
                <w:ilvl w:val="0"/>
                <w:numId w:val="1"/>
              </w:numPr>
              <w:tabs>
                <w:tab w:val="left" w:pos="90"/>
              </w:tabs>
              <w:spacing w:before="60" w:after="60"/>
              <w:jc w:val="both"/>
            </w:pPr>
            <w:r w:rsidRPr="00EC1374">
              <w:t>By enabling local consumers an opportunity to invest in energy generation, it acts as a hedge for them against rising energy prices, improves social satisfaction and helps improve sector sustainability.</w:t>
            </w:r>
          </w:p>
        </w:tc>
      </w:tr>
      <w:tr w:rsidR="00A37F8D" w14:paraId="4AB38D4C"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3BBFDDFA" w14:textId="0D4ABDDB" w:rsidR="00A37F8D" w:rsidRDefault="00A37F8D" w:rsidP="0022148F">
            <w:pPr>
              <w:tabs>
                <w:tab w:val="left" w:pos="90"/>
              </w:tabs>
              <w:spacing w:before="60" w:after="60"/>
              <w:rPr>
                <w:i/>
              </w:rPr>
            </w:pPr>
            <w:r>
              <w:rPr>
                <w:i/>
              </w:rPr>
              <w:t>{Please o</w:t>
            </w:r>
            <w:r w:rsidRPr="00910885">
              <w:rPr>
                <w:i/>
              </w:rPr>
              <w:t>utline</w:t>
            </w:r>
            <w:r>
              <w:rPr>
                <w:i/>
              </w:rPr>
              <w:t xml:space="preserve"> here</w:t>
            </w:r>
            <w:r w:rsidRPr="00910885">
              <w:rPr>
                <w:i/>
              </w:rPr>
              <w:t xml:space="preserve"> the medium and long-term </w:t>
            </w:r>
            <w:r>
              <w:rPr>
                <w:i/>
              </w:rPr>
              <w:t>impac</w:t>
            </w:r>
            <w:r w:rsidRPr="00910885">
              <w:rPr>
                <w:i/>
              </w:rPr>
              <w:t>ts that will result from the CTCN</w:t>
            </w:r>
            <w:r>
              <w:rPr>
                <w:i/>
              </w:rPr>
              <w:t xml:space="preserve"> technical</w:t>
            </w:r>
            <w:r w:rsidRPr="00910885">
              <w:rPr>
                <w:i/>
              </w:rPr>
              <w:t xml:space="preserve"> assistance, including how the assistance will contribute to mitigate and/or adapt to climate change.}</w:t>
            </w:r>
          </w:p>
        </w:tc>
      </w:tr>
      <w:tr w:rsidR="00A37F8D" w14:paraId="73FEB79A"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5406F67" w14:textId="77777777" w:rsidR="00A37F8D" w:rsidRPr="001C3498" w:rsidRDefault="00A37F8D" w:rsidP="004A3A41">
            <w:pPr>
              <w:tabs>
                <w:tab w:val="left" w:pos="90"/>
              </w:tabs>
              <w:spacing w:before="60" w:after="60"/>
              <w:rPr>
                <w:b/>
              </w:rPr>
            </w:pPr>
          </w:p>
        </w:tc>
      </w:tr>
      <w:tr w:rsidR="00A37F8D" w14:paraId="77698CE1"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0DD69273" w14:textId="77777777" w:rsidR="00A37F8D" w:rsidRDefault="00A37F8D" w:rsidP="004A3A41">
            <w:pPr>
              <w:tabs>
                <w:tab w:val="left" w:pos="90"/>
              </w:tabs>
              <w:spacing w:before="60" w:after="60"/>
              <w:rPr>
                <w:i/>
              </w:rPr>
            </w:pPr>
            <w:r w:rsidRPr="00D0541C">
              <w:rPr>
                <w:b/>
              </w:rPr>
              <w:t xml:space="preserve">Post-technical assistance plans </w:t>
            </w:r>
            <w:r w:rsidRPr="00D0541C">
              <w:rPr>
                <w:i/>
              </w:rPr>
              <w:t>(up to half a page):</w:t>
            </w:r>
          </w:p>
          <w:p w14:paraId="7BBCF0DC" w14:textId="6A804BD7" w:rsidR="00A37F8D" w:rsidRPr="00EC1374" w:rsidRDefault="00A37F8D" w:rsidP="00EC1374">
            <w:pPr>
              <w:tabs>
                <w:tab w:val="left" w:pos="90"/>
              </w:tabs>
              <w:spacing w:before="60" w:after="60"/>
              <w:jc w:val="both"/>
            </w:pPr>
            <w:r w:rsidRPr="00EC1374">
              <w:t xml:space="preserve">The results of the work described above will give ERA all the necessary tools and information to make informed decisions on whether to introduce a </w:t>
            </w:r>
            <w:r>
              <w:t>(</w:t>
            </w:r>
            <w:r w:rsidRPr="00EC1374">
              <w:t>partial</w:t>
            </w:r>
            <w:r>
              <w:t>)</w:t>
            </w:r>
            <w:r w:rsidRPr="00EC1374">
              <w:t xml:space="preserve"> UGX </w:t>
            </w:r>
            <w:proofErr w:type="spellStart"/>
            <w:r w:rsidRPr="00EC1374">
              <w:t>FiT</w:t>
            </w:r>
            <w:proofErr w:type="spellEnd"/>
            <w:r w:rsidRPr="00EC1374">
              <w:t xml:space="preserve">. Based on a decision as to whether a local currency </w:t>
            </w:r>
            <w:proofErr w:type="spellStart"/>
            <w:r w:rsidRPr="00EC1374">
              <w:t>FiT</w:t>
            </w:r>
            <w:proofErr w:type="spellEnd"/>
            <w:r w:rsidRPr="00EC1374">
              <w:t xml:space="preserve"> makes sense, ERA will go about introducing a new local </w:t>
            </w:r>
            <w:proofErr w:type="spellStart"/>
            <w:r w:rsidRPr="00EC1374">
              <w:t>FiT</w:t>
            </w:r>
            <w:proofErr w:type="spellEnd"/>
            <w:r w:rsidRPr="00EC1374">
              <w:t xml:space="preserve"> at the prescribed rates that are suggested in the technical assistance. As part of the required work, ERA will receive a model </w:t>
            </w:r>
            <w:r>
              <w:t xml:space="preserve">they will use </w:t>
            </w:r>
            <w:r w:rsidRPr="00EC1374">
              <w:t>to update the tariffs quarterly</w:t>
            </w:r>
            <w:r w:rsidR="008F32C3">
              <w:t xml:space="preserve"> </w:t>
            </w:r>
            <w:r w:rsidRPr="00EC1374">
              <w:t xml:space="preserve">and will be able to build internal capacity on arbitrage and understand the impacts. The main follow-up actions that will take place include: </w:t>
            </w:r>
          </w:p>
          <w:p w14:paraId="1A7112C6" w14:textId="77777777" w:rsidR="00A37F8D" w:rsidRPr="00EC1374" w:rsidRDefault="00A37F8D" w:rsidP="00EC1374">
            <w:pPr>
              <w:pStyle w:val="ListParagraph"/>
              <w:numPr>
                <w:ilvl w:val="0"/>
                <w:numId w:val="5"/>
              </w:numPr>
              <w:tabs>
                <w:tab w:val="left" w:pos="90"/>
              </w:tabs>
              <w:spacing w:before="60" w:after="60"/>
              <w:jc w:val="both"/>
            </w:pPr>
            <w:r w:rsidRPr="00EC1374">
              <w:t xml:space="preserve">Establish potential </w:t>
            </w:r>
            <w:r>
              <w:t>(</w:t>
            </w:r>
            <w:r w:rsidRPr="00EC1374">
              <w:t>partial</w:t>
            </w:r>
            <w:r>
              <w:t>)</w:t>
            </w:r>
            <w:r w:rsidRPr="00EC1374">
              <w:t xml:space="preserve"> UGX based </w:t>
            </w:r>
            <w:proofErr w:type="spellStart"/>
            <w:r w:rsidRPr="00EC1374">
              <w:t>FiT</w:t>
            </w:r>
            <w:proofErr w:type="spellEnd"/>
            <w:r w:rsidRPr="00EC1374">
              <w:t xml:space="preserve"> and take into consideration the impact of local investors / lenders. By having, the necessary tools at hand will allow ERA to make informed decisions and get buy-in from all key stakeholders. </w:t>
            </w:r>
          </w:p>
          <w:p w14:paraId="7EE9EA4D" w14:textId="2F102832" w:rsidR="00A37F8D" w:rsidRPr="00EC1374" w:rsidRDefault="00A37F8D" w:rsidP="00EC1374">
            <w:pPr>
              <w:pStyle w:val="ListParagraph"/>
              <w:numPr>
                <w:ilvl w:val="0"/>
                <w:numId w:val="5"/>
              </w:numPr>
              <w:tabs>
                <w:tab w:val="left" w:pos="90"/>
              </w:tabs>
              <w:spacing w:before="60" w:after="60"/>
              <w:jc w:val="both"/>
            </w:pPr>
            <w:r w:rsidRPr="00EC1374">
              <w:t xml:space="preserve">Actively engage with local investors / lenders to get them to participate in the market, having a local </w:t>
            </w:r>
            <w:proofErr w:type="spellStart"/>
            <w:r w:rsidRPr="00EC1374">
              <w:t>FiT</w:t>
            </w:r>
            <w:proofErr w:type="spellEnd"/>
            <w:r w:rsidRPr="00EC1374">
              <w:t xml:space="preserve"> should increase their appetite</w:t>
            </w:r>
            <w:r>
              <w:t>.</w:t>
            </w:r>
          </w:p>
          <w:p w14:paraId="6ECE8AE6" w14:textId="77777777" w:rsidR="00A37F8D" w:rsidRPr="008F32C3" w:rsidRDefault="00A37F8D" w:rsidP="00EC1374">
            <w:pPr>
              <w:pStyle w:val="ListParagraph"/>
              <w:numPr>
                <w:ilvl w:val="0"/>
                <w:numId w:val="5"/>
              </w:numPr>
              <w:tabs>
                <w:tab w:val="left" w:pos="90"/>
              </w:tabs>
              <w:spacing w:before="60" w:after="60"/>
              <w:jc w:val="both"/>
              <w:rPr>
                <w:sz w:val="24"/>
                <w:szCs w:val="24"/>
              </w:rPr>
            </w:pPr>
            <w:r w:rsidRPr="008F32C3">
              <w:t>I</w:t>
            </w:r>
            <w:r w:rsidRPr="00EC1374">
              <w:t xml:space="preserve">ntroduction of </w:t>
            </w:r>
            <w:r>
              <w:t>(</w:t>
            </w:r>
            <w:r w:rsidRPr="00EC1374">
              <w:t>partial</w:t>
            </w:r>
            <w:r>
              <w:t>)</w:t>
            </w:r>
            <w:r w:rsidRPr="00EC1374">
              <w:t xml:space="preserve"> UGX based </w:t>
            </w:r>
            <w:proofErr w:type="spellStart"/>
            <w:r w:rsidRPr="00EC1374">
              <w:t>FiTs</w:t>
            </w:r>
            <w:proofErr w:type="spellEnd"/>
            <w:r w:rsidRPr="00EC1374">
              <w:t xml:space="preserve"> with an updated methodology explaining the quarterly adjustments. The methodology should lay the foundations for a long-term plan and create market certainty after the phasing out of GET-</w:t>
            </w:r>
            <w:proofErr w:type="spellStart"/>
            <w:r w:rsidRPr="00EC1374">
              <w:t>FiT</w:t>
            </w:r>
            <w:proofErr w:type="spellEnd"/>
            <w:r w:rsidRPr="00EC1374">
              <w:t xml:space="preserve"> which is </w:t>
            </w:r>
            <w:r w:rsidRPr="008F32C3">
              <w:t xml:space="preserve">aligned with Uganda’s </w:t>
            </w:r>
            <w:r w:rsidRPr="008F32C3">
              <w:rPr>
                <w:sz w:val="24"/>
                <w:szCs w:val="24"/>
              </w:rPr>
              <w:t>energy sector targets.</w:t>
            </w:r>
          </w:p>
          <w:p w14:paraId="04B38E5F" w14:textId="19E2C8DA" w:rsidR="00A37F8D" w:rsidRPr="00EC1374" w:rsidRDefault="00A37F8D" w:rsidP="00EC1374">
            <w:pPr>
              <w:pStyle w:val="ListParagraph"/>
              <w:numPr>
                <w:ilvl w:val="0"/>
                <w:numId w:val="5"/>
              </w:numPr>
              <w:tabs>
                <w:tab w:val="left" w:pos="90"/>
              </w:tabs>
              <w:spacing w:before="60" w:after="60"/>
              <w:jc w:val="both"/>
              <w:rPr>
                <w:i/>
                <w:color w:val="1F497D" w:themeColor="text2"/>
              </w:rPr>
            </w:pPr>
            <w:r w:rsidRPr="008F32C3">
              <w:t xml:space="preserve">The uptake of a (partial) UGX based </w:t>
            </w:r>
            <w:proofErr w:type="spellStart"/>
            <w:r w:rsidRPr="008F32C3">
              <w:t>FiT</w:t>
            </w:r>
            <w:proofErr w:type="spellEnd"/>
            <w:r w:rsidRPr="008F32C3">
              <w:t xml:space="preserve"> should have a positive impact on</w:t>
            </w:r>
            <w:r w:rsidRPr="00EC1374">
              <w:t xml:space="preserve"> UETCL by reducing their FX risks and allow for stronger capital planning by being able to update their financials with the current </w:t>
            </w:r>
            <w:proofErr w:type="spellStart"/>
            <w:r w:rsidRPr="00EC1374">
              <w:t>FiT</w:t>
            </w:r>
            <w:proofErr w:type="spellEnd"/>
            <w:r w:rsidRPr="00EC1374">
              <w:t xml:space="preserve"> level quarterly and having a complete understanding of the costs and their FX exposure and thereby creating further stability in the market</w:t>
            </w:r>
            <w:r w:rsidRPr="003732B0">
              <w:t>.</w:t>
            </w:r>
          </w:p>
        </w:tc>
      </w:tr>
      <w:tr w:rsidR="00A37F8D" w14:paraId="16E413F1"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09AB979D" w14:textId="07622413" w:rsidR="00A37F8D" w:rsidRDefault="00A37F8D" w:rsidP="004A3A41">
            <w:pPr>
              <w:tabs>
                <w:tab w:val="left" w:pos="90"/>
              </w:tabs>
              <w:spacing w:before="60" w:after="60"/>
              <w:rPr>
                <w:i/>
              </w:rPr>
            </w:pPr>
            <w:r>
              <w:rPr>
                <w:i/>
              </w:rPr>
              <w:t>{Please d</w:t>
            </w:r>
            <w:r w:rsidRPr="00910885">
              <w:rPr>
                <w:i/>
              </w:rPr>
              <w:t>escribe</w:t>
            </w:r>
            <w:r>
              <w:rPr>
                <w:i/>
              </w:rPr>
              <w:t xml:space="preserve"> here</w:t>
            </w:r>
            <w:r w:rsidRPr="00910885">
              <w:rPr>
                <w:i/>
              </w:rPr>
              <w:t xml:space="preserve"> how the results of the CTCN</w:t>
            </w:r>
            <w:r>
              <w:rPr>
                <w:i/>
              </w:rPr>
              <w:t xml:space="preserve"> technical</w:t>
            </w:r>
            <w:r w:rsidRPr="00910885">
              <w:rPr>
                <w:i/>
              </w:rPr>
              <w:t xml:space="preserve"> assistance will be concretely used by the applicant and national stakeholders, to pursue their efforts</w:t>
            </w:r>
            <w:r>
              <w:rPr>
                <w:i/>
              </w:rPr>
              <w:t xml:space="preserve"> of</w:t>
            </w:r>
            <w:r w:rsidRPr="00910885">
              <w:rPr>
                <w:i/>
              </w:rPr>
              <w:t xml:space="preserve"> resolving the problems stated above </w:t>
            </w:r>
            <w:r>
              <w:rPr>
                <w:i/>
              </w:rPr>
              <w:t xml:space="preserve">after </w:t>
            </w:r>
            <w:r>
              <w:rPr>
                <w:i/>
              </w:rPr>
              <w:lastRenderedPageBreak/>
              <w:t xml:space="preserve">the completion of the CTCN intervention </w:t>
            </w:r>
            <w:r w:rsidRPr="00910885">
              <w:rPr>
                <w:i/>
              </w:rPr>
              <w:t>(list specific follow-up actions</w:t>
            </w:r>
            <w:r>
              <w:rPr>
                <w:i/>
              </w:rPr>
              <w:t xml:space="preserve"> that will be undertaken</w:t>
            </w:r>
            <w:r w:rsidRPr="00910885">
              <w:rPr>
                <w:i/>
              </w:rPr>
              <w:t>).}</w:t>
            </w:r>
          </w:p>
        </w:tc>
      </w:tr>
      <w:tr w:rsidR="00A37F8D" w14:paraId="42C17807"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46DDB6FA" w14:textId="77777777" w:rsidR="00A37F8D" w:rsidRDefault="00A37F8D" w:rsidP="004A3A41">
            <w:pPr>
              <w:tabs>
                <w:tab w:val="left" w:pos="90"/>
              </w:tabs>
              <w:spacing w:before="60" w:after="60"/>
              <w:rPr>
                <w:i/>
              </w:rPr>
            </w:pPr>
          </w:p>
        </w:tc>
      </w:tr>
      <w:tr w:rsidR="00A37F8D" w:rsidRPr="001C3498" w14:paraId="43DFE8E6"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3266AE7" w14:textId="77777777" w:rsidR="00A37F8D" w:rsidRPr="001C3498" w:rsidRDefault="00A37F8D" w:rsidP="0051067E">
            <w:pPr>
              <w:tabs>
                <w:tab w:val="left" w:pos="90"/>
              </w:tabs>
              <w:spacing w:before="60" w:after="60"/>
              <w:rPr>
                <w:b/>
              </w:rPr>
            </w:pPr>
            <w:r w:rsidRPr="006D40CD">
              <w:rPr>
                <w:b/>
              </w:rPr>
              <w:t>Key stakeholders:</w:t>
            </w:r>
          </w:p>
        </w:tc>
      </w:tr>
      <w:tr w:rsidR="00A37F8D" w14:paraId="31EECECC"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7FF6963E" w14:textId="77777777" w:rsidR="00A37F8D" w:rsidRDefault="00A37F8D" w:rsidP="00085A3C">
            <w:pPr>
              <w:tabs>
                <w:tab w:val="left" w:pos="90"/>
              </w:tabs>
              <w:spacing w:before="60" w:after="60"/>
              <w:rPr>
                <w:i/>
              </w:rPr>
            </w:pPr>
            <w:r w:rsidRPr="00910885">
              <w:rPr>
                <w:i/>
              </w:rPr>
              <w:t>{</w:t>
            </w:r>
            <w:r>
              <w:rPr>
                <w:i/>
              </w:rPr>
              <w:t>Please l</w:t>
            </w:r>
            <w:r w:rsidRPr="00910885">
              <w:rPr>
                <w:i/>
              </w:rPr>
              <w:t xml:space="preserve">ist </w:t>
            </w:r>
            <w:r>
              <w:rPr>
                <w:i/>
              </w:rPr>
              <w:t xml:space="preserve">in the table below </w:t>
            </w:r>
            <w:r w:rsidRPr="00910885">
              <w:rPr>
                <w:i/>
              </w:rPr>
              <w:t xml:space="preserve">the main stakeholders who </w:t>
            </w:r>
            <w:r>
              <w:rPr>
                <w:i/>
              </w:rPr>
              <w:t>will</w:t>
            </w:r>
            <w:r w:rsidRPr="00910885">
              <w:rPr>
                <w:i/>
              </w:rPr>
              <w:t xml:space="preserve"> be involved in the implementation of the requested CTCN</w:t>
            </w:r>
            <w:r>
              <w:rPr>
                <w:i/>
              </w:rPr>
              <w:t xml:space="preserve"> technical</w:t>
            </w:r>
            <w:r w:rsidRPr="00910885">
              <w:rPr>
                <w:i/>
              </w:rPr>
              <w:t xml:space="preserve"> assistance, and what their role</w:t>
            </w:r>
            <w:r>
              <w:rPr>
                <w:i/>
              </w:rPr>
              <w:t xml:space="preserve"> will be</w:t>
            </w:r>
            <w:r w:rsidRPr="00910885">
              <w:rPr>
                <w:i/>
              </w:rPr>
              <w:t xml:space="preserve"> in supporting the assistance (for example, government agencies and ministries, academic institutions and universities, private sector, community organizations, civil society, etc.).</w:t>
            </w:r>
            <w:r>
              <w:rPr>
                <w:i/>
              </w:rPr>
              <w:t xml:space="preserve"> Please indicate what organization(s) will be the main/lead counterpart(s) of CTCN experts at national level, in addition to the NDE.</w:t>
            </w:r>
            <w:r w:rsidRPr="00910885">
              <w:rPr>
                <w:i/>
              </w:rPr>
              <w:t>}</w:t>
            </w:r>
          </w:p>
        </w:tc>
      </w:tr>
      <w:tr w:rsidR="00A37F8D" w:rsidRPr="001C3498" w14:paraId="111BD7A9"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1802EC5" w14:textId="77777777" w:rsidR="00A37F8D" w:rsidRPr="00B168FE" w:rsidRDefault="00A37F8D" w:rsidP="00B168FE">
            <w:pPr>
              <w:tabs>
                <w:tab w:val="left" w:pos="90"/>
              </w:tabs>
              <w:spacing w:before="60" w:after="60"/>
              <w:jc w:val="center"/>
              <w:rPr>
                <w:b/>
                <w:i/>
              </w:rPr>
            </w:pPr>
            <w:r w:rsidRPr="00B168FE">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1D8EFA0F" w14:textId="77777777" w:rsidR="00A37F8D" w:rsidRPr="00B168FE" w:rsidRDefault="00A37F8D" w:rsidP="00B168FE">
            <w:pPr>
              <w:tabs>
                <w:tab w:val="left" w:pos="90"/>
              </w:tabs>
              <w:spacing w:before="60" w:after="60"/>
              <w:jc w:val="center"/>
              <w:rPr>
                <w:b/>
                <w:i/>
              </w:rPr>
            </w:pPr>
            <w:r w:rsidRPr="00B168FE">
              <w:rPr>
                <w:b/>
              </w:rPr>
              <w:t>Role to support the implementation of the assistance</w:t>
            </w:r>
          </w:p>
        </w:tc>
      </w:tr>
      <w:tr w:rsidR="00A37F8D" w14:paraId="016E8F00"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42D296F" w14:textId="77777777" w:rsidR="00A37F8D" w:rsidRPr="00EC1374" w:rsidRDefault="00A37F8D" w:rsidP="0051067E">
            <w:pPr>
              <w:tabs>
                <w:tab w:val="left" w:pos="90"/>
              </w:tabs>
              <w:spacing w:before="60" w:after="60"/>
            </w:pPr>
            <w:r w:rsidRPr="00EC1374">
              <w:t>ERA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39B8CA0" w14:textId="5CE4CFD2" w:rsidR="00A37F8D" w:rsidRPr="00EC1374" w:rsidRDefault="00A37F8D" w:rsidP="0051067E">
            <w:pPr>
              <w:tabs>
                <w:tab w:val="left" w:pos="90"/>
              </w:tabs>
              <w:spacing w:before="60" w:after="60"/>
            </w:pPr>
            <w:r w:rsidRPr="00EC1374">
              <w:t xml:space="preserve">The electricity industry regulator will undertake </w:t>
            </w:r>
            <w:r>
              <w:t xml:space="preserve">(take a lead in) </w:t>
            </w:r>
            <w:r w:rsidRPr="00EC1374">
              <w:t>the study</w:t>
            </w:r>
            <w:r>
              <w:t xml:space="preserve">. </w:t>
            </w:r>
          </w:p>
        </w:tc>
      </w:tr>
      <w:tr w:rsidR="00A37F8D" w14:paraId="483AD5B5"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970A14F" w14:textId="77777777" w:rsidR="00A37F8D" w:rsidRPr="00EC1374" w:rsidRDefault="00A37F8D" w:rsidP="0051067E">
            <w:pPr>
              <w:tabs>
                <w:tab w:val="left" w:pos="90"/>
              </w:tabs>
              <w:spacing w:before="60" w:after="60"/>
            </w:pPr>
            <w:r w:rsidRPr="00EC1374">
              <w:t>UETCL</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0E910EB" w14:textId="2C402000" w:rsidR="00A37F8D" w:rsidRPr="00EC1374" w:rsidRDefault="00A37F8D" w:rsidP="00BA08B7">
            <w:pPr>
              <w:tabs>
                <w:tab w:val="left" w:pos="90"/>
              </w:tabs>
              <w:spacing w:before="60" w:after="60"/>
            </w:pPr>
            <w:r w:rsidRPr="00EC1374">
              <w:t>The single buyer and operator of the national grid</w:t>
            </w:r>
            <w:r>
              <w:t>,</w:t>
            </w:r>
            <w:r w:rsidRPr="00EC1374">
              <w:t xml:space="preserve"> bears all currency risk exposures.</w:t>
            </w:r>
          </w:p>
        </w:tc>
      </w:tr>
      <w:tr w:rsidR="00A37F8D" w14:paraId="75628595"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4256A1B" w14:textId="77777777" w:rsidR="00A37F8D" w:rsidRPr="00EC1374" w:rsidRDefault="00A37F8D" w:rsidP="0051067E">
            <w:pPr>
              <w:tabs>
                <w:tab w:val="left" w:pos="90"/>
              </w:tabs>
              <w:spacing w:before="60" w:after="60"/>
            </w:pPr>
            <w:r w:rsidRPr="00EC1374">
              <w:t>MEMD</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A64501E" w14:textId="77777777" w:rsidR="00A37F8D" w:rsidRPr="00EC1374" w:rsidRDefault="00A37F8D" w:rsidP="0051067E">
            <w:pPr>
              <w:tabs>
                <w:tab w:val="left" w:pos="90"/>
              </w:tabs>
              <w:spacing w:before="60" w:after="60"/>
            </w:pPr>
            <w:r w:rsidRPr="00EC1374">
              <w:t>The policy supervisor of the electricity industry</w:t>
            </w:r>
            <w:r>
              <w:t>.</w:t>
            </w:r>
          </w:p>
        </w:tc>
      </w:tr>
      <w:tr w:rsidR="00A37F8D" w14:paraId="287B6D3B"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FAB9A8A" w14:textId="77777777" w:rsidR="00A37F8D" w:rsidRPr="00EC1374" w:rsidRDefault="00A37F8D" w:rsidP="0051067E">
            <w:pPr>
              <w:tabs>
                <w:tab w:val="left" w:pos="90"/>
              </w:tabs>
              <w:spacing w:before="60" w:after="60"/>
            </w:pPr>
            <w:r w:rsidRPr="00EC1374">
              <w:t>Ministry of Finance, Planning and Economic Development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554923F" w14:textId="77777777" w:rsidR="00A37F8D" w:rsidRPr="00EC1374" w:rsidRDefault="00A37F8D" w:rsidP="0051067E">
            <w:pPr>
              <w:tabs>
                <w:tab w:val="left" w:pos="90"/>
              </w:tabs>
              <w:spacing w:before="60" w:after="60"/>
            </w:pPr>
            <w:r w:rsidRPr="00EC1374">
              <w:t>Takes leadership of planning for the country and investment climate strategies</w:t>
            </w:r>
            <w:r>
              <w:t>.</w:t>
            </w:r>
          </w:p>
        </w:tc>
      </w:tr>
      <w:tr w:rsidR="00A37F8D" w14:paraId="3E8FA58A"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21A2AF4" w14:textId="77777777" w:rsidR="00A37F8D" w:rsidRPr="00EC1374" w:rsidRDefault="00A37F8D" w:rsidP="0051067E">
            <w:pPr>
              <w:tabs>
                <w:tab w:val="left" w:pos="90"/>
              </w:tabs>
              <w:spacing w:before="60" w:after="60"/>
            </w:pPr>
            <w:r w:rsidRPr="00EC1374">
              <w:t>Uganda Investment Authority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0EEA728" w14:textId="77777777" w:rsidR="00A37F8D" w:rsidRPr="00EC1374" w:rsidRDefault="00A37F8D" w:rsidP="0051067E">
            <w:pPr>
              <w:tabs>
                <w:tab w:val="left" w:pos="90"/>
              </w:tabs>
              <w:spacing w:before="60" w:after="60"/>
            </w:pPr>
            <w:r w:rsidRPr="00EC1374">
              <w:t xml:space="preserve">A government </w:t>
            </w:r>
            <w:proofErr w:type="spellStart"/>
            <w:r w:rsidRPr="00EC1374">
              <w:t>parastatal</w:t>
            </w:r>
            <w:proofErr w:type="spellEnd"/>
            <w:r w:rsidRPr="00EC1374">
              <w:t xml:space="preserve"> charged with licensing and overseeing investment projects in the country.</w:t>
            </w:r>
          </w:p>
        </w:tc>
      </w:tr>
      <w:tr w:rsidR="00A37F8D" w14:paraId="48D8E0EB"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7CE6A36" w14:textId="2329A17F" w:rsidR="00A37F8D" w:rsidRPr="00EC1374" w:rsidRDefault="00A37F8D" w:rsidP="00406C47">
            <w:pPr>
              <w:tabs>
                <w:tab w:val="left" w:pos="90"/>
              </w:tabs>
              <w:spacing w:before="60" w:after="60"/>
            </w:pPr>
            <w:r w:rsidRPr="00EC1374">
              <w:t>Bank of Uganda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4CD739B" w14:textId="77777777" w:rsidR="00A37F8D" w:rsidRPr="00EC1374" w:rsidRDefault="00A37F8D" w:rsidP="0051067E">
            <w:pPr>
              <w:tabs>
                <w:tab w:val="left" w:pos="90"/>
              </w:tabs>
              <w:spacing w:before="60" w:after="60"/>
            </w:pPr>
            <w:r w:rsidRPr="00EC1374">
              <w:t>Supervisor of Commercial Banks</w:t>
            </w:r>
            <w:r>
              <w:t>.</w:t>
            </w:r>
          </w:p>
        </w:tc>
      </w:tr>
      <w:tr w:rsidR="00A37F8D" w14:paraId="13E552F5"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3396885" w14:textId="0F254FD8" w:rsidR="00A37F8D" w:rsidRPr="00EC1374" w:rsidRDefault="00A37F8D" w:rsidP="0045023D">
            <w:pPr>
              <w:tabs>
                <w:tab w:val="left" w:pos="90"/>
              </w:tabs>
              <w:spacing w:before="60" w:after="60"/>
            </w:pPr>
            <w:r w:rsidRPr="00EC1374">
              <w:t>Private Sector Foundation Uganda/Developers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C6B854B" w14:textId="77777777" w:rsidR="00A37F8D" w:rsidRPr="00EC1374" w:rsidRDefault="00A37F8D" w:rsidP="0051067E">
            <w:pPr>
              <w:tabs>
                <w:tab w:val="left" w:pos="90"/>
              </w:tabs>
              <w:spacing w:before="60" w:after="60"/>
            </w:pPr>
            <w:r w:rsidRPr="00EC1374">
              <w:t>Will offer private sector perceptions about implications of currency choices in financing of RE projects</w:t>
            </w:r>
            <w:r>
              <w:t>.</w:t>
            </w:r>
            <w:r w:rsidRPr="00EC1374">
              <w:t xml:space="preserve"> </w:t>
            </w:r>
          </w:p>
        </w:tc>
      </w:tr>
      <w:tr w:rsidR="00A37F8D" w14:paraId="230B1ADA"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FAC4A22" w14:textId="2574C89E" w:rsidR="00A37F8D" w:rsidRPr="00EC1374" w:rsidRDefault="00A37F8D" w:rsidP="0051067E">
            <w:pPr>
              <w:tabs>
                <w:tab w:val="left" w:pos="90"/>
              </w:tabs>
              <w:spacing w:before="60" w:after="60"/>
            </w:pPr>
            <w:r w:rsidRPr="00EC1374">
              <w:t>Commercial Banks/Uganda Association of Bankers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FA4DEFA" w14:textId="791BBFC0" w:rsidR="00A37F8D" w:rsidRPr="00EC1374" w:rsidRDefault="00A37F8D" w:rsidP="003732B0">
            <w:pPr>
              <w:tabs>
                <w:tab w:val="left" w:pos="90"/>
              </w:tabs>
              <w:spacing w:before="60" w:after="60"/>
            </w:pPr>
            <w:r w:rsidRPr="00EC1374">
              <w:t>Will provide insight into the capacity and appetite of commercial to lend RE projects in local currency</w:t>
            </w:r>
            <w:r>
              <w:t>.</w:t>
            </w:r>
          </w:p>
        </w:tc>
      </w:tr>
      <w:tr w:rsidR="00A37F8D" w14:paraId="64EB3AC4"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C11E4C0" w14:textId="77777777" w:rsidR="00A37F8D" w:rsidRPr="00EC1374" w:rsidRDefault="00A37F8D" w:rsidP="0051067E">
            <w:pPr>
              <w:tabs>
                <w:tab w:val="left" w:pos="90"/>
              </w:tabs>
              <w:spacing w:before="60" w:after="60"/>
            </w:pPr>
            <w:r w:rsidRPr="00EC1374">
              <w:t>Asset Management Companies/Mutual Funds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581857F" w14:textId="18637E44" w:rsidR="00A37F8D" w:rsidRPr="00EC1374" w:rsidRDefault="00A37F8D" w:rsidP="003732B0">
            <w:pPr>
              <w:tabs>
                <w:tab w:val="left" w:pos="90"/>
              </w:tabs>
              <w:spacing w:before="60" w:after="60"/>
            </w:pPr>
            <w:r w:rsidRPr="00EC1374">
              <w:t>Will provide insight into the capacity, legal framework and appetite of commercial to lend RE projects in local currency.</w:t>
            </w:r>
          </w:p>
        </w:tc>
      </w:tr>
      <w:tr w:rsidR="00A37F8D" w14:paraId="21A71F93"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F3A650B" w14:textId="77777777" w:rsidR="00A37F8D" w:rsidRPr="00EC1374" w:rsidRDefault="00A37F8D" w:rsidP="0051067E">
            <w:pPr>
              <w:tabs>
                <w:tab w:val="left" w:pos="90"/>
              </w:tabs>
              <w:spacing w:before="60" w:after="60"/>
            </w:pPr>
            <w:r w:rsidRPr="00EC1374">
              <w:t>Capital Markets Authority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E4329CA" w14:textId="77777777" w:rsidR="00A37F8D" w:rsidRPr="00EC1374" w:rsidRDefault="00A37F8D" w:rsidP="008A3137">
            <w:pPr>
              <w:tabs>
                <w:tab w:val="left" w:pos="90"/>
              </w:tabs>
              <w:spacing w:before="60" w:after="60"/>
            </w:pPr>
            <w:r w:rsidRPr="00EC1374">
              <w:t>Will provide insight into legal and regulatory framework for Asset Management Companies/Mutual Funds to invest in greenfield projects.</w:t>
            </w:r>
          </w:p>
        </w:tc>
      </w:tr>
      <w:tr w:rsidR="00A37F8D" w14:paraId="548632B9"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373012D" w14:textId="77777777" w:rsidR="00A37F8D" w:rsidRPr="00EC1374" w:rsidRDefault="00A37F8D" w:rsidP="0051067E">
            <w:pPr>
              <w:tabs>
                <w:tab w:val="left" w:pos="90"/>
              </w:tabs>
              <w:spacing w:before="60" w:after="60"/>
            </w:pPr>
            <w:r w:rsidRPr="00EC1374">
              <w:t>Provident Fund (NSSF)</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E00ECB9" w14:textId="77777777" w:rsidR="00A37F8D" w:rsidRPr="00EC1374" w:rsidRDefault="00A37F8D" w:rsidP="008A3137">
            <w:pPr>
              <w:tabs>
                <w:tab w:val="left" w:pos="90"/>
              </w:tabs>
              <w:spacing w:before="60" w:after="60"/>
            </w:pPr>
            <w:r w:rsidRPr="00EC1374">
              <w:t>Will provide insight into the capacity and regulatory framework to invest Pension Funds in greenfield projects.</w:t>
            </w:r>
          </w:p>
        </w:tc>
      </w:tr>
      <w:tr w:rsidR="00A37F8D" w14:paraId="42C3BA30"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B54C1EB" w14:textId="77777777" w:rsidR="00A37F8D" w:rsidRPr="00EC1374" w:rsidRDefault="00A37F8D" w:rsidP="0051067E">
            <w:pPr>
              <w:tabs>
                <w:tab w:val="left" w:pos="90"/>
              </w:tabs>
              <w:spacing w:before="60" w:after="60"/>
            </w:pPr>
            <w:r w:rsidRPr="00EC1374">
              <w:t>Uganda Retirement Benefits Authority (URBRA)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DA01EA0" w14:textId="77777777" w:rsidR="00A37F8D" w:rsidRPr="00EC1374" w:rsidRDefault="00A37F8D" w:rsidP="008A3137">
            <w:pPr>
              <w:tabs>
                <w:tab w:val="left" w:pos="90"/>
              </w:tabs>
              <w:spacing w:before="60" w:after="60"/>
            </w:pPr>
            <w:r w:rsidRPr="00EC1374">
              <w:t>Will provide insight into the legal and regulatory framework to invest Pension Funds in greenfield projects.</w:t>
            </w:r>
          </w:p>
        </w:tc>
      </w:tr>
      <w:tr w:rsidR="00A37F8D" w14:paraId="71C2C608" w14:textId="77777777" w:rsidTr="00A37F8D">
        <w:trPr>
          <w:gridAfter w:val="1"/>
          <w:wAfter w:w="3686" w:type="dxa"/>
        </w:trPr>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9CAAA03" w14:textId="77777777" w:rsidR="00A37F8D" w:rsidRPr="00EC1374" w:rsidRDefault="00A37F8D" w:rsidP="0051067E">
            <w:pPr>
              <w:tabs>
                <w:tab w:val="left" w:pos="90"/>
              </w:tabs>
              <w:spacing w:before="60" w:after="60"/>
            </w:pPr>
            <w:r w:rsidRPr="00EC1374">
              <w:t>Uganda Manufacturers Association (UMA)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EE9287B" w14:textId="56EA591C" w:rsidR="00A37F8D" w:rsidRPr="00EC1374" w:rsidRDefault="00A37F8D" w:rsidP="008F32C3">
            <w:pPr>
              <w:tabs>
                <w:tab w:val="left" w:pos="90"/>
              </w:tabs>
              <w:spacing w:before="60" w:after="60"/>
            </w:pPr>
            <w:r w:rsidRPr="00EC1374">
              <w:t xml:space="preserve">As the major victims of tariff fluctuations on account of foreign exchange movements, UMA will provide input in </w:t>
            </w:r>
            <w:r>
              <w:t>Local content (</w:t>
            </w:r>
            <w:r w:rsidRPr="00EC1374">
              <w:t>LC</w:t>
            </w:r>
            <w:r>
              <w:t>)</w:t>
            </w:r>
            <w:r w:rsidRPr="00EC1374">
              <w:t xml:space="preserve"> financing options.</w:t>
            </w:r>
          </w:p>
        </w:tc>
      </w:tr>
      <w:tr w:rsidR="00A37F8D" w14:paraId="5F354B8A" w14:textId="77777777" w:rsidTr="00A37F8D">
        <w:trPr>
          <w:gridAfter w:val="1"/>
          <w:wAfter w:w="3686" w:type="dxa"/>
        </w:trPr>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8340875" w14:textId="77777777" w:rsidR="00A37F8D" w:rsidRDefault="00A37F8D" w:rsidP="004A3A41">
            <w:pPr>
              <w:tabs>
                <w:tab w:val="left" w:pos="90"/>
              </w:tabs>
              <w:spacing w:before="60" w:after="60"/>
              <w:rPr>
                <w:i/>
              </w:rPr>
            </w:pPr>
          </w:p>
        </w:tc>
      </w:tr>
      <w:tr w:rsidR="00A37F8D" w14:paraId="0EFB3FBD"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A9FE193" w14:textId="77777777" w:rsidR="00A37F8D" w:rsidRDefault="00A37F8D" w:rsidP="004A3A41">
            <w:pPr>
              <w:tabs>
                <w:tab w:val="left" w:pos="90"/>
              </w:tabs>
              <w:spacing w:before="60" w:after="60"/>
              <w:rPr>
                <w:i/>
              </w:rPr>
            </w:pPr>
            <w:r w:rsidRPr="00D0541C">
              <w:rPr>
                <w:b/>
              </w:rPr>
              <w:t xml:space="preserve">Alignment with national priorities </w:t>
            </w:r>
            <w:r w:rsidRPr="00D0541C">
              <w:rPr>
                <w:i/>
              </w:rPr>
              <w:t>(up to half a page):</w:t>
            </w:r>
          </w:p>
          <w:p w14:paraId="029D8239" w14:textId="3BEFAF59" w:rsidR="00A37F8D" w:rsidRDefault="00A37F8D" w:rsidP="00EC1374">
            <w:pPr>
              <w:tabs>
                <w:tab w:val="left" w:pos="90"/>
              </w:tabs>
              <w:spacing w:before="60" w:after="60"/>
              <w:jc w:val="both"/>
            </w:pPr>
            <w:r w:rsidRPr="00EC1374">
              <w:t xml:space="preserve">The </w:t>
            </w:r>
            <w:r w:rsidRPr="0058651B">
              <w:rPr>
                <w:b/>
              </w:rPr>
              <w:t>Uganda Vision 2040</w:t>
            </w:r>
            <w:r w:rsidRPr="00EC1374">
              <w:t xml:space="preserve"> (</w:t>
            </w:r>
            <w:hyperlink r:id="rId9" w:history="1">
              <w:r w:rsidRPr="003732B0">
                <w:rPr>
                  <w:rStyle w:val="Hyperlink"/>
                  <w:i/>
                </w:rPr>
                <w:t>http://npa.ug/wp-content/themes/npatheme/documents/vision2040.pdf</w:t>
              </w:r>
            </w:hyperlink>
            <w:r w:rsidRPr="00EC1374">
              <w:t xml:space="preserve">) sets the pace for Uganda to transit to a lower middle income country in the medium term. The medium and long term development strategy is premised on industrialization and value addition. Industrialization will only thrive on efficient, affordable and sustainable prices of electricity. Therefore, affordable sustainable renewable energy prices </w:t>
            </w:r>
            <w:r>
              <w:t>are</w:t>
            </w:r>
            <w:r w:rsidRPr="00EC1374">
              <w:t xml:space="preserve"> prerequisite for national development. In the Vision 2040, it is Government’s strategy to develop mini and small hydro and RE sources to generate affordable </w:t>
            </w:r>
            <w:r w:rsidRPr="00EC1374">
              <w:lastRenderedPageBreak/>
              <w:t>electricity.</w:t>
            </w:r>
          </w:p>
          <w:p w14:paraId="6CCCDE72" w14:textId="0E4B1CA5" w:rsidR="00A37F8D" w:rsidRDefault="00A37F8D" w:rsidP="00EC1374">
            <w:pPr>
              <w:tabs>
                <w:tab w:val="left" w:pos="90"/>
              </w:tabs>
              <w:spacing w:before="60" w:after="60"/>
              <w:jc w:val="both"/>
            </w:pPr>
            <w:r w:rsidRPr="00EC1374">
              <w:t xml:space="preserve">Power generation costs account for about 60% of the end-user power tariff. About 98% of generation costs are denominated in FX and therefore, foreign exchange exposure of the tariff is a real threat to affordability of power. For instance, in Q3 of 2015, power tariffs were adjusted upwards by 18% (quarter on quarter) mainly on account of exchange rate depreciation. In the </w:t>
            </w:r>
            <w:r w:rsidRPr="0058651B">
              <w:rPr>
                <w:b/>
              </w:rPr>
              <w:t>National Development Plan II 2015-20</w:t>
            </w:r>
            <w:r w:rsidRPr="00EC1374">
              <w:t xml:space="preserve"> </w:t>
            </w:r>
            <w:r>
              <w:t>(</w:t>
            </w:r>
            <w:hyperlink r:id="rId10" w:history="1">
              <w:r w:rsidRPr="00F944AC">
                <w:rPr>
                  <w:rStyle w:val="Hyperlink"/>
                  <w:i/>
                </w:rPr>
                <w:t>http://npa.ug/wp-content/uploads/NDPII-Final.pdf</w:t>
              </w:r>
            </w:hyperlink>
            <w:r w:rsidRPr="00EC1374">
              <w:t>), the Government recognizes electricity as critical source of energy for industrial and commercial production in Uganda and is explicit about the need to tackle the challenge of high electricity costs.</w:t>
            </w:r>
          </w:p>
          <w:p w14:paraId="0A7EADFC" w14:textId="77777777" w:rsidR="00A37F8D" w:rsidRDefault="00A37F8D" w:rsidP="00EC1374">
            <w:pPr>
              <w:tabs>
                <w:tab w:val="left" w:pos="90"/>
              </w:tabs>
              <w:spacing w:before="60" w:after="60"/>
              <w:jc w:val="both"/>
            </w:pPr>
          </w:p>
          <w:p w14:paraId="38E545AF" w14:textId="72968C87" w:rsidR="00A37F8D" w:rsidRDefault="00A37F8D" w:rsidP="00EC1374">
            <w:pPr>
              <w:tabs>
                <w:tab w:val="left" w:pos="90"/>
              </w:tabs>
              <w:spacing w:before="60" w:after="60"/>
              <w:jc w:val="both"/>
            </w:pPr>
            <w:r w:rsidRPr="00463D64">
              <w:rPr>
                <w:b/>
              </w:rPr>
              <w:t>The Energy Policy For Uganda</w:t>
            </w:r>
            <w:r>
              <w:rPr>
                <w:b/>
              </w:rPr>
              <w:t xml:space="preserve"> 2002 </w:t>
            </w:r>
            <w:r w:rsidRPr="00DE53C1">
              <w:t>(</w:t>
            </w:r>
            <w:hyperlink r:id="rId11" w:history="1">
              <w:r w:rsidRPr="00463D64">
                <w:rPr>
                  <w:rStyle w:val="Hyperlink"/>
                  <w:i/>
                </w:rPr>
                <w:t>http://energyandminerals.go.ug/downloads/EnergyPolicy.pdf</w:t>
              </w:r>
            </w:hyperlink>
            <w:r w:rsidRPr="00DE53C1">
              <w:t>)</w:t>
            </w:r>
            <w:r>
              <w:t xml:space="preserve">: The policy states that in order to achieve its objective of increasing access to modern affordable and reliable energy services as contribution to poverty eradication the government shall work with financial institutions to establish sustainable financing mechanisms for energy programs. The government shall ensure strategies to attract private sector investments by providing appropriate financial instruments. </w:t>
            </w:r>
          </w:p>
          <w:p w14:paraId="2E79BAAD" w14:textId="29056980" w:rsidR="00A37F8D" w:rsidRDefault="00A37F8D" w:rsidP="004A3A41">
            <w:pPr>
              <w:tabs>
                <w:tab w:val="left" w:pos="90"/>
              </w:tabs>
              <w:spacing w:before="60" w:after="60"/>
              <w:rPr>
                <w:i/>
              </w:rPr>
            </w:pPr>
          </w:p>
        </w:tc>
      </w:tr>
      <w:tr w:rsidR="00A37F8D" w14:paraId="0D2B2385"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35F6178" w14:textId="5B0E9224" w:rsidR="00A37F8D" w:rsidRDefault="00A37F8D" w:rsidP="00AE6971">
            <w:pPr>
              <w:tabs>
                <w:tab w:val="left" w:pos="90"/>
              </w:tabs>
              <w:spacing w:before="60" w:after="60"/>
              <w:rPr>
                <w:i/>
              </w:rPr>
            </w:pPr>
            <w:r>
              <w:rPr>
                <w:i/>
              </w:rPr>
              <w:lastRenderedPageBreak/>
              <w:t>{Please d</w:t>
            </w:r>
            <w:r w:rsidRPr="00910885">
              <w:rPr>
                <w:i/>
              </w:rPr>
              <w:t xml:space="preserve">emonstrate </w:t>
            </w:r>
            <w:r>
              <w:rPr>
                <w:i/>
              </w:rPr>
              <w:t xml:space="preserve">here </w:t>
            </w:r>
            <w:r w:rsidRPr="00910885">
              <w:rPr>
                <w:i/>
              </w:rPr>
              <w:t>that the</w:t>
            </w:r>
            <w:r>
              <w:rPr>
                <w:i/>
              </w:rPr>
              <w:t xml:space="preserve"> technical</w:t>
            </w:r>
            <w:r w:rsidRPr="00910885">
              <w:rPr>
                <w:i/>
              </w:rPr>
              <w:t xml:space="preserve"> assistance requested is consistent with documented national priorities (examples of</w:t>
            </w:r>
            <w:r>
              <w:rPr>
                <w:i/>
              </w:rPr>
              <w:t xml:space="preserve"> relevant</w:t>
            </w:r>
            <w:r w:rsidRPr="00910885">
              <w:rPr>
                <w:i/>
              </w:rPr>
              <w:t xml:space="preserve"> national priorities </w:t>
            </w:r>
            <w:r>
              <w:rPr>
                <w:i/>
              </w:rPr>
              <w:t>include</w:t>
            </w:r>
            <w:r w:rsidRPr="00910885">
              <w:rPr>
                <w:i/>
              </w:rPr>
              <w:t>: national development</w:t>
            </w:r>
            <w:r>
              <w:rPr>
                <w:i/>
              </w:rPr>
              <w:t xml:space="preserve"> plans</w:t>
            </w:r>
            <w:r w:rsidRPr="00910885">
              <w:rPr>
                <w:i/>
              </w:rPr>
              <w:t>, poverty reduction</w:t>
            </w:r>
            <w:r>
              <w:rPr>
                <w:i/>
              </w:rPr>
              <w:t xml:space="preserve"> plans, technology needs </w:t>
            </w:r>
            <w:r w:rsidRPr="008F32C3">
              <w:rPr>
                <w:i/>
              </w:rPr>
              <w:t>assessments (TNAs), LEDS, NAMAs, TAPs, NAPs, sectorial strategies and plans, etc.).</w:t>
            </w:r>
            <w:r w:rsidRPr="00910885">
              <w:rPr>
                <w:i/>
              </w:rPr>
              <w:t xml:space="preserve"> For each document mention</w:t>
            </w:r>
            <w:r>
              <w:rPr>
                <w:i/>
              </w:rPr>
              <w:t xml:space="preserve">ed, please indicate where the </w:t>
            </w:r>
            <w:r w:rsidRPr="00910885">
              <w:rPr>
                <w:i/>
              </w:rPr>
              <w:t xml:space="preserve">priorities </w:t>
            </w:r>
            <w:r>
              <w:rPr>
                <w:i/>
              </w:rPr>
              <w:t xml:space="preserve">specifically relevant to this request </w:t>
            </w:r>
            <w:r w:rsidRPr="00910885">
              <w:rPr>
                <w:i/>
              </w:rPr>
              <w:t>can be found (chapter, page number, etc.).}</w:t>
            </w:r>
          </w:p>
        </w:tc>
      </w:tr>
      <w:tr w:rsidR="00A37F8D" w14:paraId="1BC9481A"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AFE6082" w14:textId="77777777" w:rsidR="00A37F8D" w:rsidRDefault="00A37F8D" w:rsidP="004A3A41">
            <w:pPr>
              <w:tabs>
                <w:tab w:val="left" w:pos="90"/>
              </w:tabs>
              <w:spacing w:before="60" w:after="60"/>
              <w:rPr>
                <w:i/>
              </w:rPr>
            </w:pPr>
          </w:p>
        </w:tc>
      </w:tr>
      <w:tr w:rsidR="00A37F8D" w14:paraId="119EF3FB"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3DFBE00" w14:textId="3C4CDEB2" w:rsidR="00A37F8D" w:rsidRDefault="00A37F8D" w:rsidP="004A3A41">
            <w:pPr>
              <w:tabs>
                <w:tab w:val="left" w:pos="90"/>
              </w:tabs>
              <w:spacing w:before="60" w:after="60"/>
              <w:rPr>
                <w:i/>
              </w:rPr>
            </w:pPr>
            <w:r w:rsidRPr="00612898">
              <w:rPr>
                <w:b/>
              </w:rPr>
              <w:t xml:space="preserve">Development of the request </w:t>
            </w:r>
            <w:r w:rsidRPr="00612898">
              <w:rPr>
                <w:i/>
              </w:rPr>
              <w:t>(up to half a page):</w:t>
            </w:r>
          </w:p>
          <w:p w14:paraId="0988D474" w14:textId="77777777" w:rsidR="00A37F8D" w:rsidRDefault="00A37F8D" w:rsidP="00EC1374">
            <w:pPr>
              <w:tabs>
                <w:tab w:val="left" w:pos="90"/>
              </w:tabs>
              <w:spacing w:before="60" w:after="60"/>
              <w:jc w:val="both"/>
            </w:pPr>
            <w:r w:rsidRPr="00EC1374">
              <w:t>This request has been developed by the Electricity Regulatory Authority for the strengthening of local investors and developers in the development and sustainability of the small and medium scale renewable energy sector in Uganda</w:t>
            </w:r>
            <w:r w:rsidRPr="008F32C3">
              <w:t xml:space="preserve">. Offering local currency </w:t>
            </w:r>
            <w:proofErr w:type="spellStart"/>
            <w:r w:rsidRPr="008F32C3">
              <w:t>FiTs</w:t>
            </w:r>
            <w:proofErr w:type="spellEnd"/>
            <w:r w:rsidRPr="008F32C3">
              <w:t xml:space="preserve"> can have the additional advantage in terms of development of local financial institutions. The UGX </w:t>
            </w:r>
            <w:proofErr w:type="spellStart"/>
            <w:r w:rsidRPr="008F32C3">
              <w:t>FiT</w:t>
            </w:r>
            <w:proofErr w:type="spellEnd"/>
            <w:r w:rsidRPr="008F32C3">
              <w:t xml:space="preserve"> could then be adjusted on a quarterly basis, based on a model to be prepared to avoid arbitrage.</w:t>
            </w:r>
            <w:r>
              <w:t xml:space="preserve"> </w:t>
            </w:r>
          </w:p>
          <w:p w14:paraId="614B206F" w14:textId="77777777" w:rsidR="00A37F8D" w:rsidRPr="00EC1374" w:rsidRDefault="00A37F8D" w:rsidP="00EC1374">
            <w:pPr>
              <w:tabs>
                <w:tab w:val="left" w:pos="90"/>
              </w:tabs>
              <w:spacing w:before="60" w:after="60"/>
              <w:jc w:val="both"/>
            </w:pPr>
            <w:r>
              <w:t xml:space="preserve">This request has been developed as an outcome of the previous successful intervention of GET </w:t>
            </w:r>
            <w:proofErr w:type="spellStart"/>
            <w:r>
              <w:t>FiT</w:t>
            </w:r>
            <w:proofErr w:type="spellEnd"/>
            <w:r>
              <w:t xml:space="preserve"> which puts Uganda in an advantageous position to strengthen the local financial sector after showcasing the viability and sustainability of investments in the renewable energy sector.</w:t>
            </w:r>
          </w:p>
          <w:p w14:paraId="1A28284E" w14:textId="7769777C" w:rsidR="003C41C3" w:rsidRPr="00C85470" w:rsidRDefault="00A37F8D" w:rsidP="008F32C3">
            <w:pPr>
              <w:tabs>
                <w:tab w:val="left" w:pos="90"/>
              </w:tabs>
              <w:spacing w:before="60" w:after="60"/>
              <w:jc w:val="both"/>
            </w:pPr>
            <w:r w:rsidRPr="00EC1374">
              <w:t>Development of a comprehensive mechanism for the introduction of parallel currency options requires significant time and resources, thus the assistance of CTCN is highly relevant to create an environment which fosters local development.</w:t>
            </w:r>
          </w:p>
        </w:tc>
      </w:tr>
      <w:tr w:rsidR="00A37F8D" w14:paraId="5A707CC3"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A02AE24" w14:textId="77777777" w:rsidR="00A37F8D" w:rsidRDefault="00A37F8D" w:rsidP="004A3A41">
            <w:pPr>
              <w:tabs>
                <w:tab w:val="left" w:pos="90"/>
              </w:tabs>
              <w:spacing w:before="60" w:after="60"/>
              <w:rPr>
                <w:i/>
              </w:rPr>
            </w:pPr>
            <w:r>
              <w:rPr>
                <w:i/>
              </w:rPr>
              <w:t>{Please e</w:t>
            </w:r>
            <w:r w:rsidRPr="00910885">
              <w:rPr>
                <w:i/>
              </w:rPr>
              <w:t>xplain</w:t>
            </w:r>
            <w:r>
              <w:rPr>
                <w:i/>
              </w:rPr>
              <w:t xml:space="preserve"> here</w:t>
            </w:r>
            <w:r w:rsidRPr="00910885">
              <w:rPr>
                <w:i/>
              </w:rPr>
              <w:t xml:space="preserve"> how the request was developed at the national level and the process used by the NDE to approve </w:t>
            </w:r>
            <w:r>
              <w:rPr>
                <w:i/>
              </w:rPr>
              <w:t xml:space="preserve">the request </w:t>
            </w:r>
            <w:r w:rsidRPr="00910885">
              <w:rPr>
                <w:i/>
              </w:rPr>
              <w:t xml:space="preserve">before submitting it (who initiated the process, who were the stakeholders involved and what were their roles, and describe any </w:t>
            </w:r>
            <w:r>
              <w:rPr>
                <w:i/>
              </w:rPr>
              <w:t>consultations or other meetings</w:t>
            </w:r>
            <w:r w:rsidRPr="00910885">
              <w:rPr>
                <w:i/>
              </w:rPr>
              <w:t xml:space="preserve"> that took place to develop and select this request</w:t>
            </w:r>
            <w:r>
              <w:rPr>
                <w:i/>
              </w:rPr>
              <w:t>, etc.)</w:t>
            </w:r>
            <w:r w:rsidRPr="00910885">
              <w:rPr>
                <w:i/>
              </w:rPr>
              <w:t>}</w:t>
            </w:r>
          </w:p>
          <w:p w14:paraId="73DF5944" w14:textId="77777777" w:rsidR="00A37F8D" w:rsidRDefault="00A37F8D" w:rsidP="004A3A41">
            <w:pPr>
              <w:tabs>
                <w:tab w:val="left" w:pos="90"/>
              </w:tabs>
              <w:spacing w:before="60" w:after="60"/>
              <w:rPr>
                <w:i/>
              </w:rPr>
            </w:pPr>
          </w:p>
        </w:tc>
      </w:tr>
      <w:tr w:rsidR="00A37F8D" w14:paraId="4D96613D"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286F36CF" w14:textId="77777777" w:rsidR="00A37F8D" w:rsidRDefault="00A37F8D" w:rsidP="004A3A41">
            <w:pPr>
              <w:tabs>
                <w:tab w:val="left" w:pos="90"/>
              </w:tabs>
              <w:spacing w:before="60" w:after="60"/>
              <w:rPr>
                <w:i/>
              </w:rPr>
            </w:pPr>
          </w:p>
        </w:tc>
      </w:tr>
      <w:tr w:rsidR="00A37F8D" w14:paraId="2B734192"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1D1D4A49" w14:textId="77777777" w:rsidR="00A37F8D" w:rsidRDefault="00A37F8D" w:rsidP="004A3A41">
            <w:pPr>
              <w:tabs>
                <w:tab w:val="left" w:pos="90"/>
              </w:tabs>
              <w:spacing w:before="60" w:after="60"/>
              <w:rPr>
                <w:b/>
              </w:rPr>
            </w:pPr>
            <w:r w:rsidRPr="00612898">
              <w:rPr>
                <w:b/>
              </w:rPr>
              <w:t>Expected timeframe:</w:t>
            </w:r>
          </w:p>
          <w:p w14:paraId="07B7A64B" w14:textId="77777777" w:rsidR="00A37F8D" w:rsidRPr="00EC1374" w:rsidRDefault="00A37F8D" w:rsidP="00EC1374">
            <w:pPr>
              <w:tabs>
                <w:tab w:val="left" w:pos="90"/>
              </w:tabs>
              <w:spacing w:before="60" w:after="60"/>
              <w:jc w:val="both"/>
              <w:rPr>
                <w:color w:val="1F497D" w:themeColor="text2"/>
              </w:rPr>
            </w:pPr>
            <w:r w:rsidRPr="008F32C3">
              <w:t>6 months</w:t>
            </w:r>
          </w:p>
        </w:tc>
      </w:tr>
      <w:tr w:rsidR="00A37F8D" w14:paraId="143CE4FF"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501A18F9" w14:textId="5909537B" w:rsidR="00A37F8D" w:rsidRDefault="00A37F8D" w:rsidP="004A3A41">
            <w:pPr>
              <w:tabs>
                <w:tab w:val="left" w:pos="90"/>
              </w:tabs>
              <w:spacing w:before="60" w:after="60"/>
              <w:rPr>
                <w:i/>
              </w:rPr>
            </w:pPr>
            <w:r w:rsidRPr="00910885">
              <w:rPr>
                <w:i/>
              </w:rPr>
              <w:t>{</w:t>
            </w:r>
            <w:r>
              <w:rPr>
                <w:i/>
              </w:rPr>
              <w:t>Please propose here a duration period for the assistance requested</w:t>
            </w:r>
            <w:r w:rsidRPr="00910885">
              <w:rPr>
                <w:i/>
              </w:rPr>
              <w:t>.}</w:t>
            </w:r>
          </w:p>
        </w:tc>
      </w:tr>
      <w:tr w:rsidR="00A37F8D" w14:paraId="014F3A9D"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7F29CA9F" w14:textId="77777777" w:rsidR="00A37F8D" w:rsidRPr="001C3498" w:rsidRDefault="00A37F8D" w:rsidP="004A3A41">
            <w:pPr>
              <w:tabs>
                <w:tab w:val="left" w:pos="90"/>
              </w:tabs>
              <w:spacing w:before="60" w:after="60"/>
              <w:rPr>
                <w:b/>
              </w:rPr>
            </w:pPr>
          </w:p>
        </w:tc>
      </w:tr>
      <w:tr w:rsidR="00A37F8D" w14:paraId="496A4E6C"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57884E75" w14:textId="77777777" w:rsidR="00A37F8D" w:rsidRDefault="00A37F8D" w:rsidP="004A3A41">
            <w:pPr>
              <w:tabs>
                <w:tab w:val="left" w:pos="90"/>
              </w:tabs>
              <w:spacing w:before="60" w:after="60"/>
              <w:rPr>
                <w:b/>
              </w:rPr>
            </w:pPr>
            <w:r w:rsidRPr="007B2362">
              <w:rPr>
                <w:b/>
              </w:rPr>
              <w:t>Background documents:</w:t>
            </w:r>
          </w:p>
          <w:p w14:paraId="2336CBE7" w14:textId="77777777" w:rsidR="00A37F8D" w:rsidRPr="00463D64" w:rsidRDefault="00A37F8D" w:rsidP="00463D64">
            <w:pPr>
              <w:pStyle w:val="ListParagraph"/>
              <w:numPr>
                <w:ilvl w:val="0"/>
                <w:numId w:val="7"/>
              </w:numPr>
              <w:tabs>
                <w:tab w:val="left" w:pos="90"/>
              </w:tabs>
              <w:spacing w:before="60" w:after="60"/>
              <w:jc w:val="both"/>
            </w:pPr>
            <w:r w:rsidRPr="00463D64">
              <w:t>Uganda Renewable Energy Feed-in Tariff (REFIT) Phase 3 Guidelines, 2016</w:t>
            </w:r>
          </w:p>
          <w:p w14:paraId="0839235B" w14:textId="149A05CA" w:rsidR="00A37F8D" w:rsidRPr="00463D64" w:rsidRDefault="00A37F8D" w:rsidP="00463D64">
            <w:pPr>
              <w:pStyle w:val="ListParagraph"/>
              <w:tabs>
                <w:tab w:val="left" w:pos="90"/>
              </w:tabs>
              <w:spacing w:before="60" w:after="60"/>
              <w:jc w:val="both"/>
            </w:pPr>
            <w:r w:rsidRPr="00463D64">
              <w:t>(</w:t>
            </w:r>
            <w:hyperlink r:id="rId12" w:history="1">
              <w:r w:rsidRPr="00463D64">
                <w:rPr>
                  <w:rStyle w:val="Hyperlink"/>
                  <w:i/>
                </w:rPr>
                <w:t>http://era.or.ug/index.php/newsletters/doc_download/383-uganda-renewable-energy-feed-in-tariff-phase-3-guidelines-2016</w:t>
              </w:r>
            </w:hyperlink>
            <w:r w:rsidRPr="00463D64">
              <w:t>)</w:t>
            </w:r>
          </w:p>
          <w:p w14:paraId="130E03A6" w14:textId="77777777" w:rsidR="00A37F8D" w:rsidRPr="00463D64" w:rsidRDefault="00A37F8D" w:rsidP="00463D64">
            <w:pPr>
              <w:pStyle w:val="ListParagraph"/>
              <w:numPr>
                <w:ilvl w:val="0"/>
                <w:numId w:val="7"/>
              </w:numPr>
              <w:tabs>
                <w:tab w:val="left" w:pos="90"/>
              </w:tabs>
              <w:spacing w:before="60" w:after="60"/>
              <w:jc w:val="both"/>
            </w:pPr>
            <w:r w:rsidRPr="00463D64">
              <w:t>The Uganda Vision 2040</w:t>
            </w:r>
          </w:p>
          <w:p w14:paraId="1BAEA384" w14:textId="73DCDBD7" w:rsidR="00A37F8D" w:rsidRPr="00463D64" w:rsidRDefault="00A37F8D" w:rsidP="00463D64">
            <w:pPr>
              <w:pStyle w:val="ListParagraph"/>
              <w:tabs>
                <w:tab w:val="left" w:pos="90"/>
              </w:tabs>
              <w:spacing w:before="60" w:after="60"/>
              <w:jc w:val="both"/>
            </w:pPr>
            <w:r w:rsidRPr="00463D64">
              <w:t>(</w:t>
            </w:r>
            <w:hyperlink r:id="rId13" w:history="1">
              <w:r w:rsidRPr="00463D64">
                <w:rPr>
                  <w:rStyle w:val="Hyperlink"/>
                  <w:i/>
                </w:rPr>
                <w:t>http://npa.ug/wp-content/themes/npatheme/documents/vision2040.pdf</w:t>
              </w:r>
            </w:hyperlink>
            <w:r w:rsidRPr="00463D64">
              <w:t>)</w:t>
            </w:r>
          </w:p>
          <w:p w14:paraId="15C3B8E0" w14:textId="185DBC85" w:rsidR="00A37F8D" w:rsidRPr="00463D64" w:rsidRDefault="00A37F8D" w:rsidP="00463D64">
            <w:pPr>
              <w:pStyle w:val="ListParagraph"/>
              <w:numPr>
                <w:ilvl w:val="0"/>
                <w:numId w:val="7"/>
              </w:numPr>
              <w:tabs>
                <w:tab w:val="left" w:pos="90"/>
              </w:tabs>
              <w:spacing w:before="60" w:after="60"/>
              <w:jc w:val="both"/>
            </w:pPr>
            <w:r w:rsidRPr="00463D64">
              <w:lastRenderedPageBreak/>
              <w:t xml:space="preserve">National Development Plan II 2015-20 </w:t>
            </w:r>
          </w:p>
          <w:p w14:paraId="7AB2992F" w14:textId="5F15FD60" w:rsidR="00A37F8D" w:rsidRPr="0058651B" w:rsidRDefault="00A37F8D" w:rsidP="0058651B">
            <w:pPr>
              <w:pStyle w:val="ListParagraph"/>
              <w:numPr>
                <w:ilvl w:val="0"/>
                <w:numId w:val="7"/>
              </w:numPr>
              <w:tabs>
                <w:tab w:val="left" w:pos="90"/>
              </w:tabs>
              <w:spacing w:before="60" w:after="60"/>
              <w:jc w:val="both"/>
              <w:rPr>
                <w:i/>
                <w:color w:val="0000FF" w:themeColor="hyperlink"/>
                <w:u w:val="single"/>
              </w:rPr>
            </w:pPr>
            <w:r w:rsidRPr="00463D64">
              <w:t>(</w:t>
            </w:r>
            <w:hyperlink r:id="rId14" w:history="1">
              <w:r w:rsidRPr="00463D64">
                <w:rPr>
                  <w:rStyle w:val="Hyperlink"/>
                  <w:i/>
                  <w:color w:val="auto"/>
                </w:rPr>
                <w:t>http://npa.ug/wp-content/uploads/NDPII-Final.pdf</w:t>
              </w:r>
            </w:hyperlink>
            <w:r w:rsidRPr="00463D64">
              <w:t>)</w:t>
            </w:r>
            <w:r w:rsidRPr="0058651B">
              <w:t>The Energy Policy For Uganda 2002</w:t>
            </w:r>
            <w:r>
              <w:rPr>
                <w:b/>
              </w:rPr>
              <w:t xml:space="preserve"> </w:t>
            </w:r>
            <w:r w:rsidRPr="0058651B">
              <w:rPr>
                <w:rStyle w:val="Hyperlink"/>
                <w:i/>
              </w:rPr>
              <w:t>(</w:t>
            </w:r>
            <w:hyperlink r:id="rId15" w:history="1">
              <w:r w:rsidRPr="00463D64">
                <w:rPr>
                  <w:rStyle w:val="Hyperlink"/>
                  <w:i/>
                </w:rPr>
                <w:t>http://energyandminerals.go.ug/downloads/EnergyPolicy.pdf</w:t>
              </w:r>
            </w:hyperlink>
            <w:r w:rsidRPr="0058651B">
              <w:rPr>
                <w:rStyle w:val="Hyperlink"/>
                <w:i/>
              </w:rPr>
              <w:t>)</w:t>
            </w:r>
          </w:p>
          <w:p w14:paraId="30AB963D" w14:textId="4B11574E" w:rsidR="00A37F8D" w:rsidRDefault="00A37F8D" w:rsidP="0058651B">
            <w:pPr>
              <w:pStyle w:val="ListParagraph"/>
              <w:numPr>
                <w:ilvl w:val="0"/>
                <w:numId w:val="7"/>
              </w:numPr>
              <w:tabs>
                <w:tab w:val="left" w:pos="90"/>
              </w:tabs>
              <w:spacing w:before="60" w:after="60"/>
              <w:jc w:val="both"/>
              <w:rPr>
                <w:rStyle w:val="Hyperlink"/>
                <w:i/>
              </w:rPr>
            </w:pPr>
            <w:r>
              <w:t xml:space="preserve">Scaling-Up Renewable Energy Program: Investment Plan </w:t>
            </w:r>
            <w:r w:rsidRPr="0058651B">
              <w:rPr>
                <w:rStyle w:val="Hyperlink"/>
                <w:i/>
              </w:rPr>
              <w:t>(</w:t>
            </w:r>
            <w:hyperlink r:id="rId16" w:history="1">
              <w:r w:rsidR="00A90F9A" w:rsidRPr="00A4500F">
                <w:rPr>
                  <w:rStyle w:val="Hyperlink"/>
                  <w:i/>
                </w:rPr>
                <w:t>http://www.energyandminerals.go.ug/downloads/SREPInvestmentPlanforUganda.pdf</w:t>
              </w:r>
            </w:hyperlink>
            <w:r w:rsidRPr="0058651B">
              <w:rPr>
                <w:rStyle w:val="Hyperlink"/>
                <w:i/>
              </w:rPr>
              <w:t>)</w:t>
            </w:r>
          </w:p>
          <w:p w14:paraId="41AF66DF" w14:textId="77777777" w:rsidR="00A37F8D" w:rsidRPr="00463D64" w:rsidRDefault="00A37F8D" w:rsidP="00463D64">
            <w:pPr>
              <w:pStyle w:val="ListParagraph"/>
              <w:tabs>
                <w:tab w:val="left" w:pos="90"/>
              </w:tabs>
              <w:spacing w:before="60" w:after="60"/>
              <w:jc w:val="both"/>
            </w:pPr>
          </w:p>
          <w:p w14:paraId="019843B6" w14:textId="2419DAF7" w:rsidR="00A37F8D" w:rsidRPr="007B2362" w:rsidRDefault="00A37F8D" w:rsidP="00EC1374">
            <w:pPr>
              <w:tabs>
                <w:tab w:val="left" w:pos="90"/>
              </w:tabs>
              <w:spacing w:before="60" w:after="60"/>
              <w:jc w:val="both"/>
              <w:rPr>
                <w:i/>
              </w:rPr>
            </w:pPr>
          </w:p>
        </w:tc>
      </w:tr>
      <w:tr w:rsidR="00A37F8D" w14:paraId="1DA1EE8C"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14:paraId="14F53293" w14:textId="55D47ECF" w:rsidR="00A37F8D" w:rsidRDefault="00A37F8D" w:rsidP="004A3A41">
            <w:pPr>
              <w:tabs>
                <w:tab w:val="left" w:pos="90"/>
              </w:tabs>
              <w:spacing w:before="60" w:after="60"/>
              <w:rPr>
                <w:i/>
              </w:rPr>
            </w:pPr>
            <w:r>
              <w:rPr>
                <w:i/>
              </w:rPr>
              <w:lastRenderedPageBreak/>
              <w:t>{Please l</w:t>
            </w:r>
            <w:r w:rsidRPr="00910885">
              <w:rPr>
                <w:i/>
              </w:rPr>
              <w:t>ist</w:t>
            </w:r>
            <w:r>
              <w:rPr>
                <w:i/>
              </w:rPr>
              <w:t xml:space="preserve"> here</w:t>
            </w:r>
            <w:r w:rsidRPr="00910885">
              <w:rPr>
                <w:i/>
              </w:rPr>
              <w:t xml:space="preserve"> relevant documents that will help the CTCN understand the context of the request</w:t>
            </w:r>
            <w:r>
              <w:rPr>
                <w:i/>
              </w:rPr>
              <w:t xml:space="preserve"> and national priorities</w:t>
            </w:r>
            <w:r w:rsidRPr="00910885">
              <w:rPr>
                <w:i/>
              </w:rPr>
              <w:t xml:space="preserve">. For each document, </w:t>
            </w:r>
            <w:r>
              <w:rPr>
                <w:i/>
              </w:rPr>
              <w:t xml:space="preserve">provide </w:t>
            </w:r>
            <w:proofErr w:type="spellStart"/>
            <w:r>
              <w:rPr>
                <w:i/>
              </w:rPr>
              <w:t>weblinks</w:t>
            </w:r>
            <w:proofErr w:type="spellEnd"/>
            <w:r>
              <w:rPr>
                <w:i/>
              </w:rPr>
              <w:t xml:space="preserve"> if available, to</w:t>
            </w:r>
            <w:r w:rsidRPr="00910885">
              <w:rPr>
                <w:i/>
              </w:rPr>
              <w:t xml:space="preserve"> attach to the submission form while submitting the request.</w:t>
            </w:r>
            <w:r>
              <w:rPr>
                <w:i/>
              </w:rPr>
              <w:t xml:space="preserve"> Please note that all documents listed/provided should be mentioned in this request in the relevant question(s), and that their linkages with the request should be clearly indicated.</w:t>
            </w:r>
            <w:r w:rsidRPr="00910885">
              <w:rPr>
                <w:i/>
              </w:rPr>
              <w:t>}</w:t>
            </w:r>
          </w:p>
        </w:tc>
      </w:tr>
      <w:tr w:rsidR="00A37F8D" w14:paraId="5A45BA6E"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68492CBA" w14:textId="77777777" w:rsidR="00A37F8D" w:rsidRPr="00910885" w:rsidRDefault="00A37F8D" w:rsidP="004A3A41">
            <w:pPr>
              <w:tabs>
                <w:tab w:val="left" w:pos="90"/>
              </w:tabs>
              <w:spacing w:before="60" w:after="60"/>
              <w:rPr>
                <w:i/>
              </w:rPr>
            </w:pPr>
          </w:p>
        </w:tc>
      </w:tr>
      <w:tr w:rsidR="00A37F8D" w14:paraId="704337FD" w14:textId="77777777" w:rsidTr="00A37F8D">
        <w:trPr>
          <w:gridAfter w:val="1"/>
          <w:wAfter w:w="3686" w:type="dxa"/>
        </w:trPr>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14:paraId="400DE627" w14:textId="77777777" w:rsidR="00A37F8D" w:rsidRPr="001F0604" w:rsidRDefault="00A37F8D" w:rsidP="004A3A41">
            <w:pPr>
              <w:tabs>
                <w:tab w:val="left" w:pos="90"/>
              </w:tabs>
              <w:spacing w:before="60" w:after="60"/>
              <w:rPr>
                <w:b/>
              </w:rPr>
            </w:pPr>
            <w:r w:rsidRPr="00D0541C">
              <w:rPr>
                <w:b/>
              </w:rPr>
              <w:t>Monitoring and impact of the assistance:</w:t>
            </w:r>
          </w:p>
        </w:tc>
      </w:tr>
      <w:tr w:rsidR="00A37F8D" w14:paraId="54F30638" w14:textId="77777777" w:rsidTr="00A37F8D">
        <w:trPr>
          <w:gridAfter w:val="1"/>
          <w:wAfter w:w="3686"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14:paraId="5DC7CC3C" w14:textId="77777777" w:rsidR="00A37F8D" w:rsidRDefault="00A37F8D" w:rsidP="004A3A41">
            <w:pPr>
              <w:tabs>
                <w:tab w:val="left" w:pos="90"/>
              </w:tabs>
              <w:spacing w:before="60" w:after="60"/>
              <w:rPr>
                <w:i/>
              </w:rPr>
            </w:pPr>
            <w:r w:rsidRPr="00910885">
              <w:rPr>
                <w:i/>
              </w:rPr>
              <w:t>{</w:t>
            </w:r>
            <w:r w:rsidRPr="0025027A">
              <w:rPr>
                <w:i/>
              </w:rPr>
              <w:t>Read carefully and tick the boxes below</w:t>
            </w:r>
            <w:r>
              <w:rPr>
                <w:i/>
              </w:rPr>
              <w:t>.</w:t>
            </w:r>
            <w:r w:rsidRPr="00910885">
              <w:rPr>
                <w:i/>
              </w:rPr>
              <w:t>}</w:t>
            </w:r>
          </w:p>
        </w:tc>
      </w:tr>
      <w:tr w:rsidR="00A37F8D" w14:paraId="3048C3BD" w14:textId="77777777" w:rsidTr="00A37F8D">
        <w:trPr>
          <w:gridAfter w:val="1"/>
          <w:wAfter w:w="3686" w:type="dxa"/>
        </w:trPr>
        <w:tc>
          <w:tcPr>
            <w:tcW w:w="9349" w:type="dxa"/>
            <w:gridSpan w:val="9"/>
            <w:tcBorders>
              <w:top w:val="nil"/>
              <w:left w:val="single" w:sz="4" w:space="0" w:color="1F497D" w:themeColor="text2"/>
              <w:bottom w:val="nil"/>
              <w:right w:val="single" w:sz="4" w:space="0" w:color="1F497D" w:themeColor="text2"/>
            </w:tcBorders>
            <w:shd w:val="clear" w:color="auto" w:fill="auto"/>
          </w:tcPr>
          <w:p w14:paraId="0A4265D1" w14:textId="77777777" w:rsidR="00A37F8D" w:rsidRPr="002C203E" w:rsidRDefault="00A37F8D" w:rsidP="007D6D9D">
            <w:pPr>
              <w:spacing w:before="60" w:after="120"/>
            </w:pPr>
            <w:r w:rsidRPr="005B5156">
              <w:rPr>
                <w:rFonts w:ascii="Arial" w:hAnsi="Arial" w:cs="Arial"/>
                <w:highlight w:val="lightGray"/>
              </w:rPr>
              <w:fldChar w:fldCharType="begin">
                <w:ffData>
                  <w:name w:val="Check2"/>
                  <w:enabled/>
                  <w:calcOnExit w:val="0"/>
                  <w:checkBox>
                    <w:sizeAuto/>
                    <w:default w:val="0"/>
                    <w:checked w:val="0"/>
                  </w:checkBox>
                </w:ffData>
              </w:fldChar>
            </w:r>
            <w:r w:rsidRPr="005B5156">
              <w:rPr>
                <w:rFonts w:ascii="Arial" w:hAnsi="Arial" w:cs="Arial"/>
                <w:highlight w:val="lightGray"/>
              </w:rPr>
              <w:instrText xml:space="preserve"> FORMCHECKBOX </w:instrText>
            </w:r>
            <w:r w:rsidRPr="005B5156">
              <w:rPr>
                <w:rFonts w:ascii="Arial" w:hAnsi="Arial" w:cs="Arial"/>
                <w:highlight w:val="lightGray"/>
              </w:rPr>
            </w:r>
            <w:r w:rsidRPr="005B5156">
              <w:rPr>
                <w:rFonts w:ascii="Arial" w:hAnsi="Arial" w:cs="Arial"/>
                <w:highlight w:val="lightGray"/>
              </w:rPr>
              <w:fldChar w:fldCharType="end"/>
            </w:r>
            <w:r w:rsidRPr="005B5156">
              <w:rPr>
                <w:rFonts w:ascii="Arial" w:hAnsi="Arial" w:cs="Arial"/>
              </w:rPr>
              <w:t xml:space="preserve"> </w:t>
            </w:r>
            <w:r w:rsidRPr="003E6514">
              <w:rPr>
                <w:rFonts w:ascii="Arial" w:hAnsi="Arial" w:cs="Arial"/>
              </w:rPr>
              <w:t xml:space="preserve"> </w:t>
            </w:r>
            <w:r w:rsidRPr="003E6514">
              <w:t xml:space="preserve">By signing this request, I </w:t>
            </w:r>
            <w:r>
              <w:t>affirm</w:t>
            </w:r>
            <w:r w:rsidRPr="003E6514">
              <w:t xml:space="preserve"> that processes </w:t>
            </w:r>
            <w:r>
              <w:t>are</w:t>
            </w:r>
            <w:r w:rsidRPr="003E6514">
              <w:t xml:space="preserve"> in place in the country to monitor and evaluate the assistance provided by the CTCN. I understand that these processes will be explicitly identified in the Response Plan in collaboration with the CTC, and that they will be </w:t>
            </w:r>
            <w:r>
              <w:t xml:space="preserve">used </w:t>
            </w:r>
            <w:r w:rsidRPr="003E6514">
              <w:t>in the country to monitor the implementation of the CTCN assistance.</w:t>
            </w:r>
          </w:p>
        </w:tc>
      </w:tr>
      <w:tr w:rsidR="00A37F8D" w14:paraId="34646F49" w14:textId="77777777" w:rsidTr="00A37F8D">
        <w:trPr>
          <w:gridAfter w:val="1"/>
          <w:wAfter w:w="3686" w:type="dxa"/>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14:paraId="728A0811" w14:textId="77777777" w:rsidR="00A37F8D" w:rsidRDefault="00A37F8D" w:rsidP="004A3A41">
            <w:pPr>
              <w:tabs>
                <w:tab w:val="left" w:pos="90"/>
              </w:tabs>
              <w:spacing w:before="60" w:after="60"/>
              <w:rPr>
                <w:i/>
              </w:rPr>
            </w:pPr>
            <w:r w:rsidRPr="005B5156">
              <w:rPr>
                <w:highlight w:val="lightGray"/>
              </w:rPr>
              <w:fldChar w:fldCharType="begin">
                <w:ffData>
                  <w:name w:val="Check2"/>
                  <w:enabled/>
                  <w:calcOnExit w:val="0"/>
                  <w:checkBox>
                    <w:sizeAuto/>
                    <w:default w:val="0"/>
                    <w:checked w:val="0"/>
                  </w:checkBox>
                </w:ffData>
              </w:fldChar>
            </w:r>
            <w:r w:rsidRPr="005B5156">
              <w:rPr>
                <w:highlight w:val="lightGray"/>
              </w:rPr>
              <w:instrText xml:space="preserve"> FORMCHECKBOX </w:instrText>
            </w:r>
            <w:r w:rsidRPr="005B5156">
              <w:rPr>
                <w:highlight w:val="lightGray"/>
              </w:rPr>
            </w:r>
            <w:r w:rsidRPr="005B5156">
              <w:rPr>
                <w:highlight w:val="lightGray"/>
              </w:rPr>
              <w:fldChar w:fldCharType="end"/>
            </w:r>
            <w:r w:rsidRPr="005B5156">
              <w:t xml:space="preserve"> </w:t>
            </w:r>
            <w:r w:rsidRPr="00910885">
              <w:t>I understand that, after the completion of the requested assistance, I shall support CTCN efforts to measure the success and effects of the support provided, including its short, medium and long-term impacts in the country.</w:t>
            </w:r>
          </w:p>
        </w:tc>
      </w:tr>
      <w:tr w:rsidR="00A37F8D" w14:paraId="114D4958" w14:textId="77777777" w:rsidTr="00A37F8D">
        <w:trPr>
          <w:gridAfter w:val="1"/>
          <w:wAfter w:w="3686" w:type="dxa"/>
        </w:trPr>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4119EF8" w14:textId="77777777" w:rsidR="00A37F8D" w:rsidRDefault="00A37F8D" w:rsidP="004A3A41">
            <w:pPr>
              <w:tabs>
                <w:tab w:val="left" w:pos="90"/>
              </w:tabs>
              <w:spacing w:before="60" w:after="60"/>
            </w:pPr>
          </w:p>
          <w:p w14:paraId="430C6CC8" w14:textId="77777777" w:rsidR="00A161B4" w:rsidRDefault="00A161B4" w:rsidP="004A3A41">
            <w:pPr>
              <w:tabs>
                <w:tab w:val="left" w:pos="90"/>
              </w:tabs>
              <w:spacing w:before="60" w:after="60"/>
            </w:pPr>
          </w:p>
          <w:p w14:paraId="4EB60295" w14:textId="77777777" w:rsidR="00A161B4" w:rsidRDefault="00A161B4" w:rsidP="004A3A41">
            <w:pPr>
              <w:tabs>
                <w:tab w:val="left" w:pos="90"/>
              </w:tabs>
              <w:spacing w:before="60" w:after="60"/>
            </w:pPr>
          </w:p>
          <w:p w14:paraId="0EB1B11A" w14:textId="77777777" w:rsidR="001024BA" w:rsidRDefault="001024BA" w:rsidP="004A3A41">
            <w:pPr>
              <w:tabs>
                <w:tab w:val="left" w:pos="90"/>
              </w:tabs>
              <w:spacing w:before="60" w:after="60"/>
            </w:pPr>
          </w:p>
          <w:p w14:paraId="51E3E5C5" w14:textId="77777777" w:rsidR="001024BA" w:rsidRDefault="001024BA" w:rsidP="004A3A41">
            <w:pPr>
              <w:tabs>
                <w:tab w:val="left" w:pos="90"/>
              </w:tabs>
              <w:spacing w:before="60" w:after="60"/>
            </w:pPr>
          </w:p>
          <w:p w14:paraId="2EF2A0AB" w14:textId="77777777" w:rsidR="001024BA" w:rsidRDefault="001024BA" w:rsidP="004A3A41">
            <w:pPr>
              <w:tabs>
                <w:tab w:val="left" w:pos="90"/>
              </w:tabs>
              <w:spacing w:before="60" w:after="60"/>
            </w:pPr>
          </w:p>
          <w:p w14:paraId="2D0A7B64" w14:textId="77777777" w:rsidR="001024BA" w:rsidRDefault="001024BA" w:rsidP="004A3A41">
            <w:pPr>
              <w:tabs>
                <w:tab w:val="left" w:pos="90"/>
              </w:tabs>
              <w:spacing w:before="60" w:after="60"/>
            </w:pPr>
          </w:p>
          <w:p w14:paraId="062C78CF" w14:textId="77777777" w:rsidR="001024BA" w:rsidRDefault="001024BA" w:rsidP="004A3A41">
            <w:pPr>
              <w:tabs>
                <w:tab w:val="left" w:pos="90"/>
              </w:tabs>
              <w:spacing w:before="60" w:after="60"/>
            </w:pPr>
          </w:p>
          <w:p w14:paraId="732349A1" w14:textId="77777777" w:rsidR="001024BA" w:rsidRDefault="001024BA" w:rsidP="004A3A41">
            <w:pPr>
              <w:tabs>
                <w:tab w:val="left" w:pos="90"/>
              </w:tabs>
              <w:spacing w:before="60" w:after="60"/>
            </w:pPr>
          </w:p>
          <w:p w14:paraId="2BCC9AAD" w14:textId="77777777" w:rsidR="001024BA" w:rsidRDefault="001024BA" w:rsidP="004A3A41">
            <w:pPr>
              <w:tabs>
                <w:tab w:val="left" w:pos="90"/>
              </w:tabs>
              <w:spacing w:before="60" w:after="60"/>
            </w:pPr>
          </w:p>
          <w:p w14:paraId="6356BBFB" w14:textId="77777777" w:rsidR="001024BA" w:rsidRDefault="001024BA" w:rsidP="004A3A41">
            <w:pPr>
              <w:tabs>
                <w:tab w:val="left" w:pos="90"/>
              </w:tabs>
              <w:spacing w:before="60" w:after="60"/>
            </w:pPr>
          </w:p>
          <w:p w14:paraId="117683EC" w14:textId="77777777" w:rsidR="001024BA" w:rsidRDefault="001024BA" w:rsidP="004A3A41">
            <w:pPr>
              <w:tabs>
                <w:tab w:val="left" w:pos="90"/>
              </w:tabs>
              <w:spacing w:before="60" w:after="60"/>
            </w:pPr>
          </w:p>
          <w:p w14:paraId="0AAFB241" w14:textId="77777777" w:rsidR="001024BA" w:rsidRDefault="001024BA" w:rsidP="004A3A41">
            <w:pPr>
              <w:tabs>
                <w:tab w:val="left" w:pos="90"/>
              </w:tabs>
              <w:spacing w:before="60" w:after="60"/>
            </w:pPr>
          </w:p>
          <w:p w14:paraId="11561FF6" w14:textId="77777777" w:rsidR="001024BA" w:rsidRDefault="001024BA" w:rsidP="004A3A41">
            <w:pPr>
              <w:tabs>
                <w:tab w:val="left" w:pos="90"/>
              </w:tabs>
              <w:spacing w:before="60" w:after="60"/>
            </w:pPr>
          </w:p>
          <w:p w14:paraId="378DE45F" w14:textId="68E586DA" w:rsidR="00A161B4" w:rsidRDefault="001024BA" w:rsidP="004A3A41">
            <w:pPr>
              <w:tabs>
                <w:tab w:val="left" w:pos="90"/>
              </w:tabs>
              <w:spacing w:before="60" w:after="60"/>
            </w:pPr>
            <w:r>
              <w:rPr>
                <w:noProof/>
              </w:rPr>
              <w:lastRenderedPageBreak/>
              <w:drawing>
                <wp:inline distT="0" distB="0" distL="0" distR="0" wp14:anchorId="48734F82" wp14:editId="775CD7E9">
                  <wp:extent cx="6217231" cy="8458200"/>
                  <wp:effectExtent l="0" t="0" r="0" b="0"/>
                  <wp:docPr id="1" name="Picture 1" descr="C:\Users\m.onapa\Desktop\Flash\Scan_20170116.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apa\Desktop\Flash\Scan_20170116.tif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9682" cy="8461534"/>
                          </a:xfrm>
                          <a:prstGeom prst="rect">
                            <a:avLst/>
                          </a:prstGeom>
                          <a:noFill/>
                          <a:ln>
                            <a:noFill/>
                          </a:ln>
                        </pic:spPr>
                      </pic:pic>
                    </a:graphicData>
                  </a:graphic>
                </wp:inline>
              </w:drawing>
            </w:r>
          </w:p>
          <w:p w14:paraId="597EECF9" w14:textId="77777777" w:rsidR="00A161B4" w:rsidRDefault="00A161B4" w:rsidP="004A3A41">
            <w:pPr>
              <w:tabs>
                <w:tab w:val="left" w:pos="90"/>
              </w:tabs>
              <w:spacing w:before="60" w:after="60"/>
            </w:pPr>
          </w:p>
          <w:p w14:paraId="7555EBD6" w14:textId="77777777" w:rsidR="00A161B4" w:rsidRDefault="00A161B4" w:rsidP="004A3A41">
            <w:pPr>
              <w:tabs>
                <w:tab w:val="left" w:pos="90"/>
              </w:tabs>
              <w:spacing w:before="60" w:after="60"/>
            </w:pPr>
          </w:p>
          <w:p w14:paraId="7C4579B5" w14:textId="77777777" w:rsidR="00A161B4" w:rsidRDefault="00A161B4" w:rsidP="004A3A41">
            <w:pPr>
              <w:tabs>
                <w:tab w:val="left" w:pos="90"/>
              </w:tabs>
              <w:spacing w:before="60" w:after="60"/>
            </w:pPr>
          </w:p>
          <w:p w14:paraId="105B1675" w14:textId="77777777" w:rsidR="00A161B4" w:rsidRDefault="00A161B4" w:rsidP="004A3A41">
            <w:pPr>
              <w:tabs>
                <w:tab w:val="left" w:pos="90"/>
              </w:tabs>
              <w:spacing w:before="60" w:after="60"/>
            </w:pPr>
          </w:p>
          <w:p w14:paraId="11794A2B" w14:textId="77777777" w:rsidR="00A161B4" w:rsidRDefault="00A161B4" w:rsidP="004A3A41">
            <w:pPr>
              <w:tabs>
                <w:tab w:val="left" w:pos="90"/>
              </w:tabs>
              <w:spacing w:before="60" w:after="60"/>
            </w:pPr>
          </w:p>
          <w:p w14:paraId="751F07EB" w14:textId="77777777" w:rsidR="00A161B4" w:rsidRDefault="00A161B4" w:rsidP="004A3A41">
            <w:pPr>
              <w:tabs>
                <w:tab w:val="left" w:pos="90"/>
              </w:tabs>
              <w:spacing w:before="60" w:after="60"/>
            </w:pPr>
          </w:p>
          <w:p w14:paraId="0C0E07C8" w14:textId="77777777" w:rsidR="00A161B4" w:rsidRPr="00910885" w:rsidRDefault="00A161B4" w:rsidP="004A3A41">
            <w:pPr>
              <w:tabs>
                <w:tab w:val="left" w:pos="90"/>
              </w:tabs>
              <w:spacing w:before="60" w:after="60"/>
            </w:pPr>
          </w:p>
        </w:tc>
      </w:tr>
    </w:tbl>
    <w:p w14:paraId="4260BAF9" w14:textId="389829C7" w:rsidR="000213B8" w:rsidRDefault="000213B8" w:rsidP="005B5156">
      <w:pPr>
        <w:tabs>
          <w:tab w:val="left" w:pos="1387"/>
        </w:tabs>
      </w:pPr>
    </w:p>
    <w:p w14:paraId="0314EE62" w14:textId="77777777" w:rsidR="000213B8" w:rsidRPr="000213B8" w:rsidRDefault="000213B8" w:rsidP="000213B8"/>
    <w:p w14:paraId="73CB9D9B" w14:textId="77777777" w:rsidR="000213B8" w:rsidRPr="000213B8" w:rsidRDefault="000213B8" w:rsidP="000213B8"/>
    <w:p w14:paraId="34573C42" w14:textId="77777777" w:rsidR="000213B8" w:rsidRPr="000213B8" w:rsidRDefault="000213B8" w:rsidP="000213B8"/>
    <w:p w14:paraId="142D60C9" w14:textId="77777777" w:rsidR="000213B8" w:rsidRPr="000213B8" w:rsidRDefault="000213B8" w:rsidP="000213B8"/>
    <w:p w14:paraId="4CCA9EC4" w14:textId="77777777" w:rsidR="000213B8" w:rsidRPr="000213B8" w:rsidRDefault="000213B8" w:rsidP="000213B8"/>
    <w:p w14:paraId="006F27FE" w14:textId="77777777" w:rsidR="000213B8" w:rsidRPr="000213B8" w:rsidRDefault="000213B8" w:rsidP="000213B8"/>
    <w:p w14:paraId="05EAA9EF" w14:textId="77777777" w:rsidR="000213B8" w:rsidRPr="000213B8" w:rsidRDefault="000213B8" w:rsidP="000213B8"/>
    <w:p w14:paraId="2C8D270A" w14:textId="77777777" w:rsidR="000213B8" w:rsidRPr="000213B8" w:rsidRDefault="000213B8" w:rsidP="000213B8"/>
    <w:p w14:paraId="588BFA40" w14:textId="77777777" w:rsidR="000213B8" w:rsidRPr="000213B8" w:rsidRDefault="000213B8" w:rsidP="000213B8"/>
    <w:p w14:paraId="2D173CC4" w14:textId="77777777" w:rsidR="000213B8" w:rsidRPr="000213B8" w:rsidRDefault="000213B8" w:rsidP="000213B8"/>
    <w:p w14:paraId="0F8AD280" w14:textId="77777777" w:rsidR="000213B8" w:rsidRPr="000213B8" w:rsidRDefault="000213B8" w:rsidP="000213B8"/>
    <w:p w14:paraId="111BDD26" w14:textId="77777777" w:rsidR="000213B8" w:rsidRPr="000213B8" w:rsidRDefault="000213B8" w:rsidP="000213B8"/>
    <w:p w14:paraId="121277B5" w14:textId="77777777" w:rsidR="000213B8" w:rsidRPr="000213B8" w:rsidRDefault="000213B8" w:rsidP="000213B8"/>
    <w:p w14:paraId="7EE32BF6" w14:textId="77777777" w:rsidR="000213B8" w:rsidRPr="000213B8" w:rsidRDefault="000213B8" w:rsidP="000213B8"/>
    <w:p w14:paraId="4FADF8D6" w14:textId="77777777" w:rsidR="000213B8" w:rsidRPr="000213B8" w:rsidRDefault="000213B8" w:rsidP="000213B8"/>
    <w:p w14:paraId="2E596D8B" w14:textId="77777777" w:rsidR="000213B8" w:rsidRPr="000213B8" w:rsidRDefault="000213B8" w:rsidP="000213B8"/>
    <w:p w14:paraId="2EE5AD70" w14:textId="77777777" w:rsidR="000213B8" w:rsidRPr="000213B8" w:rsidRDefault="000213B8" w:rsidP="000213B8"/>
    <w:p w14:paraId="4FD988E8" w14:textId="77777777" w:rsidR="000213B8" w:rsidRPr="000213B8" w:rsidRDefault="000213B8" w:rsidP="000213B8"/>
    <w:p w14:paraId="4FB5288E" w14:textId="77777777" w:rsidR="000213B8" w:rsidRPr="000213B8" w:rsidRDefault="000213B8" w:rsidP="000213B8"/>
    <w:p w14:paraId="3327CC87" w14:textId="77777777" w:rsidR="000213B8" w:rsidRPr="000213B8" w:rsidRDefault="000213B8" w:rsidP="000213B8"/>
    <w:p w14:paraId="4087890A" w14:textId="18DE38AD" w:rsidR="000213B8" w:rsidRDefault="000213B8" w:rsidP="000213B8"/>
    <w:p w14:paraId="20311253" w14:textId="1598CCF3" w:rsidR="008942CB" w:rsidRPr="000213B8" w:rsidRDefault="000213B8" w:rsidP="000213B8">
      <w:pPr>
        <w:tabs>
          <w:tab w:val="left" w:pos="7020"/>
        </w:tabs>
      </w:pPr>
      <w:r>
        <w:tab/>
      </w:r>
    </w:p>
    <w:sectPr w:rsidR="008942CB" w:rsidRPr="000213B8" w:rsidSect="007E691B">
      <w:footerReference w:type="even" r:id="rId18"/>
      <w:footerReference w:type="default" r:id="rId19"/>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EA4AB" w14:textId="77777777" w:rsidR="00A43B01" w:rsidRDefault="00A43B01" w:rsidP="008942CB">
      <w:r>
        <w:separator/>
      </w:r>
    </w:p>
  </w:endnote>
  <w:endnote w:type="continuationSeparator" w:id="0">
    <w:p w14:paraId="1800CB7A" w14:textId="77777777" w:rsidR="00A43B01" w:rsidRDefault="00A43B01"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024D2" w14:textId="77777777" w:rsidR="00A90F9A" w:rsidRDefault="00A90F9A"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16C0C" w14:textId="77777777" w:rsidR="00A90F9A" w:rsidRDefault="00A90F9A"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C243" w14:textId="77777777" w:rsidR="00A90F9A" w:rsidRDefault="00A90F9A"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85732" w14:textId="77777777" w:rsidR="00A43B01" w:rsidRDefault="00A43B01" w:rsidP="008942CB">
      <w:r>
        <w:separator/>
      </w:r>
    </w:p>
  </w:footnote>
  <w:footnote w:type="continuationSeparator" w:id="0">
    <w:p w14:paraId="14B81387" w14:textId="77777777" w:rsidR="00A43B01" w:rsidRDefault="00A43B01" w:rsidP="00894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AF2"/>
    <w:multiLevelType w:val="hybridMultilevel"/>
    <w:tmpl w:val="3B1E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E6D0B"/>
    <w:multiLevelType w:val="hybridMultilevel"/>
    <w:tmpl w:val="1EFC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73043"/>
    <w:multiLevelType w:val="hybridMultilevel"/>
    <w:tmpl w:val="58AA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7205E"/>
    <w:multiLevelType w:val="hybridMultilevel"/>
    <w:tmpl w:val="B252A3F4"/>
    <w:lvl w:ilvl="0" w:tplc="5C8CCF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82697"/>
    <w:multiLevelType w:val="hybridMultilevel"/>
    <w:tmpl w:val="37C4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10172F"/>
    <w:multiLevelType w:val="hybridMultilevel"/>
    <w:tmpl w:val="B172028C"/>
    <w:lvl w:ilvl="0" w:tplc="F050C5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030C33"/>
    <w:multiLevelType w:val="hybridMultilevel"/>
    <w:tmpl w:val="3D60E670"/>
    <w:lvl w:ilvl="0" w:tplc="15BAC5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33F"/>
    <w:rsid w:val="000213B8"/>
    <w:rsid w:val="00044F8B"/>
    <w:rsid w:val="000707D5"/>
    <w:rsid w:val="00080C50"/>
    <w:rsid w:val="00085A3C"/>
    <w:rsid w:val="00090F93"/>
    <w:rsid w:val="00091827"/>
    <w:rsid w:val="001024BA"/>
    <w:rsid w:val="001072BF"/>
    <w:rsid w:val="0010734A"/>
    <w:rsid w:val="001247B4"/>
    <w:rsid w:val="00125167"/>
    <w:rsid w:val="001435AC"/>
    <w:rsid w:val="00154FB5"/>
    <w:rsid w:val="00157F91"/>
    <w:rsid w:val="001930CE"/>
    <w:rsid w:val="001B3D89"/>
    <w:rsid w:val="001B744C"/>
    <w:rsid w:val="001C3498"/>
    <w:rsid w:val="001D1893"/>
    <w:rsid w:val="001E4FCB"/>
    <w:rsid w:val="001E7E5C"/>
    <w:rsid w:val="001F05F6"/>
    <w:rsid w:val="001F0604"/>
    <w:rsid w:val="00200032"/>
    <w:rsid w:val="0020042D"/>
    <w:rsid w:val="0021213A"/>
    <w:rsid w:val="0022148F"/>
    <w:rsid w:val="002214BB"/>
    <w:rsid w:val="00227937"/>
    <w:rsid w:val="0024253F"/>
    <w:rsid w:val="0025027A"/>
    <w:rsid w:val="00261BF4"/>
    <w:rsid w:val="00276A71"/>
    <w:rsid w:val="002772C2"/>
    <w:rsid w:val="00291D8F"/>
    <w:rsid w:val="002A31A4"/>
    <w:rsid w:val="002A34CC"/>
    <w:rsid w:val="002A5346"/>
    <w:rsid w:val="002C203E"/>
    <w:rsid w:val="002C31D8"/>
    <w:rsid w:val="002F1272"/>
    <w:rsid w:val="0031710E"/>
    <w:rsid w:val="00320EA4"/>
    <w:rsid w:val="00337F3B"/>
    <w:rsid w:val="00343BA2"/>
    <w:rsid w:val="00360471"/>
    <w:rsid w:val="00360576"/>
    <w:rsid w:val="00362A1A"/>
    <w:rsid w:val="003732B0"/>
    <w:rsid w:val="00393039"/>
    <w:rsid w:val="003B4514"/>
    <w:rsid w:val="003C41C3"/>
    <w:rsid w:val="003D2B30"/>
    <w:rsid w:val="003F0CAC"/>
    <w:rsid w:val="00406C47"/>
    <w:rsid w:val="0045023D"/>
    <w:rsid w:val="00463D64"/>
    <w:rsid w:val="004719B4"/>
    <w:rsid w:val="00473771"/>
    <w:rsid w:val="00481FD0"/>
    <w:rsid w:val="0049520B"/>
    <w:rsid w:val="00497246"/>
    <w:rsid w:val="004A097E"/>
    <w:rsid w:val="004A3A41"/>
    <w:rsid w:val="004B7CD3"/>
    <w:rsid w:val="004C4EDE"/>
    <w:rsid w:val="004D4FD2"/>
    <w:rsid w:val="004E0ABF"/>
    <w:rsid w:val="004E6806"/>
    <w:rsid w:val="004F0CCD"/>
    <w:rsid w:val="005102E7"/>
    <w:rsid w:val="0051067E"/>
    <w:rsid w:val="005205D5"/>
    <w:rsid w:val="005223EC"/>
    <w:rsid w:val="00533FC1"/>
    <w:rsid w:val="005479DF"/>
    <w:rsid w:val="00555BC8"/>
    <w:rsid w:val="00573D12"/>
    <w:rsid w:val="005851E9"/>
    <w:rsid w:val="0058651B"/>
    <w:rsid w:val="0059791B"/>
    <w:rsid w:val="005B3BF4"/>
    <w:rsid w:val="005B5156"/>
    <w:rsid w:val="005B5314"/>
    <w:rsid w:val="005C0CA6"/>
    <w:rsid w:val="005C65A0"/>
    <w:rsid w:val="005F3EA8"/>
    <w:rsid w:val="00600C76"/>
    <w:rsid w:val="00601B39"/>
    <w:rsid w:val="00606E4A"/>
    <w:rsid w:val="006074D1"/>
    <w:rsid w:val="00611F06"/>
    <w:rsid w:val="00612898"/>
    <w:rsid w:val="00621C11"/>
    <w:rsid w:val="00622F40"/>
    <w:rsid w:val="006256EF"/>
    <w:rsid w:val="00631C81"/>
    <w:rsid w:val="006445B6"/>
    <w:rsid w:val="00657E06"/>
    <w:rsid w:val="00665F69"/>
    <w:rsid w:val="0066669B"/>
    <w:rsid w:val="00680F88"/>
    <w:rsid w:val="00684E1C"/>
    <w:rsid w:val="006A34D8"/>
    <w:rsid w:val="006C7704"/>
    <w:rsid w:val="006D40CD"/>
    <w:rsid w:val="006D5CEB"/>
    <w:rsid w:val="006F0F80"/>
    <w:rsid w:val="0070454B"/>
    <w:rsid w:val="0071452C"/>
    <w:rsid w:val="00716DCE"/>
    <w:rsid w:val="00716F17"/>
    <w:rsid w:val="007301CB"/>
    <w:rsid w:val="00731F22"/>
    <w:rsid w:val="0073527E"/>
    <w:rsid w:val="00742EA6"/>
    <w:rsid w:val="00744710"/>
    <w:rsid w:val="00763204"/>
    <w:rsid w:val="00795E88"/>
    <w:rsid w:val="007967B1"/>
    <w:rsid w:val="007B2362"/>
    <w:rsid w:val="007B2457"/>
    <w:rsid w:val="007C1A3F"/>
    <w:rsid w:val="007C7F53"/>
    <w:rsid w:val="007D2C5A"/>
    <w:rsid w:val="007D6D9D"/>
    <w:rsid w:val="007E691B"/>
    <w:rsid w:val="007E762B"/>
    <w:rsid w:val="00800CFC"/>
    <w:rsid w:val="00830A8D"/>
    <w:rsid w:val="00842ADD"/>
    <w:rsid w:val="00860337"/>
    <w:rsid w:val="00867363"/>
    <w:rsid w:val="0087776D"/>
    <w:rsid w:val="00886DEC"/>
    <w:rsid w:val="008942CB"/>
    <w:rsid w:val="008A3137"/>
    <w:rsid w:val="008C4A75"/>
    <w:rsid w:val="008D16A5"/>
    <w:rsid w:val="008D6B91"/>
    <w:rsid w:val="008F30D0"/>
    <w:rsid w:val="008F32C3"/>
    <w:rsid w:val="008F5F05"/>
    <w:rsid w:val="00914036"/>
    <w:rsid w:val="00932138"/>
    <w:rsid w:val="009517D1"/>
    <w:rsid w:val="009626D6"/>
    <w:rsid w:val="00962BE2"/>
    <w:rsid w:val="009868DA"/>
    <w:rsid w:val="009920EF"/>
    <w:rsid w:val="00994342"/>
    <w:rsid w:val="00997FF7"/>
    <w:rsid w:val="009B25D3"/>
    <w:rsid w:val="009D5595"/>
    <w:rsid w:val="009E50BE"/>
    <w:rsid w:val="00A02E65"/>
    <w:rsid w:val="00A161B4"/>
    <w:rsid w:val="00A2518F"/>
    <w:rsid w:val="00A25243"/>
    <w:rsid w:val="00A27ECD"/>
    <w:rsid w:val="00A37F8D"/>
    <w:rsid w:val="00A43B01"/>
    <w:rsid w:val="00A46F75"/>
    <w:rsid w:val="00A8123F"/>
    <w:rsid w:val="00A8245F"/>
    <w:rsid w:val="00A90F9A"/>
    <w:rsid w:val="00AB5147"/>
    <w:rsid w:val="00AC63F5"/>
    <w:rsid w:val="00AD1923"/>
    <w:rsid w:val="00AE6971"/>
    <w:rsid w:val="00AF6907"/>
    <w:rsid w:val="00B0259A"/>
    <w:rsid w:val="00B168FE"/>
    <w:rsid w:val="00B17BD9"/>
    <w:rsid w:val="00B30EF3"/>
    <w:rsid w:val="00B31D76"/>
    <w:rsid w:val="00B54A61"/>
    <w:rsid w:val="00B6102C"/>
    <w:rsid w:val="00B92632"/>
    <w:rsid w:val="00BA08B7"/>
    <w:rsid w:val="00BD679E"/>
    <w:rsid w:val="00BE1261"/>
    <w:rsid w:val="00BF5FED"/>
    <w:rsid w:val="00BF6AC2"/>
    <w:rsid w:val="00C0249F"/>
    <w:rsid w:val="00C1728A"/>
    <w:rsid w:val="00C216BD"/>
    <w:rsid w:val="00C23BBF"/>
    <w:rsid w:val="00C27A2A"/>
    <w:rsid w:val="00C644CD"/>
    <w:rsid w:val="00C70300"/>
    <w:rsid w:val="00C8063C"/>
    <w:rsid w:val="00C85470"/>
    <w:rsid w:val="00C90FA8"/>
    <w:rsid w:val="00C91402"/>
    <w:rsid w:val="00CA3215"/>
    <w:rsid w:val="00CC30E6"/>
    <w:rsid w:val="00D0541C"/>
    <w:rsid w:val="00D1137E"/>
    <w:rsid w:val="00D316DE"/>
    <w:rsid w:val="00D433E8"/>
    <w:rsid w:val="00D46D43"/>
    <w:rsid w:val="00D545B0"/>
    <w:rsid w:val="00D634BF"/>
    <w:rsid w:val="00D7089B"/>
    <w:rsid w:val="00D86DC8"/>
    <w:rsid w:val="00D95506"/>
    <w:rsid w:val="00DA61A1"/>
    <w:rsid w:val="00DB6EE8"/>
    <w:rsid w:val="00DE53C1"/>
    <w:rsid w:val="00DE592D"/>
    <w:rsid w:val="00DF7242"/>
    <w:rsid w:val="00E37337"/>
    <w:rsid w:val="00E40F43"/>
    <w:rsid w:val="00E55E7A"/>
    <w:rsid w:val="00E73A0C"/>
    <w:rsid w:val="00E765E4"/>
    <w:rsid w:val="00E82DB3"/>
    <w:rsid w:val="00E9506B"/>
    <w:rsid w:val="00EA6A99"/>
    <w:rsid w:val="00EB3AC9"/>
    <w:rsid w:val="00EC1374"/>
    <w:rsid w:val="00EC72B6"/>
    <w:rsid w:val="00ED101C"/>
    <w:rsid w:val="00EE40DF"/>
    <w:rsid w:val="00F069AD"/>
    <w:rsid w:val="00F1782E"/>
    <w:rsid w:val="00F34C29"/>
    <w:rsid w:val="00F47B8B"/>
    <w:rsid w:val="00F531AE"/>
    <w:rsid w:val="00F556DB"/>
    <w:rsid w:val="00F9058F"/>
    <w:rsid w:val="00F928CB"/>
    <w:rsid w:val="00F944AC"/>
    <w:rsid w:val="00FA7AE7"/>
    <w:rsid w:val="00FB6CA9"/>
    <w:rsid w:val="00FB7D66"/>
    <w:rsid w:val="00FD0332"/>
    <w:rsid w:val="00FF0D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34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customStyle="1" w:styleId="Flietext">
    <w:name w:val="Fließtext"/>
    <w:basedOn w:val="Normal"/>
    <w:link w:val="FlietextChar"/>
    <w:rsid w:val="006A34D8"/>
    <w:pPr>
      <w:spacing w:before="120" w:after="120"/>
      <w:jc w:val="both"/>
    </w:pPr>
    <w:rPr>
      <w:rFonts w:ascii="Arial" w:eastAsia="SimSun" w:hAnsi="Arial"/>
      <w:szCs w:val="20"/>
      <w:lang w:val="ru-RU" w:eastAsia="de-DE"/>
    </w:rPr>
  </w:style>
  <w:style w:type="character" w:customStyle="1" w:styleId="FlietextChar">
    <w:name w:val="Fließtext Char"/>
    <w:link w:val="Flietext"/>
    <w:rsid w:val="006A34D8"/>
    <w:rPr>
      <w:rFonts w:ascii="Arial" w:eastAsia="SimSun" w:hAnsi="Arial" w:cs="Times New Roman"/>
      <w:szCs w:val="20"/>
      <w:lang w:val="ru-RU" w:eastAsia="de-DE"/>
    </w:rPr>
  </w:style>
  <w:style w:type="character" w:styleId="FollowedHyperlink">
    <w:name w:val="FollowedHyperlink"/>
    <w:basedOn w:val="DefaultParagraphFont"/>
    <w:uiPriority w:val="99"/>
    <w:semiHidden/>
    <w:unhideWhenUsed/>
    <w:rsid w:val="003732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customStyle="1" w:styleId="Flietext">
    <w:name w:val="Fließtext"/>
    <w:basedOn w:val="Normal"/>
    <w:link w:val="FlietextChar"/>
    <w:rsid w:val="006A34D8"/>
    <w:pPr>
      <w:spacing w:before="120" w:after="120"/>
      <w:jc w:val="both"/>
    </w:pPr>
    <w:rPr>
      <w:rFonts w:ascii="Arial" w:eastAsia="SimSun" w:hAnsi="Arial"/>
      <w:szCs w:val="20"/>
      <w:lang w:val="ru-RU" w:eastAsia="de-DE"/>
    </w:rPr>
  </w:style>
  <w:style w:type="character" w:customStyle="1" w:styleId="FlietextChar">
    <w:name w:val="Fließtext Char"/>
    <w:link w:val="Flietext"/>
    <w:rsid w:val="006A34D8"/>
    <w:rPr>
      <w:rFonts w:ascii="Arial" w:eastAsia="SimSun" w:hAnsi="Arial" w:cs="Times New Roman"/>
      <w:szCs w:val="20"/>
      <w:lang w:val="ru-RU" w:eastAsia="de-DE"/>
    </w:rPr>
  </w:style>
  <w:style w:type="character" w:styleId="FollowedHyperlink">
    <w:name w:val="FollowedHyperlink"/>
    <w:basedOn w:val="DefaultParagraphFont"/>
    <w:uiPriority w:val="99"/>
    <w:semiHidden/>
    <w:unhideWhenUsed/>
    <w:rsid w:val="00373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pa.ug/wp-content/themes/npatheme/documents/vision204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ra.or.ug/index.php/newsletters/doc_download/383-uganda-renewable-energy-feed-in-tariff-phase-3-guidelines-2016" TargetMode="External"/><Relationship Id="rId17" Type="http://schemas.openxmlformats.org/officeDocument/2006/relationships/image" Target="media/image1.tiff"/><Relationship Id="rId2" Type="http://schemas.openxmlformats.org/officeDocument/2006/relationships/numbering" Target="numbering.xml"/><Relationship Id="rId16" Type="http://schemas.openxmlformats.org/officeDocument/2006/relationships/hyperlink" Target="http://www.energyandminerals.go.ug/downloads/SREPInvestmentPlanforUgand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ergyandminerals.go.ug/downloads/EnergyPolicy.pdf" TargetMode="External"/><Relationship Id="rId5" Type="http://schemas.openxmlformats.org/officeDocument/2006/relationships/settings" Target="settings.xml"/><Relationship Id="rId15" Type="http://schemas.openxmlformats.org/officeDocument/2006/relationships/hyperlink" Target="http://energyandminerals.go.ug/downloads/EnergyPolicy.pdf" TargetMode="External"/><Relationship Id="rId10" Type="http://schemas.openxmlformats.org/officeDocument/2006/relationships/hyperlink" Target="http://npa.ug/wp-content/uploads/NDPII-Final.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npa.ug/wp-content/themes/npatheme/documents/vision2040.pdf" TargetMode="External"/><Relationship Id="rId14" Type="http://schemas.openxmlformats.org/officeDocument/2006/relationships/hyperlink" Target="http://npa.ug/wp-content/uploads/NDPII-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8BC8-C746-44AE-BF8E-F9F982DB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3163</Words>
  <Characters>18030</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UNIDO</Company>
  <LinksUpToDate>false</LinksUpToDate>
  <CharactersWithSpaces>21151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Maxwell Otim Onapa</cp:lastModifiedBy>
  <cp:revision>3</cp:revision>
  <cp:lastPrinted>2016-10-27T07:50:00Z</cp:lastPrinted>
  <dcterms:created xsi:type="dcterms:W3CDTF">2017-01-17T06:09:00Z</dcterms:created>
  <dcterms:modified xsi:type="dcterms:W3CDTF">2017-01-17T06:09:00Z</dcterms:modified>
</cp:coreProperties>
</file>