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C8" w:rsidRPr="00317CF1" w:rsidRDefault="00BC2C00" w:rsidP="00BC2C00">
      <w:pPr>
        <w:rPr>
          <w:b/>
        </w:rPr>
      </w:pPr>
      <w:bookmarkStart w:id="0" w:name="_GoBack"/>
      <w:bookmarkEnd w:id="0"/>
      <w:r w:rsidRPr="00317CF1">
        <w:rPr>
          <w:b/>
        </w:rPr>
        <w:t>Informe de viaje</w:t>
      </w:r>
      <w:r w:rsidR="00317CF1" w:rsidRPr="00317CF1">
        <w:rPr>
          <w:b/>
        </w:rPr>
        <w:t>, Claudia Bouroncle, 17 al 21 de agosto de 2015</w:t>
      </w:r>
      <w:r w:rsidR="00FD414F">
        <w:rPr>
          <w:b/>
        </w:rPr>
        <w:t xml:space="preserve"> / </w:t>
      </w:r>
      <w:r w:rsidRPr="00317CF1">
        <w:rPr>
          <w:b/>
        </w:rPr>
        <w:t xml:space="preserve">Proyecto CTCN </w:t>
      </w:r>
      <w:r w:rsidR="00A323C8">
        <w:rPr>
          <w:b/>
        </w:rPr>
        <w:t>–</w:t>
      </w:r>
      <w:r w:rsidRPr="00317CF1">
        <w:rPr>
          <w:b/>
        </w:rPr>
        <w:t xml:space="preserve"> Colombia</w:t>
      </w:r>
    </w:p>
    <w:p w:rsidR="00BC2C00" w:rsidRDefault="00BC2C00"/>
    <w:p w:rsidR="00BB7FFC" w:rsidRDefault="00BB7FFC">
      <w:pPr>
        <w:rPr>
          <w:b/>
        </w:rPr>
      </w:pPr>
      <w:r>
        <w:rPr>
          <w:b/>
        </w:rPr>
        <w:t>ACUERDOS</w:t>
      </w:r>
      <w:r w:rsidR="00317CF1">
        <w:rPr>
          <w:b/>
        </w:rPr>
        <w:t xml:space="preserve"> en el marco del proyecto CTCN (DCC, DNP, IDEAM, CATIE)</w:t>
      </w:r>
    </w:p>
    <w:p w:rsidR="00BB7FFC" w:rsidRPr="00A323C8" w:rsidRDefault="00BB7FFC" w:rsidP="00A323C8">
      <w:pPr>
        <w:pStyle w:val="ListParagraph"/>
        <w:rPr>
          <w:sz w:val="16"/>
          <w:szCs w:val="16"/>
        </w:rPr>
      </w:pPr>
    </w:p>
    <w:p w:rsidR="00BB7FFC" w:rsidRDefault="00BB7FFC" w:rsidP="00BB7FFC">
      <w:pPr>
        <w:pStyle w:val="ListParagraph"/>
        <w:numPr>
          <w:ilvl w:val="0"/>
          <w:numId w:val="12"/>
        </w:numPr>
      </w:pPr>
      <w:r w:rsidRPr="00BB7FFC">
        <w:t>El Plan Nacional de Adaptación de Cambio Climático (PNACC) ha sido aprobado y será publicado en octubre de este año. La estructura de indicadores que defina el proyec</w:t>
      </w:r>
      <w:r>
        <w:t>to será complementario al PNACC e incluirá indicadores de los diferentes ámbitos según definidos por el IPCC (amenazas, exposición, sensibilidad y capacidad adaptativa).</w:t>
      </w:r>
    </w:p>
    <w:p w:rsidR="00BB7FFC" w:rsidRPr="00A323C8" w:rsidRDefault="00BB7FFC" w:rsidP="00A323C8">
      <w:pPr>
        <w:pStyle w:val="ListParagraph"/>
        <w:rPr>
          <w:sz w:val="16"/>
          <w:szCs w:val="16"/>
        </w:rPr>
      </w:pPr>
    </w:p>
    <w:p w:rsidR="00BB7FFC" w:rsidRDefault="002F2E0C" w:rsidP="00BB7FFC">
      <w:pPr>
        <w:pStyle w:val="ListParagraph"/>
        <w:numPr>
          <w:ilvl w:val="0"/>
          <w:numId w:val="12"/>
        </w:numPr>
      </w:pPr>
      <w:r>
        <w:t>Es necesario p</w:t>
      </w:r>
      <w:r w:rsidR="00BB7FFC">
        <w:t>rioriza</w:t>
      </w:r>
      <w:r w:rsidR="00045CF9">
        <w:t>r</w:t>
      </w:r>
      <w:r w:rsidR="00BB7FFC">
        <w:t xml:space="preserve"> aspectos relacionados con la adaptación </w:t>
      </w:r>
      <w:r w:rsidR="00FB576A">
        <w:t>por</w:t>
      </w:r>
      <w:r w:rsidR="00BB7FFC">
        <w:t xml:space="preserve"> cada sector de gobierno. La definición de prioridades se basa</w:t>
      </w:r>
      <w:r>
        <w:t xml:space="preserve">rá </w:t>
      </w:r>
      <w:r w:rsidR="00BB7FFC">
        <w:t>en el Plan Nacional de Desarrollo</w:t>
      </w:r>
      <w:r w:rsidR="00F6378F">
        <w:rPr>
          <w:rStyle w:val="FootnoteReference"/>
        </w:rPr>
        <w:footnoteReference w:id="1"/>
      </w:r>
      <w:r w:rsidR="003A40FF">
        <w:t>,</w:t>
      </w:r>
      <w:r w:rsidR="00BB7FFC">
        <w:t xml:space="preserve"> el PNACC</w:t>
      </w:r>
      <w:r w:rsidR="003A40FF">
        <w:t xml:space="preserve"> y la II Comunicación Nacional</w:t>
      </w:r>
      <w:r w:rsidR="00BB7FFC">
        <w:t xml:space="preserve">. </w:t>
      </w:r>
      <w:r w:rsidR="003A40FF">
        <w:t>S</w:t>
      </w:r>
      <w:r w:rsidR="00BB7FFC">
        <w:t xml:space="preserve">e </w:t>
      </w:r>
      <w:r w:rsidR="00FB576A">
        <w:t>revisarán también</w:t>
      </w:r>
      <w:r w:rsidR="00BB7FFC">
        <w:t xml:space="preserve"> documentos sectoriales publicados y en desarrollo. </w:t>
      </w:r>
    </w:p>
    <w:p w:rsidR="00BB7FFC" w:rsidRPr="006055CD" w:rsidRDefault="00BB7FFC" w:rsidP="00BB7FFC">
      <w:pPr>
        <w:pStyle w:val="ListParagraph"/>
        <w:rPr>
          <w:sz w:val="12"/>
          <w:szCs w:val="12"/>
        </w:rPr>
      </w:pPr>
    </w:p>
    <w:p w:rsidR="00806E38" w:rsidRDefault="00BB7FFC" w:rsidP="00BB7FFC">
      <w:pPr>
        <w:pStyle w:val="ListParagraph"/>
        <w:numPr>
          <w:ilvl w:val="0"/>
          <w:numId w:val="12"/>
        </w:numPr>
      </w:pPr>
      <w:r>
        <w:t xml:space="preserve">La priorización se corroborará con una entrevista a personas clave para </w:t>
      </w:r>
      <w:r w:rsidRPr="00BB7FFC">
        <w:t xml:space="preserve">i) confirmar prioridades documentadas en punto </w:t>
      </w:r>
      <w:r>
        <w:t>anterior</w:t>
      </w:r>
      <w:r w:rsidRPr="00BB7FFC">
        <w:t xml:space="preserve">, ii) preguntas clave sobre monitoreo a 4-5 años y 20 años, iii)  prácticas de adaptación actuales y promisorias, iv) inventario de variables relacionadas con prioridades documentadas, v) información </w:t>
      </w:r>
      <w:r>
        <w:t xml:space="preserve">disponible </w:t>
      </w:r>
      <w:r w:rsidRPr="00BB7FFC">
        <w:t xml:space="preserve">para </w:t>
      </w:r>
      <w:r>
        <w:t xml:space="preserve">medir </w:t>
      </w:r>
      <w:r w:rsidRPr="00BB7FFC">
        <w:t>esas variables</w:t>
      </w:r>
      <w:r>
        <w:t>.</w:t>
      </w:r>
      <w:r w:rsidR="00806E38">
        <w:t xml:space="preserve"> </w:t>
      </w:r>
    </w:p>
    <w:p w:rsidR="00045CF9" w:rsidRPr="006055CD" w:rsidRDefault="00045CF9" w:rsidP="00045CF9">
      <w:pPr>
        <w:pStyle w:val="ListParagraph"/>
        <w:rPr>
          <w:sz w:val="12"/>
          <w:szCs w:val="12"/>
        </w:rPr>
      </w:pPr>
    </w:p>
    <w:p w:rsidR="00045CF9" w:rsidRDefault="00045CF9" w:rsidP="00BB7FFC">
      <w:pPr>
        <w:pStyle w:val="ListParagraph"/>
        <w:numPr>
          <w:ilvl w:val="0"/>
          <w:numId w:val="12"/>
        </w:numPr>
      </w:pPr>
      <w:r>
        <w:t xml:space="preserve">Solo se </w:t>
      </w:r>
      <w:r w:rsidR="00A323C8">
        <w:t>incluirán</w:t>
      </w:r>
      <w:r>
        <w:t xml:space="preserve"> indicadores que puedan medirse con información que ya se esté tomando sistemáticamente.</w:t>
      </w:r>
      <w:r w:rsidR="00A3102F">
        <w:t xml:space="preserve"> Se priorizará la inclusión de indicadores si</w:t>
      </w:r>
      <w:r w:rsidR="002F2E0C">
        <w:t>mples</w:t>
      </w:r>
      <w:r w:rsidR="00A3102F">
        <w:rPr>
          <w:rStyle w:val="FootnoteReference"/>
        </w:rPr>
        <w:footnoteReference w:id="2"/>
      </w:r>
      <w:r w:rsidR="002F2E0C">
        <w:t>.</w:t>
      </w:r>
    </w:p>
    <w:p w:rsidR="00806E38" w:rsidRPr="006055CD" w:rsidRDefault="00806E38" w:rsidP="00806E38">
      <w:pPr>
        <w:pStyle w:val="ListParagraph"/>
        <w:rPr>
          <w:sz w:val="12"/>
          <w:szCs w:val="12"/>
        </w:rPr>
      </w:pPr>
    </w:p>
    <w:p w:rsidR="00806E38" w:rsidRDefault="00806E38" w:rsidP="009C6B3E">
      <w:pPr>
        <w:pStyle w:val="ListParagraph"/>
        <w:numPr>
          <w:ilvl w:val="0"/>
          <w:numId w:val="12"/>
        </w:numPr>
      </w:pPr>
      <w:r>
        <w:t xml:space="preserve">Aunque se consideró </w:t>
      </w:r>
      <w:r w:rsidR="00F6378F">
        <w:t xml:space="preserve">inicialmente </w:t>
      </w:r>
      <w:r>
        <w:t xml:space="preserve">la contratación de un consultor, se definió que Diana Hernández, del </w:t>
      </w:r>
      <w:r w:rsidR="009C6B3E" w:rsidRPr="009C6B3E">
        <w:t xml:space="preserve">Departamento Nacional de Planeación </w:t>
      </w:r>
      <w:r>
        <w:t>(DNP) hará las entrevistas sectoriales, mientas que Camila Rodríguez</w:t>
      </w:r>
      <w:r w:rsidR="00A323C8">
        <w:t xml:space="preserve"> y Maritza Florian</w:t>
      </w:r>
      <w:r>
        <w:t xml:space="preserve"> (DCC MADS)  hará</w:t>
      </w:r>
      <w:r w:rsidR="00A323C8">
        <w:t>n</w:t>
      </w:r>
      <w:r>
        <w:t xml:space="preserve"> las de temas transversales. Claudia Bouroncle (CATIE) preparará una entrevista genérica y revisará la información sectorial disponible para preparar entrevistas específicas para personas clave en cada sector y tema.</w:t>
      </w:r>
      <w:r w:rsidR="00FD414F">
        <w:t xml:space="preserve"> Max Toro (IDEAM) hará una revisión de indicadores pertinentes ubicados en SINERGIA.</w:t>
      </w:r>
    </w:p>
    <w:p w:rsidR="00806E38" w:rsidRPr="006055CD" w:rsidRDefault="00806E38" w:rsidP="00806E38">
      <w:pPr>
        <w:pStyle w:val="ListParagraph"/>
        <w:rPr>
          <w:sz w:val="12"/>
          <w:szCs w:val="12"/>
        </w:rPr>
      </w:pPr>
    </w:p>
    <w:p w:rsidR="00BB7FFC" w:rsidRDefault="00806E38" w:rsidP="00BB7FFC">
      <w:pPr>
        <w:pStyle w:val="ListParagraph"/>
        <w:numPr>
          <w:ilvl w:val="0"/>
          <w:numId w:val="12"/>
        </w:numPr>
      </w:pPr>
      <w:r>
        <w:t xml:space="preserve">Las personas clave a ser entrevistadas en diferentes instancias de gobierno fueron acordadas en reuniones con participación de personal de DNP y DCC MADS (Anexo 1). Se </w:t>
      </w:r>
      <w:r w:rsidR="00FA21B5">
        <w:t xml:space="preserve">les </w:t>
      </w:r>
      <w:r>
        <w:t xml:space="preserve">enviará una carta </w:t>
      </w:r>
      <w:r w:rsidR="00FA21B5">
        <w:t xml:space="preserve">oficial </w:t>
      </w:r>
      <w:r w:rsidR="00FA21B5" w:rsidRPr="00FA21B5">
        <w:t>firmada por Rodrigo Suárez Castaño</w:t>
      </w:r>
      <w:r w:rsidR="00B317E9">
        <w:t xml:space="preserve"> (Director Técnico de Cambio Climático)</w:t>
      </w:r>
      <w:r w:rsidR="00FA21B5" w:rsidRPr="00FA21B5">
        <w:t xml:space="preserve"> y Silvia Calderón y Bastiaan Louman</w:t>
      </w:r>
      <w:r w:rsidR="00FA21B5">
        <w:t xml:space="preserve"> presentando el proyecto, mencionando la importancia de la entrevista y la gestión de información y que Diana o Camila estarán concer</w:t>
      </w:r>
      <w:r w:rsidR="00F6378F">
        <w:t>tando día y hora de entrevista.</w:t>
      </w:r>
    </w:p>
    <w:p w:rsidR="00F6378F" w:rsidRPr="006055CD" w:rsidRDefault="00F6378F" w:rsidP="00F6378F">
      <w:pPr>
        <w:pStyle w:val="ListParagraph"/>
        <w:rPr>
          <w:sz w:val="12"/>
          <w:szCs w:val="12"/>
        </w:rPr>
      </w:pPr>
    </w:p>
    <w:p w:rsidR="00F6378F" w:rsidRDefault="00A3102F" w:rsidP="00A323C8">
      <w:pPr>
        <w:pStyle w:val="ListParagraph"/>
        <w:numPr>
          <w:ilvl w:val="0"/>
          <w:numId w:val="12"/>
        </w:numPr>
        <w:spacing w:after="240"/>
      </w:pPr>
      <w:r>
        <w:t>Las entrevistas se harán</w:t>
      </w:r>
      <w:r w:rsidR="00F6378F">
        <w:t xml:space="preserve"> por sector o tema transversal. Si hay 2 ò 3 personas clave, se hace una entrevista grupal.</w:t>
      </w:r>
    </w:p>
    <w:p w:rsidR="00F6378F" w:rsidRPr="006055CD" w:rsidRDefault="00F6378F" w:rsidP="00F6378F">
      <w:pPr>
        <w:pStyle w:val="ListParagraph"/>
        <w:rPr>
          <w:sz w:val="12"/>
          <w:szCs w:val="12"/>
        </w:rPr>
      </w:pPr>
    </w:p>
    <w:p w:rsidR="00F6378F" w:rsidRDefault="00317CF1" w:rsidP="00BB7FFC">
      <w:pPr>
        <w:pStyle w:val="ListParagraph"/>
        <w:numPr>
          <w:ilvl w:val="0"/>
          <w:numId w:val="12"/>
        </w:numPr>
      </w:pPr>
      <w:r>
        <w:t xml:space="preserve">Para el levantamiento de la línea base y otros elementos de los indicadores, se contratará a Milton </w:t>
      </w:r>
      <w:r w:rsidR="006055CD">
        <w:t>Romero, consultor colombiano con amplia experiencia en el tema</w:t>
      </w:r>
      <w:r w:rsidR="00045CF9">
        <w:t>. Se usará el</w:t>
      </w:r>
      <w:r w:rsidR="00156437">
        <w:t xml:space="preserve"> formato de las fichas del SIAC, que es donde quedará alojada la información de los indicadores. SIAC está adaptando el formato actual del IDEAM (fecha probable de término: 11 septiembre).</w:t>
      </w:r>
      <w:r w:rsidR="00A323C8">
        <w:t xml:space="preserve"> La línea base se aproximará a la última toma de información disponible.</w:t>
      </w:r>
    </w:p>
    <w:p w:rsidR="00A323C8" w:rsidRPr="006055CD" w:rsidRDefault="00A323C8" w:rsidP="00A323C8">
      <w:pPr>
        <w:pStyle w:val="ListParagraph"/>
        <w:rPr>
          <w:sz w:val="12"/>
          <w:szCs w:val="12"/>
        </w:rPr>
      </w:pPr>
    </w:p>
    <w:p w:rsidR="00A323C8" w:rsidRDefault="00A323C8" w:rsidP="00BB7FFC">
      <w:pPr>
        <w:pStyle w:val="ListParagraph"/>
        <w:numPr>
          <w:ilvl w:val="0"/>
          <w:numId w:val="12"/>
        </w:numPr>
      </w:pPr>
      <w:r>
        <w:t>Camila y Maritza pedir</w:t>
      </w:r>
      <w:r w:rsidR="00A3102F">
        <w:t>án</w:t>
      </w:r>
      <w:r>
        <w:t xml:space="preserve"> desde ahora información </w:t>
      </w:r>
      <w:r w:rsidR="00B24F59">
        <w:t>a otras instancias de gobierno (IDEAM, INVEMAR, otras)</w:t>
      </w:r>
      <w:r>
        <w:t>, para evitar retrasos en la gestión de información</w:t>
      </w:r>
      <w:r w:rsidR="00B24F59">
        <w:t xml:space="preserve"> para la línea base</w:t>
      </w:r>
      <w:r w:rsidR="00A3102F">
        <w:t>.</w:t>
      </w:r>
      <w:r w:rsidR="002F2E0C">
        <w:t xml:space="preserve"> También se considera enviar una carta similar a la mencionada en el punto 6 para facilitar este punto.</w:t>
      </w:r>
    </w:p>
    <w:p w:rsidR="00A3102F" w:rsidRPr="006055CD" w:rsidRDefault="00A3102F" w:rsidP="00A3102F">
      <w:pPr>
        <w:pStyle w:val="ListParagraph"/>
        <w:rPr>
          <w:sz w:val="12"/>
          <w:szCs w:val="12"/>
        </w:rPr>
      </w:pPr>
    </w:p>
    <w:p w:rsidR="00A3102F" w:rsidRDefault="00A3102F" w:rsidP="00BB7FFC">
      <w:pPr>
        <w:pStyle w:val="ListParagraph"/>
        <w:numPr>
          <w:ilvl w:val="0"/>
          <w:numId w:val="12"/>
        </w:numPr>
      </w:pPr>
      <w:r>
        <w:t xml:space="preserve">La línea de base se tomará, en lo posible, a nivel municipal. </w:t>
      </w:r>
    </w:p>
    <w:p w:rsidR="00BB7FFC" w:rsidRDefault="00BB7FFC" w:rsidP="00BB7FFC"/>
    <w:p w:rsidR="00A323C8" w:rsidRPr="00BB7FFC" w:rsidRDefault="00A323C8" w:rsidP="00BB7FFC"/>
    <w:p w:rsidR="00BB7FFC" w:rsidRPr="00317CF1" w:rsidRDefault="00806E38" w:rsidP="00BB7FFC">
      <w:pPr>
        <w:rPr>
          <w:b/>
        </w:rPr>
      </w:pPr>
      <w:r w:rsidRPr="00317CF1">
        <w:rPr>
          <w:b/>
        </w:rPr>
        <w:t>PROXIMOS PASOS</w:t>
      </w:r>
      <w:r w:rsidR="00FE362F">
        <w:rPr>
          <w:rStyle w:val="FootnoteReference"/>
          <w:b/>
        </w:rPr>
        <w:footnoteReference w:id="3"/>
      </w:r>
    </w:p>
    <w:p w:rsidR="00806E38" w:rsidRDefault="00806E38" w:rsidP="00BB7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554"/>
        <w:gridCol w:w="1425"/>
      </w:tblGrid>
      <w:tr w:rsidR="00806E38" w:rsidRPr="00317CF1" w:rsidTr="00317CF1">
        <w:tc>
          <w:tcPr>
            <w:tcW w:w="6091" w:type="dxa"/>
          </w:tcPr>
          <w:p w:rsidR="00806E38" w:rsidRPr="00317CF1" w:rsidRDefault="00806E38" w:rsidP="00BB7FFC">
            <w:pPr>
              <w:rPr>
                <w:b/>
              </w:rPr>
            </w:pPr>
            <w:r w:rsidRPr="00317CF1">
              <w:rPr>
                <w:b/>
              </w:rPr>
              <w:t>Tarea</w:t>
            </w:r>
          </w:p>
        </w:tc>
        <w:tc>
          <w:tcPr>
            <w:tcW w:w="2554" w:type="dxa"/>
          </w:tcPr>
          <w:p w:rsidR="00806E38" w:rsidRPr="00317CF1" w:rsidRDefault="00806E38" w:rsidP="00BB7FFC">
            <w:pPr>
              <w:rPr>
                <w:b/>
              </w:rPr>
            </w:pPr>
            <w:r w:rsidRPr="00317CF1">
              <w:rPr>
                <w:b/>
              </w:rPr>
              <w:t>Responsable</w:t>
            </w:r>
          </w:p>
        </w:tc>
        <w:tc>
          <w:tcPr>
            <w:tcW w:w="1425" w:type="dxa"/>
          </w:tcPr>
          <w:p w:rsidR="00806E38" w:rsidRPr="00317CF1" w:rsidRDefault="00806E38" w:rsidP="00806E38">
            <w:pPr>
              <w:rPr>
                <w:b/>
              </w:rPr>
            </w:pPr>
            <w:r w:rsidRPr="00317CF1">
              <w:rPr>
                <w:b/>
              </w:rPr>
              <w:t>Fecha final</w:t>
            </w:r>
          </w:p>
        </w:tc>
      </w:tr>
      <w:tr w:rsidR="00317CF1" w:rsidRPr="00317CF1" w:rsidTr="00A3102F">
        <w:tc>
          <w:tcPr>
            <w:tcW w:w="10070" w:type="dxa"/>
            <w:gridSpan w:val="3"/>
          </w:tcPr>
          <w:p w:rsidR="00317CF1" w:rsidRPr="00317CF1" w:rsidRDefault="00317CF1" w:rsidP="00BB7FFC">
            <w:pPr>
              <w:rPr>
                <w:i/>
              </w:rPr>
            </w:pPr>
            <w:r w:rsidRPr="00317CF1">
              <w:rPr>
                <w:i/>
              </w:rPr>
              <w:t>DEFINICIÓN DE PRIORIDADES SECTORIALES</w:t>
            </w:r>
          </w:p>
        </w:tc>
      </w:tr>
      <w:tr w:rsidR="00806E38" w:rsidTr="00317CF1">
        <w:tc>
          <w:tcPr>
            <w:tcW w:w="6091" w:type="dxa"/>
          </w:tcPr>
          <w:p w:rsidR="00806E38" w:rsidRDefault="00806E38" w:rsidP="00BB7FFC">
            <w:r>
              <w:t>Borrador entrevistas (genérica y específicas)</w:t>
            </w:r>
          </w:p>
        </w:tc>
        <w:tc>
          <w:tcPr>
            <w:tcW w:w="2554" w:type="dxa"/>
          </w:tcPr>
          <w:p w:rsidR="00806E38" w:rsidRDefault="00806E38" w:rsidP="00F6378F">
            <w:r>
              <w:t>C</w:t>
            </w:r>
            <w:r w:rsidR="00F6378F">
              <w:t>laudia</w:t>
            </w:r>
          </w:p>
        </w:tc>
        <w:tc>
          <w:tcPr>
            <w:tcW w:w="1425" w:type="dxa"/>
          </w:tcPr>
          <w:p w:rsidR="00806E38" w:rsidRDefault="00806E38" w:rsidP="00BB7FFC"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</w:tr>
      <w:tr w:rsidR="00806E38" w:rsidTr="00317CF1">
        <w:tc>
          <w:tcPr>
            <w:tcW w:w="6091" w:type="dxa"/>
          </w:tcPr>
          <w:p w:rsidR="00806E38" w:rsidRDefault="00FA21B5" w:rsidP="00BB7FFC">
            <w:r>
              <w:t>Borrador carta</w:t>
            </w:r>
          </w:p>
        </w:tc>
        <w:tc>
          <w:tcPr>
            <w:tcW w:w="2554" w:type="dxa"/>
          </w:tcPr>
          <w:p w:rsidR="00806E38" w:rsidRDefault="00F6378F" w:rsidP="00F6378F">
            <w:r>
              <w:t>Claudia</w:t>
            </w:r>
          </w:p>
        </w:tc>
        <w:tc>
          <w:tcPr>
            <w:tcW w:w="1425" w:type="dxa"/>
          </w:tcPr>
          <w:p w:rsidR="00806E38" w:rsidRDefault="00FA21B5" w:rsidP="00BB7FFC">
            <w:r>
              <w:t>27 ago</w:t>
            </w:r>
          </w:p>
        </w:tc>
      </w:tr>
      <w:tr w:rsidR="00806E38" w:rsidTr="00317CF1">
        <w:tc>
          <w:tcPr>
            <w:tcW w:w="6091" w:type="dxa"/>
          </w:tcPr>
          <w:p w:rsidR="00806E38" w:rsidRDefault="00F6378F" w:rsidP="00BB7FFC">
            <w:r>
              <w:t>Envío cartas</w:t>
            </w:r>
          </w:p>
        </w:tc>
        <w:tc>
          <w:tcPr>
            <w:tcW w:w="2554" w:type="dxa"/>
          </w:tcPr>
          <w:p w:rsidR="00806E38" w:rsidRDefault="00F6378F" w:rsidP="00F6378F">
            <w:r>
              <w:t>Claudia</w:t>
            </w:r>
          </w:p>
        </w:tc>
        <w:tc>
          <w:tcPr>
            <w:tcW w:w="1425" w:type="dxa"/>
          </w:tcPr>
          <w:p w:rsidR="00806E38" w:rsidRDefault="00F6378F" w:rsidP="00BB7FFC"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</w:tr>
      <w:tr w:rsidR="00806E38" w:rsidTr="00317CF1">
        <w:tc>
          <w:tcPr>
            <w:tcW w:w="6091" w:type="dxa"/>
          </w:tcPr>
          <w:p w:rsidR="00806E38" w:rsidRDefault="00F6378F" w:rsidP="00BB7FFC">
            <w:r>
              <w:t>Aplicación entrevistas</w:t>
            </w:r>
          </w:p>
        </w:tc>
        <w:tc>
          <w:tcPr>
            <w:tcW w:w="2554" w:type="dxa"/>
          </w:tcPr>
          <w:p w:rsidR="00806E38" w:rsidRDefault="00F6378F" w:rsidP="00F6378F">
            <w:r>
              <w:t>Diana, Camila, Maritza</w:t>
            </w:r>
          </w:p>
        </w:tc>
        <w:tc>
          <w:tcPr>
            <w:tcW w:w="1425" w:type="dxa"/>
          </w:tcPr>
          <w:p w:rsidR="00806E38" w:rsidRDefault="00F6378F" w:rsidP="00BB7FFC">
            <w:r>
              <w:t xml:space="preserve">25 </w:t>
            </w:r>
            <w:proofErr w:type="spellStart"/>
            <w:r>
              <w:t>sep</w:t>
            </w:r>
            <w:proofErr w:type="spellEnd"/>
          </w:p>
        </w:tc>
      </w:tr>
      <w:tr w:rsidR="00B317E9" w:rsidTr="00317CF1">
        <w:tc>
          <w:tcPr>
            <w:tcW w:w="6091" w:type="dxa"/>
          </w:tcPr>
          <w:p w:rsidR="00B317E9" w:rsidRDefault="00B317E9" w:rsidP="00BB7FFC">
            <w:r>
              <w:t>Solicitud a Javier Blanco entrevistas solicitadas y síntesis</w:t>
            </w:r>
          </w:p>
        </w:tc>
        <w:tc>
          <w:tcPr>
            <w:tcW w:w="2554" w:type="dxa"/>
          </w:tcPr>
          <w:p w:rsidR="00B317E9" w:rsidRDefault="00B317E9" w:rsidP="00F6378F">
            <w:r>
              <w:t>Bas</w:t>
            </w:r>
          </w:p>
        </w:tc>
        <w:tc>
          <w:tcPr>
            <w:tcW w:w="1425" w:type="dxa"/>
          </w:tcPr>
          <w:p w:rsidR="00B317E9" w:rsidRDefault="00B317E9" w:rsidP="00BB7FFC"/>
        </w:tc>
      </w:tr>
      <w:tr w:rsidR="00317CF1" w:rsidRPr="00317CF1" w:rsidTr="00A3102F">
        <w:tc>
          <w:tcPr>
            <w:tcW w:w="10070" w:type="dxa"/>
            <w:gridSpan w:val="3"/>
          </w:tcPr>
          <w:p w:rsidR="00317CF1" w:rsidRPr="00317CF1" w:rsidRDefault="00317CF1" w:rsidP="00BB7FFC">
            <w:pPr>
              <w:rPr>
                <w:i/>
              </w:rPr>
            </w:pPr>
            <w:r w:rsidRPr="00317CF1">
              <w:rPr>
                <w:i/>
              </w:rPr>
              <w:t>DEFINICIÓN DE INDICADORES DE M&amp;E</w:t>
            </w:r>
          </w:p>
        </w:tc>
      </w:tr>
      <w:tr w:rsidR="00806E38" w:rsidTr="00317CF1">
        <w:tc>
          <w:tcPr>
            <w:tcW w:w="6091" w:type="dxa"/>
          </w:tcPr>
          <w:p w:rsidR="00806E38" w:rsidRDefault="00317CF1" w:rsidP="00BB7FFC">
            <w:r>
              <w:t>Síntesis de entrevistas y propuesta de estructura de indicadores</w:t>
            </w:r>
          </w:p>
        </w:tc>
        <w:tc>
          <w:tcPr>
            <w:tcW w:w="2554" w:type="dxa"/>
          </w:tcPr>
          <w:p w:rsidR="00806E38" w:rsidRDefault="00317CF1" w:rsidP="00BB7FFC">
            <w:r>
              <w:t>Claudia</w:t>
            </w:r>
          </w:p>
        </w:tc>
        <w:tc>
          <w:tcPr>
            <w:tcW w:w="1425" w:type="dxa"/>
          </w:tcPr>
          <w:p w:rsidR="00806E38" w:rsidRDefault="00317CF1" w:rsidP="00BB7FFC">
            <w:r>
              <w:t>9 oct</w:t>
            </w:r>
          </w:p>
        </w:tc>
      </w:tr>
      <w:tr w:rsidR="00317CF1" w:rsidTr="00317CF1">
        <w:tc>
          <w:tcPr>
            <w:tcW w:w="6091" w:type="dxa"/>
          </w:tcPr>
          <w:p w:rsidR="00317CF1" w:rsidRDefault="00317CF1" w:rsidP="00317CF1">
            <w:r>
              <w:t>Reuniones para definición estructura de indicadores</w:t>
            </w:r>
          </w:p>
        </w:tc>
        <w:tc>
          <w:tcPr>
            <w:tcW w:w="2554" w:type="dxa"/>
          </w:tcPr>
          <w:p w:rsidR="00317CF1" w:rsidRDefault="00317CF1" w:rsidP="00BB7FFC">
            <w:r>
              <w:t>Diana, Camila, Maritza, Max, Claudia, Milton</w:t>
            </w:r>
          </w:p>
        </w:tc>
        <w:tc>
          <w:tcPr>
            <w:tcW w:w="1425" w:type="dxa"/>
          </w:tcPr>
          <w:p w:rsidR="00317CF1" w:rsidRDefault="00317CF1" w:rsidP="00BB7FFC">
            <w:r>
              <w:t>13 y 16 oct</w:t>
            </w:r>
          </w:p>
        </w:tc>
      </w:tr>
      <w:tr w:rsidR="000C281C" w:rsidTr="00317CF1">
        <w:tc>
          <w:tcPr>
            <w:tcW w:w="6091" w:type="dxa"/>
          </w:tcPr>
          <w:p w:rsidR="000C281C" w:rsidRDefault="000C281C" w:rsidP="00317CF1">
            <w:r>
              <w:t>Revisión por DTU (Universidad Técnica de Dinamarca e IIED (Instituto Internacional para el Ambiente y el Desarrollo)</w:t>
            </w:r>
          </w:p>
        </w:tc>
        <w:tc>
          <w:tcPr>
            <w:tcW w:w="2554" w:type="dxa"/>
          </w:tcPr>
          <w:p w:rsidR="000C281C" w:rsidRDefault="000C281C" w:rsidP="00BB7FFC"/>
        </w:tc>
        <w:tc>
          <w:tcPr>
            <w:tcW w:w="1425" w:type="dxa"/>
          </w:tcPr>
          <w:p w:rsidR="000C281C" w:rsidRDefault="000C281C" w:rsidP="00BB7FFC"/>
        </w:tc>
      </w:tr>
      <w:tr w:rsidR="00317CF1" w:rsidTr="00A3102F">
        <w:tc>
          <w:tcPr>
            <w:tcW w:w="10070" w:type="dxa"/>
            <w:gridSpan w:val="3"/>
          </w:tcPr>
          <w:p w:rsidR="00317CF1" w:rsidRPr="00317CF1" w:rsidRDefault="00317CF1" w:rsidP="00BB7FFC">
            <w:pPr>
              <w:rPr>
                <w:i/>
              </w:rPr>
            </w:pPr>
            <w:r w:rsidRPr="00317CF1">
              <w:rPr>
                <w:i/>
              </w:rPr>
              <w:t xml:space="preserve">LEVANTAMIENTO </w:t>
            </w:r>
            <w:r>
              <w:rPr>
                <w:i/>
              </w:rPr>
              <w:t>DE LÍNEA BASE</w:t>
            </w:r>
          </w:p>
        </w:tc>
      </w:tr>
      <w:tr w:rsidR="00317CF1" w:rsidTr="00317CF1">
        <w:tc>
          <w:tcPr>
            <w:tcW w:w="6091" w:type="dxa"/>
          </w:tcPr>
          <w:p w:rsidR="00317CF1" w:rsidRDefault="00A3102F" w:rsidP="00317CF1">
            <w:r>
              <w:t>Colocar listado de capas disponibles, de capas a ser solicitadas y de necesidades de proceso de información en Dropbox</w:t>
            </w:r>
          </w:p>
        </w:tc>
        <w:tc>
          <w:tcPr>
            <w:tcW w:w="2554" w:type="dxa"/>
          </w:tcPr>
          <w:p w:rsidR="00317CF1" w:rsidRDefault="00A3102F" w:rsidP="00BB7FFC">
            <w:r>
              <w:t>Camila</w:t>
            </w:r>
          </w:p>
        </w:tc>
        <w:tc>
          <w:tcPr>
            <w:tcW w:w="1425" w:type="dxa"/>
          </w:tcPr>
          <w:p w:rsidR="00317CF1" w:rsidRDefault="006055CD" w:rsidP="00BB7FFC">
            <w:r>
              <w:t>31 ago</w:t>
            </w:r>
          </w:p>
        </w:tc>
      </w:tr>
      <w:tr w:rsidR="00A3102F" w:rsidTr="00317CF1">
        <w:tc>
          <w:tcPr>
            <w:tcW w:w="6091" w:type="dxa"/>
          </w:tcPr>
          <w:p w:rsidR="00A3102F" w:rsidRDefault="00A3102F" w:rsidP="00A3102F">
            <w:r>
              <w:t>Solicitud de capas a IDEAM, INVEMAR y otras organizaciones</w:t>
            </w:r>
            <w:r w:rsidR="00FB576A">
              <w:t xml:space="preserve"> a través del SIAC</w:t>
            </w:r>
          </w:p>
        </w:tc>
        <w:tc>
          <w:tcPr>
            <w:tcW w:w="2554" w:type="dxa"/>
          </w:tcPr>
          <w:p w:rsidR="00A3102F" w:rsidRDefault="00A3102F" w:rsidP="00A3102F">
            <w:r>
              <w:t>Camila, Maritza</w:t>
            </w:r>
          </w:p>
        </w:tc>
        <w:tc>
          <w:tcPr>
            <w:tcW w:w="1425" w:type="dxa"/>
          </w:tcPr>
          <w:p w:rsidR="00A3102F" w:rsidRDefault="006055CD" w:rsidP="00A3102F">
            <w:r>
              <w:t xml:space="preserve">30 </w:t>
            </w:r>
            <w:proofErr w:type="spellStart"/>
            <w:r>
              <w:t>sep</w:t>
            </w:r>
            <w:proofErr w:type="spellEnd"/>
          </w:p>
        </w:tc>
      </w:tr>
      <w:tr w:rsidR="00A3102F" w:rsidTr="00317CF1">
        <w:tc>
          <w:tcPr>
            <w:tcW w:w="6091" w:type="dxa"/>
          </w:tcPr>
          <w:p w:rsidR="00A3102F" w:rsidRDefault="00A3102F" w:rsidP="00A3102F">
            <w:r>
              <w:t>Términos de referencia consultor</w:t>
            </w:r>
          </w:p>
        </w:tc>
        <w:tc>
          <w:tcPr>
            <w:tcW w:w="2554" w:type="dxa"/>
          </w:tcPr>
          <w:p w:rsidR="00A3102F" w:rsidRDefault="00A3102F" w:rsidP="00A3102F">
            <w:r>
              <w:t>Claudia, Bas</w:t>
            </w:r>
          </w:p>
        </w:tc>
        <w:tc>
          <w:tcPr>
            <w:tcW w:w="1425" w:type="dxa"/>
          </w:tcPr>
          <w:p w:rsidR="00A3102F" w:rsidRDefault="006055CD" w:rsidP="00A3102F">
            <w:r>
              <w:t>31 ago</w:t>
            </w:r>
          </w:p>
        </w:tc>
      </w:tr>
      <w:tr w:rsidR="00A3102F" w:rsidTr="00317CF1">
        <w:tc>
          <w:tcPr>
            <w:tcW w:w="6091" w:type="dxa"/>
          </w:tcPr>
          <w:p w:rsidR="00A3102F" w:rsidRDefault="00A3102F" w:rsidP="00A3102F">
            <w:r>
              <w:t>Contrato</w:t>
            </w:r>
            <w:r w:rsidR="006055CD">
              <w:t xml:space="preserve"> consultor</w:t>
            </w:r>
          </w:p>
        </w:tc>
        <w:tc>
          <w:tcPr>
            <w:tcW w:w="2554" w:type="dxa"/>
          </w:tcPr>
          <w:p w:rsidR="00A3102F" w:rsidRDefault="006055CD" w:rsidP="00A3102F">
            <w:r w:rsidRPr="006055CD">
              <w:t>Claudia, Bas</w:t>
            </w:r>
          </w:p>
        </w:tc>
        <w:tc>
          <w:tcPr>
            <w:tcW w:w="1425" w:type="dxa"/>
          </w:tcPr>
          <w:p w:rsidR="00A3102F" w:rsidRDefault="006055CD" w:rsidP="00A3102F">
            <w:r>
              <w:t>15 sept</w:t>
            </w:r>
          </w:p>
        </w:tc>
      </w:tr>
      <w:tr w:rsidR="00A3102F" w:rsidTr="00317CF1">
        <w:tc>
          <w:tcPr>
            <w:tcW w:w="6091" w:type="dxa"/>
          </w:tcPr>
          <w:p w:rsidR="00A3102F" w:rsidRDefault="00A3102F" w:rsidP="00A3102F">
            <w:r>
              <w:t>Reunión de seguimiento y diseño taller presentación</w:t>
            </w:r>
          </w:p>
        </w:tc>
        <w:tc>
          <w:tcPr>
            <w:tcW w:w="2554" w:type="dxa"/>
          </w:tcPr>
          <w:p w:rsidR="00A3102F" w:rsidRDefault="006055CD" w:rsidP="00A3102F">
            <w:r>
              <w:t>Claudia</w:t>
            </w:r>
          </w:p>
        </w:tc>
        <w:tc>
          <w:tcPr>
            <w:tcW w:w="1425" w:type="dxa"/>
          </w:tcPr>
          <w:p w:rsidR="00A3102F" w:rsidRDefault="00A3102F" w:rsidP="00A3102F">
            <w:r>
              <w:t>10 – 13 nov</w:t>
            </w:r>
          </w:p>
        </w:tc>
      </w:tr>
      <w:tr w:rsidR="006055CD" w:rsidRPr="006055CD" w:rsidTr="006E12B4">
        <w:tc>
          <w:tcPr>
            <w:tcW w:w="10070" w:type="dxa"/>
            <w:gridSpan w:val="3"/>
          </w:tcPr>
          <w:p w:rsidR="006055CD" w:rsidRPr="006055CD" w:rsidRDefault="006055CD" w:rsidP="00A3102F">
            <w:pPr>
              <w:rPr>
                <w:i/>
              </w:rPr>
            </w:pPr>
            <w:r w:rsidRPr="006055CD">
              <w:rPr>
                <w:i/>
              </w:rPr>
              <w:t>GESTION DEL PROYECTO</w:t>
            </w:r>
          </w:p>
        </w:tc>
      </w:tr>
      <w:tr w:rsidR="006055CD" w:rsidTr="00317CF1">
        <w:tc>
          <w:tcPr>
            <w:tcW w:w="6091" w:type="dxa"/>
          </w:tcPr>
          <w:p w:rsidR="006055CD" w:rsidRDefault="006055CD" w:rsidP="00A3102F">
            <w:r>
              <w:t>Justificación técnica y reformulación técnica y presupuestal</w:t>
            </w:r>
          </w:p>
        </w:tc>
        <w:tc>
          <w:tcPr>
            <w:tcW w:w="2554" w:type="dxa"/>
          </w:tcPr>
          <w:p w:rsidR="006055CD" w:rsidRDefault="006055CD" w:rsidP="00A3102F">
            <w:r w:rsidRPr="006055CD">
              <w:t>Claudia, Bas</w:t>
            </w:r>
          </w:p>
        </w:tc>
        <w:tc>
          <w:tcPr>
            <w:tcW w:w="1425" w:type="dxa"/>
          </w:tcPr>
          <w:p w:rsidR="006055CD" w:rsidRDefault="006055CD" w:rsidP="00A3102F">
            <w:r>
              <w:t>26 ago</w:t>
            </w:r>
          </w:p>
        </w:tc>
      </w:tr>
    </w:tbl>
    <w:p w:rsidR="00806E38" w:rsidRPr="00BB7FFC" w:rsidRDefault="00FA21B5" w:rsidP="00BB7FFC">
      <w:r w:rsidRPr="00FA21B5">
        <w:t xml:space="preserve"> </w:t>
      </w:r>
    </w:p>
    <w:p w:rsidR="00BB7FFC" w:rsidRPr="002F2E0C" w:rsidRDefault="002F2E0C" w:rsidP="00BB7FFC">
      <w:pPr>
        <w:rPr>
          <w:b/>
        </w:rPr>
      </w:pPr>
      <w:r w:rsidRPr="002F2E0C">
        <w:rPr>
          <w:b/>
        </w:rPr>
        <w:t>OTRAS ACTIVIDADES:</w:t>
      </w:r>
    </w:p>
    <w:p w:rsidR="000C281C" w:rsidRDefault="000C281C" w:rsidP="00BB7FFC"/>
    <w:p w:rsidR="000C281C" w:rsidRDefault="000C281C" w:rsidP="000C281C">
      <w:pPr>
        <w:pStyle w:val="ListParagraph"/>
        <w:numPr>
          <w:ilvl w:val="0"/>
          <w:numId w:val="18"/>
        </w:numPr>
      </w:pPr>
      <w:r>
        <w:t>Presentación de avances del proyecto en Foro Regional CTCN para América Latina, 26- 28 de octubre, San José, Costa Rica</w:t>
      </w:r>
    </w:p>
    <w:p w:rsidR="000C281C" w:rsidRPr="00BB7FFC" w:rsidRDefault="000C281C" w:rsidP="000C281C">
      <w:pPr>
        <w:pStyle w:val="ListParagraph"/>
        <w:numPr>
          <w:ilvl w:val="0"/>
          <w:numId w:val="18"/>
        </w:numPr>
      </w:pPr>
      <w:r>
        <w:t>Presentación en COP 21, diciembre</w:t>
      </w:r>
    </w:p>
    <w:p w:rsidR="004E4EBA" w:rsidRPr="00BB7FFC" w:rsidRDefault="004E4EBA" w:rsidP="00BB7FFC">
      <w:r w:rsidRPr="00BB7FFC">
        <w:br w:type="page"/>
      </w:r>
    </w:p>
    <w:p w:rsidR="00BC2C00" w:rsidRPr="004E4EBA" w:rsidRDefault="00713B65">
      <w:pPr>
        <w:rPr>
          <w:b/>
        </w:rPr>
      </w:pPr>
      <w:r>
        <w:rPr>
          <w:b/>
        </w:rPr>
        <w:lastRenderedPageBreak/>
        <w:t xml:space="preserve">PRINCIPALES </w:t>
      </w:r>
      <w:r w:rsidR="00BB7FFC">
        <w:rPr>
          <w:b/>
        </w:rPr>
        <w:t>TEMAS DISCUTIDOS</w:t>
      </w:r>
      <w:r w:rsidR="006055CD">
        <w:rPr>
          <w:b/>
        </w:rPr>
        <w:t xml:space="preserve"> EN LAS REUNIONES</w:t>
      </w:r>
    </w:p>
    <w:p w:rsidR="004E4EBA" w:rsidRDefault="004E4EBA" w:rsidP="004E4EBA">
      <w:pPr>
        <w:rPr>
          <w:b/>
          <w:i/>
        </w:rPr>
      </w:pPr>
    </w:p>
    <w:p w:rsidR="004E4EBA" w:rsidRPr="00BB7FFC" w:rsidRDefault="004E4EBA" w:rsidP="004E4EBA">
      <w:pPr>
        <w:pStyle w:val="ListParagraph"/>
        <w:numPr>
          <w:ilvl w:val="0"/>
          <w:numId w:val="6"/>
        </w:numPr>
        <w:rPr>
          <w:b/>
        </w:rPr>
      </w:pPr>
      <w:r w:rsidRPr="00BB7FFC">
        <w:rPr>
          <w:b/>
        </w:rPr>
        <w:t>¿Qué tipo de indicadores se han utilizado a nivel global y en la región LAC para comunicaciones nacionales, para planes de adaptación y otros objetivos?</w:t>
      </w:r>
      <w:r w:rsidR="00BB7FFC" w:rsidRPr="00BB7FFC">
        <w:rPr>
          <w:rStyle w:val="FootnoteReference"/>
          <w:b/>
          <w:i/>
        </w:rPr>
        <w:t xml:space="preserve"> </w:t>
      </w:r>
      <w:r w:rsidR="00BB7FFC" w:rsidRPr="00BB7FFC">
        <w:rPr>
          <w:rStyle w:val="FootnoteReference"/>
          <w:b/>
          <w:i/>
        </w:rPr>
        <w:footnoteReference w:id="4"/>
      </w:r>
    </w:p>
    <w:p w:rsidR="004E4EBA" w:rsidRDefault="004E4EBA" w:rsidP="004E4EBA"/>
    <w:p w:rsidR="002F5CFD" w:rsidRDefault="002F5CFD" w:rsidP="002F5CFD">
      <w:pPr>
        <w:pStyle w:val="ListParagraph"/>
        <w:numPr>
          <w:ilvl w:val="0"/>
          <w:numId w:val="8"/>
        </w:numPr>
      </w:pPr>
      <w:r>
        <w:t>El conjunto de indicadores que contienen pretenden dar un buen entendimiento de los cambios en la vulnerabilidad al cambio climático, en el contexto de los objetivos nacionales de desarrollo.</w:t>
      </w:r>
    </w:p>
    <w:p w:rsidR="002F5CFD" w:rsidRDefault="002F5CFD" w:rsidP="002F5CFD"/>
    <w:p w:rsidR="004E4EBA" w:rsidRDefault="002F5CFD" w:rsidP="00A3102F">
      <w:pPr>
        <w:pStyle w:val="ListParagraph"/>
        <w:numPr>
          <w:ilvl w:val="0"/>
          <w:numId w:val="8"/>
        </w:numPr>
      </w:pPr>
      <w:r>
        <w:t xml:space="preserve">Casi todas las experiencias de </w:t>
      </w:r>
      <w:r w:rsidR="00471A27">
        <w:t>sistemas</w:t>
      </w:r>
      <w:r w:rsidR="00471A27">
        <w:rPr>
          <w:rStyle w:val="FootnoteReference"/>
        </w:rPr>
        <w:footnoteReference w:id="5"/>
      </w:r>
      <w:r>
        <w:t xml:space="preserve"> de M&amp;E asociados a planes de adaptación abordan diferentes aspectos de la vulnerabilidad, mediante </w:t>
      </w:r>
      <w:r w:rsidR="004E4EBA" w:rsidRPr="004E4EBA">
        <w:t xml:space="preserve">una combinación de indicadores de proceso </w:t>
      </w:r>
      <w:r w:rsidR="004E4EBA">
        <w:t xml:space="preserve">y </w:t>
      </w:r>
      <w:r w:rsidR="004E4EBA" w:rsidRPr="004E4EBA">
        <w:t>productos</w:t>
      </w:r>
      <w:r>
        <w:t xml:space="preserve"> (por sí sola, ninguna categoría es suficiente)</w:t>
      </w:r>
      <w:r w:rsidR="004E4EBA">
        <w:t>.</w:t>
      </w:r>
      <w:r>
        <w:t xml:space="preserve"> Algunas experiencias revisadas, como las de los planes nacionales de adaptación de Kenia y Australia y las estrategias nacionales de cambio climático de Argentina y Honduras, incluyen productos (outputs) e indicadores de capacidad adaptativa (acciones sectoriales), sensibilidad (como impactos), exposición y amenazas climáticas. </w:t>
      </w:r>
    </w:p>
    <w:p w:rsidR="004E4EBA" w:rsidRDefault="004E4EBA" w:rsidP="004E4EBA"/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1613"/>
        <w:gridCol w:w="4341"/>
        <w:gridCol w:w="4342"/>
      </w:tblGrid>
      <w:tr w:rsidR="004E4EBA" w:rsidRPr="004E4EBA" w:rsidTr="00D54DC8">
        <w:tc>
          <w:tcPr>
            <w:tcW w:w="1413" w:type="dxa"/>
            <w:hideMark/>
          </w:tcPr>
          <w:p w:rsidR="004E4EBA" w:rsidRPr="004E4EBA" w:rsidRDefault="004E4EBA" w:rsidP="004E4EBA">
            <w:pPr>
              <w:spacing w:line="259" w:lineRule="auto"/>
            </w:pPr>
          </w:p>
        </w:tc>
        <w:tc>
          <w:tcPr>
            <w:tcW w:w="3801" w:type="dxa"/>
            <w:hideMark/>
          </w:tcPr>
          <w:p w:rsidR="004E4EBA" w:rsidRPr="004E4EBA" w:rsidRDefault="004E4EBA" w:rsidP="004E4EBA">
            <w:pPr>
              <w:spacing w:line="259" w:lineRule="auto"/>
            </w:pPr>
            <w:r w:rsidRPr="004E4EBA">
              <w:rPr>
                <w:b/>
                <w:bCs/>
              </w:rPr>
              <w:t>Ventajas</w:t>
            </w:r>
          </w:p>
        </w:tc>
        <w:tc>
          <w:tcPr>
            <w:tcW w:w="3802" w:type="dxa"/>
            <w:hideMark/>
          </w:tcPr>
          <w:p w:rsidR="004E4EBA" w:rsidRPr="004E4EBA" w:rsidRDefault="004E4EBA" w:rsidP="004E4EBA">
            <w:pPr>
              <w:spacing w:line="259" w:lineRule="auto"/>
            </w:pPr>
            <w:r w:rsidRPr="004E4EBA">
              <w:rPr>
                <w:b/>
                <w:bCs/>
              </w:rPr>
              <w:t>Desventajas</w:t>
            </w:r>
          </w:p>
        </w:tc>
      </w:tr>
      <w:tr w:rsidR="004E4EBA" w:rsidRPr="004E4EBA" w:rsidTr="00D54DC8">
        <w:tc>
          <w:tcPr>
            <w:tcW w:w="1413" w:type="dxa"/>
            <w:hideMark/>
          </w:tcPr>
          <w:p w:rsidR="004E4EBA" w:rsidRPr="002F5CFD" w:rsidRDefault="004E4EBA" w:rsidP="004E4EBA">
            <w:pPr>
              <w:spacing w:line="259" w:lineRule="auto"/>
              <w:rPr>
                <w:b/>
              </w:rPr>
            </w:pPr>
            <w:r w:rsidRPr="002F5CFD">
              <w:rPr>
                <w:b/>
              </w:rPr>
              <w:t>Productos</w:t>
            </w:r>
          </w:p>
        </w:tc>
        <w:tc>
          <w:tcPr>
            <w:tcW w:w="3801" w:type="dxa"/>
            <w:hideMark/>
          </w:tcPr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Objetivos y metas de gobierno</w:t>
            </w:r>
          </w:p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Enlace fácil entre CC y sectores</w:t>
            </w:r>
          </w:p>
        </w:tc>
        <w:tc>
          <w:tcPr>
            <w:tcW w:w="3802" w:type="dxa"/>
            <w:hideMark/>
          </w:tcPr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Lograr productos no garantiza la adaptación exitosa</w:t>
            </w:r>
          </w:p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Puede ser prescriptivo y poco flexible</w:t>
            </w:r>
          </w:p>
        </w:tc>
      </w:tr>
      <w:tr w:rsidR="004E4EBA" w:rsidRPr="004E4EBA" w:rsidTr="00D54DC8">
        <w:tc>
          <w:tcPr>
            <w:tcW w:w="1413" w:type="dxa"/>
            <w:hideMark/>
          </w:tcPr>
          <w:p w:rsidR="004E4EBA" w:rsidRPr="002F5CFD" w:rsidRDefault="004E4EBA" w:rsidP="004E4EBA">
            <w:pPr>
              <w:spacing w:line="259" w:lineRule="auto"/>
              <w:rPr>
                <w:b/>
              </w:rPr>
            </w:pPr>
            <w:r w:rsidRPr="002F5CFD">
              <w:rPr>
                <w:b/>
              </w:rPr>
              <w:t>Procesos</w:t>
            </w:r>
          </w:p>
        </w:tc>
        <w:tc>
          <w:tcPr>
            <w:tcW w:w="3801" w:type="dxa"/>
            <w:hideMark/>
          </w:tcPr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 xml:space="preserve">Espacio para discusión sobre aspectos de la adaptación </w:t>
            </w:r>
          </w:p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 xml:space="preserve">Flexible </w:t>
            </w:r>
          </w:p>
        </w:tc>
        <w:tc>
          <w:tcPr>
            <w:tcW w:w="3802" w:type="dxa"/>
            <w:hideMark/>
          </w:tcPr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Definir un proceso no garantiza tampoco la adaptación exitosa</w:t>
            </w:r>
          </w:p>
          <w:p w:rsidR="00A3102F" w:rsidRPr="004E4EBA" w:rsidRDefault="00A3102F" w:rsidP="002F5CFD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59" w:lineRule="auto"/>
              <w:ind w:left="319"/>
            </w:pPr>
            <w:r w:rsidRPr="004E4EBA">
              <w:t>No es tan fácil integrar con enfoque sectorial</w:t>
            </w:r>
          </w:p>
        </w:tc>
      </w:tr>
    </w:tbl>
    <w:p w:rsidR="004E4EBA" w:rsidRDefault="004E4EBA" w:rsidP="004E4EBA"/>
    <w:p w:rsidR="004E4EBA" w:rsidRDefault="002F5CFD" w:rsidP="002F5CFD">
      <w:pPr>
        <w:pStyle w:val="ListParagraph"/>
        <w:numPr>
          <w:ilvl w:val="0"/>
          <w:numId w:val="11"/>
        </w:numPr>
      </w:pPr>
      <w:r>
        <w:t>Las terceras comunicaciones revisadas (México y Argentina) no incluyen un sistema de</w:t>
      </w:r>
      <w:r w:rsidR="00D54DC8">
        <w:t xml:space="preserve"> indicadores, más bien se orientan definir el estado de las amenazas climáticas, sus proyecciones según diferentes escenarios, con y sin medidas de mitigación.</w:t>
      </w:r>
    </w:p>
    <w:p w:rsidR="007D2B20" w:rsidRDefault="007D2B20" w:rsidP="004E4EBA"/>
    <w:p w:rsidR="004E4EBA" w:rsidRPr="00BB7FFC" w:rsidRDefault="00D54DC8" w:rsidP="00D54DC8">
      <w:pPr>
        <w:pStyle w:val="ListParagraph"/>
        <w:numPr>
          <w:ilvl w:val="0"/>
          <w:numId w:val="6"/>
        </w:numPr>
        <w:rPr>
          <w:b/>
        </w:rPr>
      </w:pPr>
      <w:r w:rsidRPr="00BB7FFC">
        <w:rPr>
          <w:b/>
        </w:rPr>
        <w:t>¿Cómo están embebidos los sistemas de indicadores en la política pública?, ¿cómo son los arreglos institucionales?</w:t>
      </w:r>
    </w:p>
    <w:p w:rsidR="00D54DC8" w:rsidRDefault="00D54DC8" w:rsidP="004E4EBA"/>
    <w:p w:rsidR="00D54DC8" w:rsidRDefault="00D54DC8" w:rsidP="00D54DC8">
      <w:pPr>
        <w:pStyle w:val="ListParagraph"/>
        <w:numPr>
          <w:ilvl w:val="0"/>
          <w:numId w:val="5"/>
        </w:numPr>
      </w:pPr>
      <w:r>
        <w:t>Generalmente, los sistemas de M&amp;E están asociados a instrumentos de planificación, ya sean planes o estrategias de adaptación al cambio climático.</w:t>
      </w:r>
    </w:p>
    <w:p w:rsidR="00D54DC8" w:rsidRDefault="00D54DC8" w:rsidP="00D54DC8"/>
    <w:p w:rsidR="00D54DC8" w:rsidRDefault="00D54DC8" w:rsidP="00BC2C00">
      <w:pPr>
        <w:pStyle w:val="ListParagraph"/>
        <w:numPr>
          <w:ilvl w:val="0"/>
          <w:numId w:val="5"/>
        </w:numPr>
      </w:pPr>
      <w:r>
        <w:t>Todas las experiencias, al menos en sus etapas iniciales, utilizan indicadores que ya son medidos. Asimismo, definen un conjunto básico de indicadores en función a la priorización de sectores del gobierno, y prioridades dentro de estos sectores.</w:t>
      </w:r>
    </w:p>
    <w:p w:rsidR="00D54DC8" w:rsidRDefault="00D54DC8" w:rsidP="00D54DC8"/>
    <w:p w:rsidR="00D54DC8" w:rsidRDefault="00D54DC8" w:rsidP="00D54DC8">
      <w:pPr>
        <w:pStyle w:val="ListParagraph"/>
        <w:numPr>
          <w:ilvl w:val="0"/>
          <w:numId w:val="5"/>
        </w:numPr>
      </w:pPr>
      <w:r>
        <w:lastRenderedPageBreak/>
        <w:t>Generalmente los sistemas de M&amp;E está alojado en una instancia de gobierno, y se establecen acuerdos con las diferentes agencias gubernamentales que dan seguimiento a indicadores climáticos, demográficos, económicos y productivos, entre otros.</w:t>
      </w:r>
      <w:r w:rsidR="003E0BE9">
        <w:t xml:space="preserve"> </w:t>
      </w:r>
    </w:p>
    <w:p w:rsidR="00D54DC8" w:rsidRDefault="00D54DC8" w:rsidP="00D54DC8"/>
    <w:p w:rsidR="00D54DC8" w:rsidRDefault="00D54DC8" w:rsidP="00BC2C00">
      <w:pPr>
        <w:pStyle w:val="ListParagraph"/>
        <w:numPr>
          <w:ilvl w:val="0"/>
          <w:numId w:val="5"/>
        </w:numPr>
      </w:pPr>
      <w:r>
        <w:t xml:space="preserve">Los sistemas de M&amp;E pueden </w:t>
      </w:r>
      <w:r w:rsidR="006055CD">
        <w:t xml:space="preserve">contar al menos con cuatro tipos de </w:t>
      </w:r>
      <w:r w:rsidR="006055CD" w:rsidRPr="003E0BE9">
        <w:rPr>
          <w:b/>
        </w:rPr>
        <w:t xml:space="preserve">herramientas </w:t>
      </w:r>
      <w:r w:rsidR="006055CD">
        <w:t>(ver publicación OECD 2015)</w:t>
      </w:r>
      <w:r>
        <w:t>:</w:t>
      </w:r>
    </w:p>
    <w:p w:rsidR="006055CD" w:rsidRDefault="006055CD" w:rsidP="00D54DC8">
      <w:pPr>
        <w:pStyle w:val="ListParagraph"/>
        <w:numPr>
          <w:ilvl w:val="1"/>
          <w:numId w:val="5"/>
        </w:numPr>
      </w:pPr>
      <w:r>
        <w:t>Evaluaciones de vuln</w:t>
      </w:r>
      <w:r w:rsidR="00713B65">
        <w:t>erabilidad y riesgo. Por ejemplo, las comunicaciones nacionales.</w:t>
      </w:r>
    </w:p>
    <w:p w:rsidR="006055CD" w:rsidRDefault="006055CD" w:rsidP="00D54DC8">
      <w:pPr>
        <w:pStyle w:val="ListParagraph"/>
        <w:numPr>
          <w:ilvl w:val="1"/>
          <w:numId w:val="5"/>
        </w:numPr>
      </w:pPr>
      <w:r>
        <w:t>Monitoreo d</w:t>
      </w:r>
      <w:r w:rsidR="00471A27">
        <w:t>e necesidades de adaptación priorizadas</w:t>
      </w:r>
    </w:p>
    <w:p w:rsidR="00471A27" w:rsidRDefault="00471A27" w:rsidP="00D54DC8">
      <w:pPr>
        <w:pStyle w:val="ListParagraph"/>
        <w:numPr>
          <w:ilvl w:val="1"/>
          <w:numId w:val="5"/>
        </w:numPr>
      </w:pPr>
      <w:r>
        <w:t>Lecciones aprendidas de iniciativas de adaptación</w:t>
      </w:r>
    </w:p>
    <w:p w:rsidR="00471A27" w:rsidRDefault="00471A27" w:rsidP="00D54DC8">
      <w:pPr>
        <w:pStyle w:val="ListParagraph"/>
        <w:numPr>
          <w:ilvl w:val="1"/>
          <w:numId w:val="5"/>
        </w:numPr>
      </w:pPr>
      <w:r>
        <w:t>Auditorías nacionales y revisión de gastos (por ejemplo, revisión de inversiones y resultados por sectores priorizados).</w:t>
      </w:r>
    </w:p>
    <w:p w:rsidR="00471A27" w:rsidRDefault="00471A27" w:rsidP="00471A27">
      <w:pPr>
        <w:ind w:left="708"/>
      </w:pPr>
    </w:p>
    <w:p w:rsidR="00471A27" w:rsidRDefault="003E0BE9" w:rsidP="00471A27">
      <w:pPr>
        <w:pStyle w:val="ListParagraph"/>
        <w:numPr>
          <w:ilvl w:val="0"/>
          <w:numId w:val="15"/>
        </w:numPr>
      </w:pPr>
      <w:r>
        <w:t xml:space="preserve">Los sistemas de M&amp;E pueden incluir un espacio para el seguimiento de proyectos o iniciativas que se estén haciendo en diferentes temas o lugares del país, como comprobación del éxito relativo de medidas de adaptación. </w:t>
      </w:r>
      <w:r w:rsidR="00471A27">
        <w:t xml:space="preserve">Es importante que los indicadores a ser definidos de tal manera que den cabida a los productos y resultados de </w:t>
      </w:r>
      <w:r w:rsidR="00471A27" w:rsidRPr="003E0BE9">
        <w:rPr>
          <w:b/>
        </w:rPr>
        <w:t>proyectos y otras iniciativas de adaptación</w:t>
      </w:r>
      <w:r w:rsidR="00471A27">
        <w:t xml:space="preserve"> que están en marcha en el país. </w:t>
      </w:r>
      <w:r w:rsidR="00713B65">
        <w:t xml:space="preserve">También es importante que el sistema defina prioridades geográficas / temáticas. De esta manera, el sistema puede apoyar a evaluar la pertinencia (los proyectos abordan temas prioritarios en los sitios prioritarios) y eficiencia </w:t>
      </w:r>
      <w:r w:rsidR="00471A27" w:rsidRPr="00471A27">
        <w:t>de proyectos</w:t>
      </w:r>
      <w:r w:rsidR="00713B65">
        <w:t xml:space="preserve"> (los proyectos </w:t>
      </w:r>
      <w:r w:rsidR="00F73EC4">
        <w:t>consiguen los resultados que se proponen)</w:t>
      </w:r>
      <w:r w:rsidR="00471A27" w:rsidRPr="00471A27">
        <w:t>: el marco debería permitir que los resultados de los proyectos se amplía a nivel nacional.</w:t>
      </w:r>
    </w:p>
    <w:p w:rsidR="00AD6D13" w:rsidRDefault="00AD6D13" w:rsidP="00AD6D13"/>
    <w:p w:rsidR="00AD6D13" w:rsidRDefault="00AD6D13" w:rsidP="00AD6D13">
      <w:pPr>
        <w:pStyle w:val="ListParagraph"/>
        <w:numPr>
          <w:ilvl w:val="0"/>
          <w:numId w:val="15"/>
        </w:numPr>
      </w:pPr>
      <w:r>
        <w:t>Si hay vacíos importantes de información, es importante identificar también las razones y qué avances hay para llenarlos.</w:t>
      </w:r>
    </w:p>
    <w:p w:rsidR="00BB7FFC" w:rsidRDefault="00BB7FFC" w:rsidP="00BB7FFC"/>
    <w:p w:rsidR="00510F95" w:rsidRPr="00510F95" w:rsidRDefault="00510F95" w:rsidP="00510F95">
      <w:pPr>
        <w:pStyle w:val="ListParagraph"/>
        <w:numPr>
          <w:ilvl w:val="0"/>
          <w:numId w:val="6"/>
        </w:numPr>
        <w:rPr>
          <w:b/>
        </w:rPr>
      </w:pPr>
      <w:r w:rsidRPr="00510F95">
        <w:rPr>
          <w:b/>
        </w:rPr>
        <w:t>Prioridades sectoriales y la estructura de indicadores</w:t>
      </w:r>
    </w:p>
    <w:p w:rsidR="00510F95" w:rsidRDefault="00510F95" w:rsidP="00BB7FFC"/>
    <w:p w:rsidR="006A03D2" w:rsidRDefault="006A03D2" w:rsidP="006A03D2">
      <w:pPr>
        <w:pStyle w:val="ListParagraph"/>
        <w:numPr>
          <w:ilvl w:val="0"/>
          <w:numId w:val="17"/>
        </w:numPr>
      </w:pPr>
      <w:r w:rsidRPr="006A03D2">
        <w:t>Es pertinente que un sistema de M&amp;E nuevo recoja las expectativas de ACC</w:t>
      </w:r>
      <w:r>
        <w:t>, un marco que nos guíe en la toma de decisiones de lo que va a venir.</w:t>
      </w:r>
    </w:p>
    <w:p w:rsidR="006A03D2" w:rsidRDefault="006A03D2" w:rsidP="006A03D2"/>
    <w:p w:rsidR="006A03D2" w:rsidRDefault="006A03D2" w:rsidP="006A03D2">
      <w:pPr>
        <w:pStyle w:val="ListParagraph"/>
        <w:numPr>
          <w:ilvl w:val="0"/>
          <w:numId w:val="17"/>
        </w:numPr>
      </w:pPr>
      <w:r>
        <w:t>La idea del sistema también es que apoye a la identificación de m</w:t>
      </w:r>
      <w:r w:rsidR="00510F95" w:rsidRPr="006A03D2">
        <w:t>edidas blindadas al CC y sus efectos</w:t>
      </w:r>
      <w:r>
        <w:t xml:space="preserve"> (ejemplo en </w:t>
      </w:r>
      <w:r w:rsidR="00510F95" w:rsidRPr="006A03D2">
        <w:t>Nicaragua; incluidas en comunicación nacional y estrategias regionales.</w:t>
      </w:r>
    </w:p>
    <w:p w:rsidR="006A03D2" w:rsidRDefault="006A03D2" w:rsidP="006A03D2">
      <w:pPr>
        <w:pStyle w:val="ListParagraph"/>
      </w:pPr>
    </w:p>
    <w:p w:rsidR="006A03D2" w:rsidRDefault="006A03D2" w:rsidP="006A03D2">
      <w:pPr>
        <w:pStyle w:val="ListParagraph"/>
        <w:numPr>
          <w:ilvl w:val="0"/>
          <w:numId w:val="17"/>
        </w:numPr>
      </w:pPr>
      <w:r>
        <w:t>Las prioridades están establecidas por los m</w:t>
      </w:r>
      <w:r w:rsidRPr="00510F95">
        <w:t xml:space="preserve">arcos nacionales dados por </w:t>
      </w:r>
      <w:r>
        <w:t>el Plan Nacional de Desarrollo, la</w:t>
      </w:r>
      <w:r w:rsidRPr="00510F95">
        <w:t xml:space="preserve">s </w:t>
      </w:r>
      <w:r>
        <w:t>CN</w:t>
      </w:r>
      <w:r w:rsidRPr="00510F95">
        <w:t xml:space="preserve"> y planes</w:t>
      </w:r>
      <w:r>
        <w:t xml:space="preserve"> sectoriales</w:t>
      </w:r>
      <w:r w:rsidRPr="006A03D2">
        <w:t xml:space="preserve">. </w:t>
      </w:r>
      <w:r>
        <w:t xml:space="preserve">Por ejemplo, </w:t>
      </w:r>
      <w:r w:rsidRPr="006A03D2">
        <w:t>UCME y el Ministerio de Minas y Energía hace rato están alineados con los objetivos del plan de gobierno</w:t>
      </w:r>
      <w:r>
        <w:t>. Otros sectores han formalizado menos sus prioridades pero se han alineado (FEDEGAN, proyecto silvicultura a nivel nacional).</w:t>
      </w:r>
      <w:r w:rsidR="000C281C">
        <w:t xml:space="preserve"> Así se trabajó en el sistema de M&amp;E de Huila, a nivel regional.</w:t>
      </w:r>
    </w:p>
    <w:p w:rsidR="006A03D2" w:rsidRDefault="006A03D2" w:rsidP="006A03D2">
      <w:pPr>
        <w:pStyle w:val="ListParagraph"/>
      </w:pPr>
    </w:p>
    <w:p w:rsidR="006A03D2" w:rsidRDefault="006A03D2" w:rsidP="006A03D2">
      <w:pPr>
        <w:pStyle w:val="ListParagraph"/>
        <w:numPr>
          <w:ilvl w:val="0"/>
          <w:numId w:val="17"/>
        </w:numPr>
      </w:pPr>
      <w:r w:rsidRPr="006A03D2">
        <w:t>Para este sistema de M&amp;E, es necesario corroborar estas prioridades, sobre todo las que están menos formalizadas, para definir una estru</w:t>
      </w:r>
      <w:r>
        <w:t>ctura eficiente de indicadores basados en información que ya existe</w:t>
      </w:r>
      <w:r w:rsidR="000C281C">
        <w:t>: cada área tiene que definir con qué indicadores trabajar</w:t>
      </w:r>
      <w:r>
        <w:t>. También se puede identificar un conjunto de indicadores para los cuales ahora no existe información, pero que sería bueno medir a futuro.</w:t>
      </w:r>
    </w:p>
    <w:p w:rsidR="000C281C" w:rsidRDefault="000C281C" w:rsidP="000C281C">
      <w:pPr>
        <w:pStyle w:val="ListParagraph"/>
      </w:pPr>
    </w:p>
    <w:p w:rsidR="000C281C" w:rsidRDefault="000C281C" w:rsidP="000C281C">
      <w:pPr>
        <w:pStyle w:val="ListParagraph"/>
        <w:numPr>
          <w:ilvl w:val="0"/>
          <w:numId w:val="17"/>
        </w:numPr>
      </w:pPr>
      <w:r>
        <w:t xml:space="preserve">Para llevar esto a la práctica, se realizarán entrevistas a profundidad a personas clave de los sectores. Las entrevistas deben recoger ya la información de prioridades establecidas por la II </w:t>
      </w:r>
      <w:r>
        <w:lastRenderedPageBreak/>
        <w:t>CN, documentos sectoriales disponibles y el taller realizado en abril. La/s persona/s que realicen la entrevista deben conocer bien el tema y las instituciones de gobierno del país.</w:t>
      </w:r>
    </w:p>
    <w:p w:rsidR="000C281C" w:rsidRDefault="000C281C" w:rsidP="000C281C">
      <w:pPr>
        <w:pStyle w:val="ListParagraph"/>
      </w:pPr>
    </w:p>
    <w:p w:rsidR="000C281C" w:rsidRDefault="000C281C" w:rsidP="00BB7FFC">
      <w:pPr>
        <w:pStyle w:val="ListParagraph"/>
        <w:numPr>
          <w:ilvl w:val="0"/>
          <w:numId w:val="17"/>
        </w:numPr>
      </w:pPr>
      <w:r>
        <w:t xml:space="preserve">En el IDEAM se concluyó que se tendría que contratar un/a consultor/a para este trabajo, pero </w:t>
      </w:r>
      <w:r w:rsidR="002F2E0C">
        <w:t>en una sesión posterior se acordó que las entrevistas serán hechas por</w:t>
      </w:r>
      <w:r w:rsidR="00DC4474">
        <w:t xml:space="preserve"> Diana</w:t>
      </w:r>
      <w:r>
        <w:t>, Camila y Maritza.</w:t>
      </w:r>
    </w:p>
    <w:p w:rsidR="000C281C" w:rsidRDefault="000C281C" w:rsidP="00BB7FFC"/>
    <w:p w:rsidR="00AD6D13" w:rsidRPr="00541AF6" w:rsidRDefault="00541AF6" w:rsidP="00541AF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La</w:t>
      </w:r>
      <w:r w:rsidRPr="00541AF6">
        <w:rPr>
          <w:b/>
        </w:rPr>
        <w:t xml:space="preserve"> estructura de indicadores</w:t>
      </w:r>
      <w:r>
        <w:rPr>
          <w:b/>
        </w:rPr>
        <w:t xml:space="preserve"> para M&amp;E y la </w:t>
      </w:r>
      <w:r w:rsidR="00510F95">
        <w:rPr>
          <w:b/>
        </w:rPr>
        <w:t>III Comunicación Nacional</w:t>
      </w:r>
      <w:r>
        <w:rPr>
          <w:rStyle w:val="FootnoteReference"/>
          <w:b/>
        </w:rPr>
        <w:footnoteReference w:id="6"/>
      </w:r>
    </w:p>
    <w:p w:rsidR="00541AF6" w:rsidRDefault="00541AF6" w:rsidP="00BB7FFC"/>
    <w:p w:rsidR="00541AF6" w:rsidRDefault="00541AF6" w:rsidP="00B354F9">
      <w:pPr>
        <w:pStyle w:val="ListParagraph"/>
        <w:numPr>
          <w:ilvl w:val="0"/>
          <w:numId w:val="16"/>
        </w:numPr>
      </w:pPr>
      <w:r>
        <w:t>Hay mucha diferencia y cambios entre las comunicaciones nacionales (CN), por otro lado la periodicidad de la elaboración de las comunicaciones depende mucho del financiamiento o de plazos gubernamentales. Un grupo de indicadores usados en una CN no necesariamente se repetir. La idea del proyecto es contar con una estructura de indicadores que cue</w:t>
      </w:r>
      <w:r w:rsidR="002F2E0C">
        <w:t>nte cómo nos estamos adaptando.</w:t>
      </w:r>
    </w:p>
    <w:p w:rsidR="002F2E0C" w:rsidRDefault="002F2E0C" w:rsidP="002F2E0C"/>
    <w:p w:rsidR="00541AF6" w:rsidRDefault="00541AF6" w:rsidP="000C281C">
      <w:pPr>
        <w:pStyle w:val="ListParagraph"/>
        <w:numPr>
          <w:ilvl w:val="0"/>
          <w:numId w:val="16"/>
        </w:numPr>
      </w:pPr>
      <w:r>
        <w:t xml:space="preserve">La III CN de Colombia puede servir como fuente de información; por ejemplo, el proceso de elaboración ya ha recogido </w:t>
      </w:r>
      <w:r w:rsidRPr="00541AF6">
        <w:t>acciones de adaptación que están en proceso en todo el país</w:t>
      </w:r>
      <w:r>
        <w:t>.</w:t>
      </w:r>
    </w:p>
    <w:p w:rsidR="00AD6D13" w:rsidRDefault="00AD6D13" w:rsidP="00BB7FFC"/>
    <w:p w:rsidR="003E0BE9" w:rsidRPr="001E6D05" w:rsidRDefault="001E6D05" w:rsidP="001E6D05">
      <w:pPr>
        <w:pStyle w:val="ListParagraph"/>
        <w:numPr>
          <w:ilvl w:val="0"/>
          <w:numId w:val="6"/>
        </w:numPr>
        <w:rPr>
          <w:b/>
        </w:rPr>
      </w:pPr>
      <w:r w:rsidRPr="001E6D05">
        <w:rPr>
          <w:b/>
        </w:rPr>
        <w:t>Recopilación de capas de información</w:t>
      </w:r>
    </w:p>
    <w:p w:rsidR="001E6D05" w:rsidRDefault="001E6D05" w:rsidP="001E6D05"/>
    <w:p w:rsidR="001E6D05" w:rsidRDefault="002F2E0C" w:rsidP="002F2E0C">
      <w:pPr>
        <w:pStyle w:val="ListParagraph"/>
        <w:numPr>
          <w:ilvl w:val="0"/>
          <w:numId w:val="19"/>
        </w:numPr>
      </w:pPr>
      <w:r>
        <w:t>Y</w:t>
      </w:r>
      <w:r w:rsidR="001E6D05">
        <w:t xml:space="preserve">a se puede identificar varias capas de información, manejadas por diferentes instancias de gobierno (como IDEAM, INVEMAR y SIAC), que serán necesarias para definir la línea base de los indicadores (ver acuerdo 9). </w:t>
      </w:r>
      <w:r>
        <w:t xml:space="preserve">Camila pondrá la lista en Dropbox. </w:t>
      </w:r>
      <w:r w:rsidR="001E6D05">
        <w:t>Esas capas hay que solicitarlas cuanto antes</w:t>
      </w:r>
      <w:r w:rsidR="00902837">
        <w:t xml:space="preserve"> (conseguirlas puede demorar hasta 3 meses). Algunas son</w:t>
      </w:r>
      <w:r w:rsidR="001E6D05">
        <w:t>:</w:t>
      </w:r>
    </w:p>
    <w:p w:rsidR="00AD6D13" w:rsidRDefault="00AD6D13" w:rsidP="001E6D05"/>
    <w:p w:rsidR="001E6D05" w:rsidRDefault="001E6D05" w:rsidP="002F2E0C">
      <w:pPr>
        <w:pStyle w:val="ListParagraph"/>
        <w:numPr>
          <w:ilvl w:val="1"/>
          <w:numId w:val="15"/>
        </w:numPr>
      </w:pPr>
      <w:r>
        <w:t xml:space="preserve">Alertas Tempranas de </w:t>
      </w:r>
      <w:proofErr w:type="spellStart"/>
      <w:r>
        <w:t>Deforestación</w:t>
      </w:r>
      <w:proofErr w:type="spellEnd"/>
      <w:r>
        <w:t xml:space="preserve">, </w:t>
      </w:r>
      <w:proofErr w:type="spellStart"/>
      <w:r>
        <w:t>contacto</w:t>
      </w:r>
      <w:proofErr w:type="spellEnd"/>
      <w:r>
        <w:t xml:space="preserve">: </w:t>
      </w:r>
      <w:proofErr w:type="spellStart"/>
      <w:r>
        <w:t>Ederson</w:t>
      </w:r>
      <w:proofErr w:type="spellEnd"/>
      <w:r>
        <w:t xml:space="preserve"> Cabrera </w:t>
      </w:r>
      <w:hyperlink r:id="rId9" w:history="1">
        <w:r w:rsidRPr="005644BE">
          <w:rPr>
            <w:rStyle w:val="Hyperlink"/>
          </w:rPr>
          <w:t>ecabreram@ideam.gov.co</w:t>
        </w:r>
      </w:hyperlink>
      <w:r>
        <w:t xml:space="preserve">, </w:t>
      </w:r>
      <w:proofErr w:type="spellStart"/>
      <w:r>
        <w:t>coordinador</w:t>
      </w:r>
      <w:proofErr w:type="spellEnd"/>
      <w:r>
        <w:t xml:space="preserve"> del Sistema de Monitoreo de Bosques y Carbono del IDEAM, con copia a Lina Carreño </w:t>
      </w:r>
      <w:hyperlink r:id="rId10" w:history="1">
        <w:r w:rsidRPr="005644BE">
          <w:rPr>
            <w:rStyle w:val="Hyperlink"/>
          </w:rPr>
          <w:t>linamcarreno@gmail.com</w:t>
        </w:r>
      </w:hyperlink>
    </w:p>
    <w:p w:rsidR="00AD6D13" w:rsidRDefault="00AD6D13" w:rsidP="002F2E0C">
      <w:pPr>
        <w:pStyle w:val="ListParagraph"/>
        <w:numPr>
          <w:ilvl w:val="1"/>
          <w:numId w:val="15"/>
        </w:numPr>
      </w:pPr>
      <w:r>
        <w:t xml:space="preserve">Plantaciones forestales </w:t>
      </w:r>
    </w:p>
    <w:p w:rsidR="001E6D05" w:rsidRDefault="001E6D05" w:rsidP="002F2E0C">
      <w:pPr>
        <w:pStyle w:val="ListParagraph"/>
        <w:numPr>
          <w:ilvl w:val="1"/>
          <w:numId w:val="15"/>
        </w:numPr>
      </w:pPr>
      <w:r>
        <w:t>Áreas cultivadas y sembradas, cantidad cosechada (para el cálculo de productividad), de principales cultivos por municipio</w:t>
      </w:r>
    </w:p>
    <w:p w:rsidR="001E6D05" w:rsidRDefault="001E6D05" w:rsidP="002F2E0C">
      <w:pPr>
        <w:pStyle w:val="ListParagraph"/>
        <w:numPr>
          <w:ilvl w:val="1"/>
          <w:numId w:val="15"/>
        </w:numPr>
      </w:pPr>
      <w:r>
        <w:t>Número de cabezas de ganado vacuno, y producción de leche y carne, por municipio. No vamos a usar la información de cerdos, cabras, ovejas y animales menores, que solo están disponibles a escala departamental (además de características diferentes de manejo).</w:t>
      </w:r>
    </w:p>
    <w:p w:rsidR="001E6D05" w:rsidRDefault="001E6D05" w:rsidP="001E6D05"/>
    <w:p w:rsidR="00902837" w:rsidRDefault="00AD6D13" w:rsidP="00902837">
      <w:pPr>
        <w:pStyle w:val="ListParagraph"/>
        <w:numPr>
          <w:ilvl w:val="0"/>
          <w:numId w:val="19"/>
        </w:numPr>
      </w:pPr>
      <w:r>
        <w:t>Coordinar tareas de proceso de información. Es posible evaluar si podrían incluirse en subcontrat</w:t>
      </w:r>
      <w:r w:rsidR="00902837">
        <w:t>o de Milton o hacerlas en CATIE</w:t>
      </w:r>
    </w:p>
    <w:p w:rsidR="00902837" w:rsidRDefault="00902837" w:rsidP="00902837"/>
    <w:p w:rsidR="00902837" w:rsidRDefault="00902837" w:rsidP="00902837">
      <w:pPr>
        <w:pStyle w:val="ListParagraph"/>
        <w:numPr>
          <w:ilvl w:val="0"/>
          <w:numId w:val="6"/>
        </w:numPr>
        <w:rPr>
          <w:b/>
        </w:rPr>
      </w:pPr>
      <w:r w:rsidRPr="00902837">
        <w:rPr>
          <w:b/>
        </w:rPr>
        <w:t>Reprogramación de actividades</w:t>
      </w:r>
    </w:p>
    <w:p w:rsidR="00902837" w:rsidRPr="00902837" w:rsidRDefault="00902837" w:rsidP="00902837"/>
    <w:p w:rsidR="00902837" w:rsidRPr="00902837" w:rsidRDefault="00902837" w:rsidP="00902837">
      <w:pPr>
        <w:pStyle w:val="ListParagraph"/>
        <w:numPr>
          <w:ilvl w:val="0"/>
          <w:numId w:val="19"/>
        </w:numPr>
      </w:pPr>
      <w:r>
        <w:t>Las últimas actividades del proyecto deben realizarse en el primer trimestre del próximo año.</w:t>
      </w:r>
    </w:p>
    <w:p w:rsidR="00902837" w:rsidRPr="00902837" w:rsidRDefault="00902837" w:rsidP="00902837"/>
    <w:p w:rsidR="00902837" w:rsidRPr="00902837" w:rsidRDefault="00902837">
      <w:pPr>
        <w:spacing w:after="160"/>
        <w:sectPr w:rsidR="00902837" w:rsidRPr="00902837" w:rsidSect="00D54DC8"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BB7FFC" w:rsidRPr="006055CD" w:rsidRDefault="00FA21B5">
      <w:pPr>
        <w:rPr>
          <w:b/>
        </w:rPr>
      </w:pPr>
      <w:r w:rsidRPr="006055CD">
        <w:rPr>
          <w:b/>
        </w:rPr>
        <w:lastRenderedPageBreak/>
        <w:t>Anexo 1</w:t>
      </w:r>
      <w:r w:rsidR="00F6378F" w:rsidRPr="006055CD">
        <w:rPr>
          <w:b/>
        </w:rPr>
        <w:t>. Sectores y personas clave para entrevistas</w:t>
      </w:r>
    </w:p>
    <w:tbl>
      <w:tblPr>
        <w:tblStyle w:val="TableGrid"/>
        <w:tblW w:w="5100" w:type="pct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876"/>
        <w:gridCol w:w="1725"/>
        <w:gridCol w:w="2731"/>
        <w:gridCol w:w="2731"/>
        <w:gridCol w:w="3163"/>
      </w:tblGrid>
      <w:tr w:rsidR="00510283" w:rsidRPr="002C1C55" w:rsidTr="004531FC">
        <w:trPr>
          <w:tblHeader/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Sector o tema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Organización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Personas clave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Correo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Documentación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2C1C55" w:rsidRDefault="00510283">
            <w:pPr>
              <w:rPr>
                <w:b/>
                <w:sz w:val="18"/>
              </w:rPr>
            </w:pPr>
            <w:r w:rsidRPr="002C1C55">
              <w:rPr>
                <w:b/>
                <w:sz w:val="18"/>
              </w:rPr>
              <w:t>Comentarios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1 Agropecuario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F6378F" w:rsidP="00F6378F">
            <w:pPr>
              <w:rPr>
                <w:sz w:val="18"/>
              </w:rPr>
            </w:pPr>
            <w:r w:rsidRPr="00510283">
              <w:rPr>
                <w:sz w:val="18"/>
              </w:rPr>
              <w:t>Sostenibilidad Ambiental y Cambio Climático</w:t>
            </w:r>
            <w:r>
              <w:rPr>
                <w:sz w:val="18"/>
              </w:rPr>
              <w:t>, MINAGRICULTURA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F6378F">
            <w:pPr>
              <w:rPr>
                <w:sz w:val="18"/>
              </w:rPr>
            </w:pPr>
            <w:r w:rsidRPr="00510283">
              <w:rPr>
                <w:sz w:val="18"/>
              </w:rPr>
              <w:t xml:space="preserve">Nelson E. Lozano, Coordinador 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nelson.lozano@minagricultura.gov.co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Estrategia de adaptación del sector agropecuario a fenómenos climáticos. Marzo 2014. MADR</w:t>
            </w:r>
          </w:p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Plan de acción (archivo Excel)</w:t>
            </w:r>
          </w:p>
          <w:p w:rsidR="00510283" w:rsidRPr="00510283" w:rsidRDefault="00510283" w:rsidP="009C6B3E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Silvicultura: aclarar con N. Lozano si se está considerando el impacto solo en plantaciones con especies exóticas o si también se consideran plantaciones de especies nativas.</w:t>
            </w:r>
          </w:p>
          <w:p w:rsidR="00510283" w:rsidRPr="00510283" w:rsidRDefault="00510283" w:rsidP="001B0456">
            <w:pPr>
              <w:rPr>
                <w:sz w:val="18"/>
              </w:rPr>
            </w:pPr>
            <w:r w:rsidRPr="00510283">
              <w:rPr>
                <w:sz w:val="18"/>
              </w:rPr>
              <w:t>No</w:t>
            </w:r>
            <w:r w:rsidR="001B0456">
              <w:rPr>
                <w:sz w:val="18"/>
              </w:rPr>
              <w:t xml:space="preserve"> incluir de bosques </w:t>
            </w:r>
            <w:r w:rsidRPr="00510283">
              <w:rPr>
                <w:sz w:val="18"/>
              </w:rPr>
              <w:t>naturales.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1B0456">
            <w:pPr>
              <w:rPr>
                <w:sz w:val="18"/>
              </w:rPr>
            </w:pPr>
            <w:r w:rsidRPr="00510283">
              <w:rPr>
                <w:sz w:val="18"/>
              </w:rPr>
              <w:t>Dirección de Desarrollo Rural Sostenible</w:t>
            </w:r>
            <w:r w:rsidR="001B0456">
              <w:rPr>
                <w:sz w:val="18"/>
              </w:rPr>
              <w:t>, DNP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Gabriel Beltrán, Asesor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gbmunoz@dnp.gov.co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B82C93" w:rsidRPr="0056758E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  <w:r w:rsidRPr="0056758E">
              <w:rPr>
                <w:sz w:val="18"/>
              </w:rPr>
              <w:t>2 Energía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  <w:r w:rsidRPr="0056758E">
              <w:rPr>
                <w:sz w:val="18"/>
              </w:rPr>
              <w:t>Unidad de Planeación Minero Energética (UPME)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  <w:r w:rsidRPr="0056758E">
              <w:rPr>
                <w:sz w:val="18"/>
              </w:rPr>
              <w:t>Marcela Bonilla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  <w:r w:rsidRPr="0056758E">
              <w:rPr>
                <w:sz w:val="18"/>
              </w:rPr>
              <w:t>marcela.bonilla@upme.gov.co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 w:rsidP="00F6378F">
            <w:pPr>
              <w:rPr>
                <w:sz w:val="18"/>
              </w:rPr>
            </w:pPr>
            <w:r w:rsidRPr="0056758E">
              <w:rPr>
                <w:sz w:val="18"/>
              </w:rPr>
              <w:t xml:space="preserve">Estudio de </w:t>
            </w:r>
            <w:proofErr w:type="spellStart"/>
            <w:r w:rsidRPr="0056758E">
              <w:rPr>
                <w:sz w:val="18"/>
              </w:rPr>
              <w:t>vulnerabilidad</w:t>
            </w:r>
            <w:proofErr w:type="spellEnd"/>
            <w:r w:rsidRPr="0056758E">
              <w:rPr>
                <w:sz w:val="18"/>
              </w:rPr>
              <w:t xml:space="preserve"> de </w:t>
            </w:r>
            <w:proofErr w:type="spellStart"/>
            <w:r w:rsidRPr="0056758E">
              <w:rPr>
                <w:sz w:val="18"/>
              </w:rPr>
              <w:t>hidroenergía</w:t>
            </w:r>
            <w:proofErr w:type="spellEnd"/>
            <w:r w:rsidR="00F6378F" w:rsidRPr="0056758E">
              <w:rPr>
                <w:sz w:val="18"/>
              </w:rPr>
              <w:t xml:space="preserve">, </w:t>
            </w:r>
            <w:proofErr w:type="spellStart"/>
            <w:r w:rsidR="00F6378F" w:rsidRPr="0056758E">
              <w:rPr>
                <w:sz w:val="18"/>
              </w:rPr>
              <w:t>Ruta</w:t>
            </w:r>
            <w:proofErr w:type="spellEnd"/>
            <w:r w:rsidRPr="0056758E">
              <w:rPr>
                <w:sz w:val="18"/>
              </w:rPr>
              <w:t xml:space="preserve"> </w:t>
            </w:r>
            <w:proofErr w:type="spellStart"/>
            <w:r w:rsidRPr="0056758E">
              <w:rPr>
                <w:sz w:val="18"/>
              </w:rPr>
              <w:t>para</w:t>
            </w:r>
            <w:proofErr w:type="spellEnd"/>
            <w:r w:rsidRPr="0056758E">
              <w:rPr>
                <w:sz w:val="18"/>
              </w:rPr>
              <w:t xml:space="preserve"> la adaptación del sector energético frente al CC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</w:p>
        </w:tc>
      </w:tr>
      <w:tr w:rsidR="00B82C9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 w:rsidP="000E6132">
            <w:pPr>
              <w:rPr>
                <w:sz w:val="18"/>
              </w:rPr>
            </w:pPr>
            <w:r w:rsidRPr="0056758E">
              <w:rPr>
                <w:sz w:val="18"/>
              </w:rPr>
              <w:t>Oficina de Asuntos Ambientales y Sociales</w:t>
            </w:r>
            <w:r w:rsidR="000E6132" w:rsidRPr="0056758E">
              <w:rPr>
                <w:sz w:val="18"/>
              </w:rPr>
              <w:t>, MINMINAS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6758E" w:rsidRDefault="00B82C93" w:rsidP="006C7964">
            <w:pPr>
              <w:rPr>
                <w:sz w:val="18"/>
              </w:rPr>
            </w:pPr>
            <w:r w:rsidRPr="0056758E">
              <w:rPr>
                <w:sz w:val="18"/>
              </w:rPr>
              <w:t xml:space="preserve">Maria Victoria Reyes, Directora 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  <w:r w:rsidRPr="0056758E">
              <w:rPr>
                <w:sz w:val="18"/>
              </w:rPr>
              <w:t>mvreyes@minminas.gov.co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3 Minas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MINMINAS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MV Reyes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ídem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Memorias de talleres y mesa de trabajo (no hay doc. oficial)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B82C93">
            <w:pPr>
              <w:rPr>
                <w:sz w:val="18"/>
              </w:rPr>
            </w:pPr>
            <w:r w:rsidRPr="00510283">
              <w:rPr>
                <w:sz w:val="18"/>
              </w:rPr>
              <w:t>E</w:t>
            </w:r>
            <w:r w:rsidR="00B82C93">
              <w:rPr>
                <w:sz w:val="18"/>
              </w:rPr>
              <w:t>nfoque en medidas de adaptación</w:t>
            </w:r>
          </w:p>
        </w:tc>
      </w:tr>
      <w:tr w:rsidR="00E1342C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245F44">
            <w:pPr>
              <w:rPr>
                <w:sz w:val="18"/>
              </w:rPr>
            </w:pPr>
            <w:r>
              <w:rPr>
                <w:sz w:val="18"/>
              </w:rPr>
              <w:t>4 Salud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0E6132">
            <w:pPr>
              <w:rPr>
                <w:sz w:val="18"/>
              </w:rPr>
            </w:pPr>
            <w:r w:rsidRPr="00E1342C">
              <w:rPr>
                <w:sz w:val="18"/>
              </w:rPr>
              <w:t>Subdirección de Salud Ambiental</w:t>
            </w:r>
            <w:r>
              <w:rPr>
                <w:sz w:val="18"/>
              </w:rPr>
              <w:t>,</w:t>
            </w:r>
            <w:r w:rsidRPr="00E1342C">
              <w:rPr>
                <w:sz w:val="18"/>
              </w:rPr>
              <w:t xml:space="preserve"> </w:t>
            </w:r>
            <w:r>
              <w:rPr>
                <w:sz w:val="18"/>
              </w:rPr>
              <w:t>MINSALUD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E1342C">
            <w:pPr>
              <w:rPr>
                <w:sz w:val="18"/>
              </w:rPr>
            </w:pPr>
            <w:r w:rsidRPr="00E1342C">
              <w:rPr>
                <w:sz w:val="18"/>
              </w:rPr>
              <w:t>Tania E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Tibaduiza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>
            <w:pPr>
              <w:rPr>
                <w:sz w:val="18"/>
              </w:rPr>
            </w:pPr>
            <w:r w:rsidRPr="002C1C55">
              <w:rPr>
                <w:sz w:val="18"/>
              </w:rPr>
              <w:t>ttibaduiza@minsalud.gov.co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2C1C55">
            <w:pPr>
              <w:rPr>
                <w:sz w:val="18"/>
              </w:rPr>
            </w:pPr>
            <w:r w:rsidRPr="002C1C55">
              <w:rPr>
                <w:sz w:val="18"/>
              </w:rPr>
              <w:t>Lineamiento para la formulación de los planes territoriales de ACC del componente de salud ambiental, 2015</w:t>
            </w:r>
            <w:r>
              <w:rPr>
                <w:sz w:val="18"/>
              </w:rPr>
              <w:t>, m</w:t>
            </w:r>
            <w:r w:rsidRPr="002C1C55">
              <w:rPr>
                <w:sz w:val="18"/>
              </w:rPr>
              <w:t>atriz anexo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B82C93">
            <w:pPr>
              <w:rPr>
                <w:sz w:val="18"/>
              </w:rPr>
            </w:pPr>
          </w:p>
        </w:tc>
      </w:tr>
      <w:tr w:rsidR="00E1342C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245F44">
            <w:pPr>
              <w:rPr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245F44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E1342C">
            <w:pPr>
              <w:rPr>
                <w:sz w:val="18"/>
              </w:rPr>
            </w:pPr>
            <w:r w:rsidRPr="00E1342C">
              <w:rPr>
                <w:sz w:val="18"/>
              </w:rPr>
              <w:t>Lina M Guerrero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>
            <w:pPr>
              <w:rPr>
                <w:sz w:val="18"/>
              </w:rPr>
            </w:pPr>
            <w:r w:rsidRPr="002C1C55">
              <w:rPr>
                <w:sz w:val="18"/>
              </w:rPr>
              <w:t>lguerruero@minsalud.gov.co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1342C" w:rsidRPr="00510283" w:rsidRDefault="00E1342C" w:rsidP="00B82C93">
            <w:pPr>
              <w:rPr>
                <w:sz w:val="18"/>
              </w:rPr>
            </w:pPr>
          </w:p>
        </w:tc>
      </w:tr>
      <w:tr w:rsidR="002C1C55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C1C55" w:rsidRDefault="002C1C55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2C1C55" w:rsidRDefault="002C1C55">
            <w:pPr>
              <w:rPr>
                <w:sz w:val="18"/>
              </w:rPr>
            </w:pPr>
            <w:r>
              <w:rPr>
                <w:sz w:val="18"/>
              </w:rPr>
              <w:t>Subdirección de Salud, MINSALUD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55" w:rsidRPr="007D040F" w:rsidRDefault="002C1C55">
            <w:pPr>
              <w:rPr>
                <w:sz w:val="18"/>
              </w:rPr>
            </w:pPr>
            <w:r w:rsidRPr="002C1C55">
              <w:rPr>
                <w:sz w:val="18"/>
              </w:rPr>
              <w:t>Karla Mora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2C1C55" w:rsidRPr="007D040F" w:rsidRDefault="002C1C55">
            <w:pPr>
              <w:rPr>
                <w:sz w:val="18"/>
                <w:highlight w:val="yellow"/>
              </w:rPr>
            </w:pPr>
            <w:r w:rsidRPr="002C1C55">
              <w:rPr>
                <w:sz w:val="18"/>
              </w:rPr>
              <w:t>kmora@minsalud.gov.co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C1C55" w:rsidRPr="00B82C93" w:rsidRDefault="002C1C55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2C1C55" w:rsidRPr="00510283" w:rsidRDefault="002C1C55">
            <w:pPr>
              <w:rPr>
                <w:sz w:val="18"/>
              </w:rPr>
            </w:pPr>
          </w:p>
        </w:tc>
      </w:tr>
      <w:tr w:rsidR="00B82C93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  <w:r>
              <w:rPr>
                <w:sz w:val="18"/>
              </w:rPr>
              <w:t>5 Vías terrestres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7D040F">
            <w:pPr>
              <w:rPr>
                <w:sz w:val="18"/>
              </w:rPr>
            </w:pPr>
            <w:r>
              <w:rPr>
                <w:sz w:val="18"/>
              </w:rPr>
              <w:t>Viceministerio de Infraestructura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7D040F">
            <w:pPr>
              <w:rPr>
                <w:sz w:val="18"/>
              </w:rPr>
            </w:pPr>
            <w:r w:rsidRPr="00B643A2">
              <w:rPr>
                <w:sz w:val="18"/>
              </w:rPr>
              <w:t>Magda Constanza Buitrago, Asesora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7D040F">
            <w:pPr>
              <w:rPr>
                <w:sz w:val="18"/>
              </w:rPr>
            </w:pPr>
            <w:r w:rsidRPr="00B643A2">
              <w:rPr>
                <w:sz w:val="18"/>
              </w:rPr>
              <w:t>falta correo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  <w:r w:rsidRPr="00B82C93">
              <w:rPr>
                <w:sz w:val="18"/>
              </w:rPr>
              <w:t>Plan Vías CC Plan de adaptación de la red primaria de vías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</w:p>
        </w:tc>
      </w:tr>
      <w:tr w:rsidR="00B82C9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Default="00B82C93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7D040F" w:rsidP="000E6132">
            <w:pPr>
              <w:rPr>
                <w:sz w:val="18"/>
              </w:rPr>
            </w:pPr>
            <w:r>
              <w:rPr>
                <w:sz w:val="18"/>
              </w:rPr>
              <w:t>Dirección Transporte y Tránsito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7D040F">
            <w:pPr>
              <w:rPr>
                <w:sz w:val="18"/>
              </w:rPr>
            </w:pPr>
            <w:r w:rsidRPr="00B643A2">
              <w:rPr>
                <w:sz w:val="18"/>
              </w:rPr>
              <w:t>Felipe Lota, Sub Director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7D040F">
            <w:pPr>
              <w:rPr>
                <w:sz w:val="18"/>
              </w:rPr>
            </w:pPr>
            <w:r w:rsidRPr="00B643A2">
              <w:rPr>
                <w:sz w:val="18"/>
              </w:rPr>
              <w:t>falta correo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B82C93" w:rsidRDefault="00B82C9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>
            <w:pPr>
              <w:rPr>
                <w:sz w:val="18"/>
              </w:rPr>
            </w:pPr>
          </w:p>
        </w:tc>
      </w:tr>
      <w:tr w:rsidR="00B82C93" w:rsidRPr="00B3486A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>
            <w:pPr>
              <w:rPr>
                <w:sz w:val="18"/>
              </w:rPr>
            </w:pPr>
            <w:r w:rsidRPr="004531FC">
              <w:rPr>
                <w:sz w:val="18"/>
              </w:rPr>
              <w:t>6 Puertos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3486A" w:rsidRDefault="00B82C93">
            <w:pPr>
              <w:rPr>
                <w:sz w:val="18"/>
              </w:rPr>
            </w:pPr>
            <w:r w:rsidRPr="00B3486A">
              <w:rPr>
                <w:sz w:val="18"/>
              </w:rPr>
              <w:t xml:space="preserve">DCC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  <w:r w:rsidRPr="00B643A2">
              <w:rPr>
                <w:sz w:val="18"/>
              </w:rPr>
              <w:t>No determinado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 w:rsidP="00A57328">
            <w:pPr>
              <w:rPr>
                <w:sz w:val="18"/>
              </w:rPr>
            </w:pPr>
            <w:r w:rsidRPr="004531FC">
              <w:rPr>
                <w:sz w:val="18"/>
              </w:rPr>
              <w:t xml:space="preserve">Convenio INVEMAR DCC para </w:t>
            </w:r>
            <w:r w:rsidR="00CA4FF1" w:rsidRPr="004531FC">
              <w:rPr>
                <w:sz w:val="18"/>
              </w:rPr>
              <w:t>p</w:t>
            </w:r>
            <w:r w:rsidRPr="004531FC">
              <w:rPr>
                <w:sz w:val="18"/>
              </w:rPr>
              <w:t xml:space="preserve">lan </w:t>
            </w:r>
            <w:r w:rsidR="00CA4FF1" w:rsidRPr="004531FC">
              <w:rPr>
                <w:sz w:val="18"/>
              </w:rPr>
              <w:t>CC</w:t>
            </w:r>
            <w:r w:rsidRPr="004531FC">
              <w:rPr>
                <w:sz w:val="18"/>
              </w:rPr>
              <w:t xml:space="preserve"> Puertos Marítimos. </w:t>
            </w:r>
            <w:r w:rsidR="00A57328" w:rsidRPr="004531FC">
              <w:rPr>
                <w:sz w:val="18"/>
              </w:rPr>
              <w:t>Sin</w:t>
            </w:r>
            <w:r w:rsidRPr="004531FC">
              <w:rPr>
                <w:sz w:val="18"/>
              </w:rPr>
              <w:t xml:space="preserve"> productos socializados.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B3486A" w:rsidRDefault="00B82C93">
            <w:pPr>
              <w:rPr>
                <w:sz w:val="18"/>
              </w:rPr>
            </w:pPr>
          </w:p>
        </w:tc>
      </w:tr>
      <w:tr w:rsidR="00B82C93" w:rsidRPr="00B3486A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>
            <w:pPr>
              <w:rPr>
                <w:sz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2C93" w:rsidRPr="00B3486A" w:rsidRDefault="00B82C93">
            <w:pPr>
              <w:rPr>
                <w:sz w:val="18"/>
              </w:rPr>
            </w:pPr>
            <w:r w:rsidRPr="00B3486A">
              <w:rPr>
                <w:sz w:val="18"/>
              </w:rPr>
              <w:t>INVEMAR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  <w:r w:rsidRPr="00B643A2">
              <w:rPr>
                <w:sz w:val="18"/>
              </w:rPr>
              <w:t>Anny Zamora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  <w:r w:rsidRPr="00B643A2">
              <w:rPr>
                <w:sz w:val="18"/>
              </w:rPr>
              <w:t>anny.zamora@invemar.org.co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B3486A" w:rsidRDefault="00B82C93" w:rsidP="00E63E35">
            <w:pPr>
              <w:rPr>
                <w:sz w:val="18"/>
              </w:rPr>
            </w:pPr>
          </w:p>
        </w:tc>
      </w:tr>
      <w:tr w:rsidR="00B82C9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>
            <w:pPr>
              <w:rPr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B3486A" w:rsidRDefault="00B82C93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  <w:r w:rsidRPr="00B643A2">
              <w:rPr>
                <w:sz w:val="18"/>
              </w:rPr>
              <w:t>Paula Sierra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B643A2" w:rsidRDefault="00B82C93">
            <w:pPr>
              <w:rPr>
                <w:sz w:val="18"/>
              </w:rPr>
            </w:pPr>
            <w:r w:rsidRPr="00B643A2">
              <w:rPr>
                <w:sz w:val="18"/>
              </w:rPr>
              <w:t>psierra@invemar.gov.co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B82C93" w:rsidRPr="004531FC" w:rsidRDefault="00B82C9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82C93" w:rsidRPr="00510283" w:rsidRDefault="00B82C93" w:rsidP="00E63E35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4531FC" w:rsidRDefault="00510283">
            <w:pPr>
              <w:rPr>
                <w:sz w:val="18"/>
              </w:rPr>
            </w:pPr>
            <w:r w:rsidRPr="004531FC">
              <w:rPr>
                <w:sz w:val="18"/>
              </w:rPr>
              <w:t>7 Vivienda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Dirección de Políticas de Desarrollo Urbano y Territorial, Ministerio de Vivienda, Ciudad y Territorio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Martin Phillips, Encargado del Plan de Adaptación de vivienda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falta correo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4531FC" w:rsidRDefault="001B0456" w:rsidP="001B0456">
            <w:pPr>
              <w:rPr>
                <w:sz w:val="18"/>
              </w:rPr>
            </w:pPr>
            <w:r w:rsidRPr="004531FC">
              <w:rPr>
                <w:sz w:val="18"/>
              </w:rPr>
              <w:t>P</w:t>
            </w:r>
            <w:r w:rsidR="00510283" w:rsidRPr="004531FC">
              <w:rPr>
                <w:sz w:val="18"/>
              </w:rPr>
              <w:t>lanes de Bogotá, Montería y Cartagena, San Andrés, lineamientos adaptación ciudades costeras (INVEMAR)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1B0456">
            <w:pPr>
              <w:rPr>
                <w:sz w:val="18"/>
              </w:rPr>
            </w:pPr>
            <w:r w:rsidRPr="00510283">
              <w:rPr>
                <w:sz w:val="18"/>
              </w:rPr>
              <w:t xml:space="preserve">Sector urbano y agua potable: medidas de adaptación (zonas verdes para manejo de flujo hídrico), expansión urbana </w:t>
            </w:r>
            <w:r w:rsidR="001B0456">
              <w:rPr>
                <w:sz w:val="18"/>
              </w:rPr>
              <w:t>y</w:t>
            </w:r>
            <w:r w:rsidRPr="00510283">
              <w:rPr>
                <w:sz w:val="18"/>
              </w:rPr>
              <w:t xml:space="preserve"> zonas de riesgo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F779B" w:rsidRDefault="00510283">
            <w:pPr>
              <w:rPr>
                <w:sz w:val="18"/>
              </w:rPr>
            </w:pPr>
            <w:r w:rsidRPr="00C96F28">
              <w:rPr>
                <w:sz w:val="18"/>
              </w:rPr>
              <w:t>8 Pesquerías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INVEMAR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No determinado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Estudio impactos económicos es lo único que hay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0E6132">
            <w:pPr>
              <w:rPr>
                <w:sz w:val="18"/>
              </w:rPr>
            </w:pPr>
            <w:r w:rsidRPr="00510283">
              <w:rPr>
                <w:sz w:val="18"/>
              </w:rPr>
              <w:t>¿Alguien trabaja en pesquería artesanal?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F779B" w:rsidRDefault="00510283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Instituto Humboldt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No determinado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F779B" w:rsidRDefault="00510283">
            <w:pPr>
              <w:rPr>
                <w:sz w:val="18"/>
              </w:rPr>
            </w:pPr>
            <w:r w:rsidRPr="005F779B">
              <w:rPr>
                <w:sz w:val="18"/>
              </w:rPr>
              <w:t>9 Comercio y turismo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Grupo de Asuntos Ambientales y Desarrollo Sostenible, Ministerio de Comercio, Industria y Turismo (MINCIT)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proofErr w:type="spellStart"/>
            <w:r w:rsidRPr="00B643A2">
              <w:rPr>
                <w:sz w:val="18"/>
              </w:rPr>
              <w:t>Raúl</w:t>
            </w:r>
            <w:proofErr w:type="spellEnd"/>
            <w:r w:rsidRPr="00B643A2">
              <w:rPr>
                <w:sz w:val="18"/>
              </w:rPr>
              <w:t xml:space="preserve"> </w:t>
            </w:r>
            <w:proofErr w:type="spellStart"/>
            <w:r w:rsidRPr="00B643A2">
              <w:rPr>
                <w:sz w:val="18"/>
              </w:rPr>
              <w:t>Mendivelso</w:t>
            </w:r>
            <w:proofErr w:type="spellEnd"/>
            <w:r w:rsidRPr="00B643A2">
              <w:rPr>
                <w:sz w:val="18"/>
              </w:rPr>
              <w:t xml:space="preserve">, </w:t>
            </w:r>
            <w:proofErr w:type="spellStart"/>
            <w:r w:rsidRPr="00B643A2">
              <w:rPr>
                <w:sz w:val="18"/>
              </w:rPr>
              <w:t>Asesor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rmendivelso@mincit.gov.co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 w:rsidP="00FE4669">
            <w:pPr>
              <w:rPr>
                <w:sz w:val="18"/>
              </w:rPr>
            </w:pPr>
            <w:proofErr w:type="spellStart"/>
            <w:r w:rsidRPr="00B643A2">
              <w:rPr>
                <w:sz w:val="18"/>
              </w:rPr>
              <w:t>Priscila</w:t>
            </w:r>
            <w:proofErr w:type="spellEnd"/>
            <w:r w:rsidRPr="00B643A2">
              <w:rPr>
                <w:sz w:val="18"/>
              </w:rPr>
              <w:t xml:space="preserve"> </w:t>
            </w:r>
            <w:proofErr w:type="spellStart"/>
            <w:r w:rsidRPr="00B643A2">
              <w:rPr>
                <w:sz w:val="18"/>
              </w:rPr>
              <w:t>Aunta</w:t>
            </w:r>
            <w:proofErr w:type="spellEnd"/>
            <w:r w:rsidRPr="00B643A2">
              <w:rPr>
                <w:sz w:val="18"/>
              </w:rPr>
              <w:t xml:space="preserve">, </w:t>
            </w:r>
            <w:proofErr w:type="spellStart"/>
            <w:r w:rsidRPr="00B643A2">
              <w:rPr>
                <w:sz w:val="18"/>
              </w:rPr>
              <w:t>Coordinadora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paunta@mincit.gov.co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10 Agua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No determinado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A323C8">
            <w:pPr>
              <w:rPr>
                <w:sz w:val="18"/>
              </w:rPr>
            </w:pPr>
            <w:r>
              <w:rPr>
                <w:sz w:val="18"/>
              </w:rPr>
              <w:t>Estudio Nacional del Agua 2014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11 Biodiversidad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Dirección de Bosques, Biodiversidad y Servicios Ecosistémicos, MADS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Maria Claudia García, Directora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mcgarcia@minambiente.gov.co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Enfocar en filtro grueso: cobertura de ecosistemas, no en filtro fino (especies).</w:t>
            </w:r>
          </w:p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Monitoreo de cobertura forestal (con Aura)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Dirección de Cambio Climático, MADS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 w:rsidP="00F34721">
            <w:pPr>
              <w:rPr>
                <w:sz w:val="18"/>
              </w:rPr>
            </w:pPr>
            <w:r w:rsidRPr="00B643A2">
              <w:rPr>
                <w:sz w:val="18"/>
              </w:rPr>
              <w:t>Aura Robayo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arobayo@minambiente.gov.co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245F44">
            <w:pPr>
              <w:rPr>
                <w:sz w:val="18"/>
              </w:rPr>
            </w:pPr>
            <w:r w:rsidRPr="00510283">
              <w:rPr>
                <w:sz w:val="18"/>
              </w:rPr>
              <w:t>Instituto Humboldt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 w:rsidP="00F6378F">
            <w:pPr>
              <w:rPr>
                <w:sz w:val="18"/>
              </w:rPr>
            </w:pPr>
            <w:r w:rsidRPr="00B643A2">
              <w:rPr>
                <w:sz w:val="18"/>
              </w:rPr>
              <w:t>M Cecilia Londoño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mlondono@humboldt.org.co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12 Seguridad alimentaria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Observatorio Nacional de Seguridad Alimentaria y Nutricional</w:t>
            </w:r>
            <w:r w:rsidR="00F6378F">
              <w:rPr>
                <w:sz w:val="18"/>
              </w:rPr>
              <w:t xml:space="preserve"> (OSAN)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  <w:r w:rsidRPr="00B643A2">
              <w:rPr>
                <w:sz w:val="18"/>
              </w:rPr>
              <w:t>Diana pregunta a Carla Mora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B643A2" w:rsidRDefault="00510283">
            <w:pPr>
              <w:rPr>
                <w:sz w:val="18"/>
              </w:rPr>
            </w:pP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13 Riesgos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Unidad Nacional para la  Gestión del Riesgo de Desastres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Andrea Zapata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andrea.zapata@gestiondelriesgo.gov.co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FA21B5">
            <w:pPr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FA21B5">
            <w:pPr>
              <w:rPr>
                <w:sz w:val="18"/>
              </w:rPr>
            </w:pPr>
            <w:r w:rsidRPr="00510283">
              <w:rPr>
                <w:sz w:val="18"/>
              </w:rPr>
              <w:t>Enfoque en Información disponible (históricos de daños y pérdidas)</w:t>
            </w:r>
          </w:p>
        </w:tc>
      </w:tr>
      <w:tr w:rsidR="00510283" w:rsidRPr="00510283" w:rsidTr="004531FC">
        <w:trPr>
          <w:jc w:val="center"/>
        </w:trPr>
        <w:tc>
          <w:tcPr>
            <w:tcW w:w="155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FA21B5">
            <w:pPr>
              <w:rPr>
                <w:sz w:val="18"/>
              </w:rPr>
            </w:pPr>
            <w:r w:rsidRPr="00510283">
              <w:rPr>
                <w:sz w:val="18"/>
              </w:rPr>
              <w:t>14 Áreas Protegidas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FA21B5">
            <w:pPr>
              <w:rPr>
                <w:sz w:val="18"/>
              </w:rPr>
            </w:pPr>
            <w:r w:rsidRPr="00510283">
              <w:rPr>
                <w:sz w:val="18"/>
              </w:rPr>
              <w:t>Parques Nacionales Naturales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Guisela Paredes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>
            <w:pPr>
              <w:rPr>
                <w:sz w:val="18"/>
              </w:rPr>
            </w:pPr>
            <w:r w:rsidRPr="00510283">
              <w:rPr>
                <w:sz w:val="18"/>
              </w:rPr>
              <w:t>gisela.paredes@parquesnacionales.gov.co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510283" w:rsidRPr="00510283" w:rsidRDefault="00510283" w:rsidP="009C6B3E">
            <w:pPr>
              <w:rPr>
                <w:sz w:val="18"/>
              </w:rPr>
            </w:pPr>
            <w:r w:rsidRPr="00510283">
              <w:rPr>
                <w:sz w:val="18"/>
              </w:rPr>
              <w:t>Enfoque en medidas de adaptación</w:t>
            </w:r>
          </w:p>
        </w:tc>
      </w:tr>
    </w:tbl>
    <w:p w:rsidR="00BB1FA6" w:rsidRDefault="00BB1FA6">
      <w:pPr>
        <w:spacing w:after="160"/>
        <w:sectPr w:rsidR="00BB1FA6" w:rsidSect="00510283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BB7FFC" w:rsidRPr="006055CD" w:rsidRDefault="00BB7FFC" w:rsidP="00BB7FFC">
      <w:pPr>
        <w:rPr>
          <w:b/>
        </w:rPr>
      </w:pPr>
      <w:r w:rsidRPr="006055CD">
        <w:rPr>
          <w:b/>
        </w:rPr>
        <w:lastRenderedPageBreak/>
        <w:t>Anexo</w:t>
      </w:r>
      <w:r w:rsidR="00FA21B5" w:rsidRPr="006055CD">
        <w:rPr>
          <w:b/>
        </w:rPr>
        <w:t xml:space="preserve"> 2</w:t>
      </w:r>
      <w:r w:rsidR="006055CD" w:rsidRPr="006055CD">
        <w:rPr>
          <w:b/>
        </w:rPr>
        <w:t>. Actividades del viaje</w:t>
      </w:r>
    </w:p>
    <w:p w:rsidR="00BB7FFC" w:rsidRDefault="00BB7FFC" w:rsidP="00BB7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B7FFC" w:rsidRPr="00BC2C00" w:rsidTr="00A3102F">
        <w:tc>
          <w:tcPr>
            <w:tcW w:w="988" w:type="dxa"/>
          </w:tcPr>
          <w:p w:rsidR="00BB7FFC" w:rsidRPr="00BC2C00" w:rsidRDefault="00BB7FFC" w:rsidP="00A3102F">
            <w:pPr>
              <w:rPr>
                <w:b/>
              </w:rPr>
            </w:pPr>
            <w:r w:rsidRPr="00BC2C00">
              <w:rPr>
                <w:b/>
              </w:rPr>
              <w:t>DÍA</w:t>
            </w:r>
          </w:p>
        </w:tc>
        <w:tc>
          <w:tcPr>
            <w:tcW w:w="8028" w:type="dxa"/>
          </w:tcPr>
          <w:p w:rsidR="00BB7FFC" w:rsidRPr="00BC2C00" w:rsidRDefault="00BB7FFC" w:rsidP="00A3102F">
            <w:pPr>
              <w:rPr>
                <w:b/>
              </w:rPr>
            </w:pPr>
            <w:r>
              <w:rPr>
                <w:b/>
              </w:rPr>
              <w:t>PRINCIPALES A</w:t>
            </w:r>
            <w:r w:rsidRPr="00BC2C00">
              <w:rPr>
                <w:b/>
              </w:rPr>
              <w:t>CTIVIDADES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17 08</w:t>
            </w:r>
          </w:p>
        </w:tc>
        <w:tc>
          <w:tcPr>
            <w:tcW w:w="8028" w:type="dxa"/>
          </w:tcPr>
          <w:p w:rsidR="00BB7FFC" w:rsidRDefault="00BB7FFC" w:rsidP="00A3102F">
            <w:r>
              <w:t>Viaje Turrialba – San José – Bogotá (pm)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18 08</w:t>
            </w:r>
          </w:p>
        </w:tc>
        <w:tc>
          <w:tcPr>
            <w:tcW w:w="8028" w:type="dxa"/>
          </w:tcPr>
          <w:p w:rsidR="00BB7FFC" w:rsidRDefault="00BB7FFC" w:rsidP="00A3102F">
            <w:r>
              <w:t>Reunión Camila Rodríguez y Maritza Florian (Dirección de Cambio Climático  - Ministerio de Ambiente y Desarrollo Sostenible) y C Bouroncle (CATIE)</w:t>
            </w:r>
          </w:p>
          <w:p w:rsidR="00BB7FFC" w:rsidRDefault="00BB7FFC" w:rsidP="00A3102F">
            <w:r>
              <w:t>Lugar y hora: DCC – IDEAM, 2 – 6 pm</w:t>
            </w:r>
          </w:p>
          <w:p w:rsidR="00BB7FFC" w:rsidRDefault="00BB7FFC" w:rsidP="00245F44">
            <w:r>
              <w:t>Temas: estado actual del proyecto y principales retrasos, respuestas de DTU y CATIE a preguntas específicas sobre tipos de indicadores utilizados en planes de adaptación, comunicaciones nacionales y otras instancias; institucionalización de los indicadores, revisión de la agenda de la semana, preparación de la reunión con IDEAM y DCC del 19 08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19 08</w:t>
            </w:r>
          </w:p>
        </w:tc>
        <w:tc>
          <w:tcPr>
            <w:tcW w:w="8028" w:type="dxa"/>
          </w:tcPr>
          <w:p w:rsidR="00BB7FFC" w:rsidRDefault="00BB7FFC" w:rsidP="00A3102F">
            <w:r>
              <w:t xml:space="preserve">Reunión C Rodríguez, M Florian, M Toro y J Gutiérrez (III Comunicación Nacional - IDEAM), C Bouroncle y B Louman (CATIE) </w:t>
            </w:r>
          </w:p>
          <w:p w:rsidR="00BB7FFC" w:rsidRDefault="00BB7FFC" w:rsidP="00A3102F">
            <w:r>
              <w:t>Lugar y hora: IDEAM, 8:30 – 11:30 am</w:t>
            </w:r>
          </w:p>
          <w:p w:rsidR="00BB7FFC" w:rsidRDefault="00BB7FFC" w:rsidP="006055CD">
            <w:r>
              <w:t xml:space="preserve">Temas: los mismos de la reunión del día anterior, con especificidad en </w:t>
            </w:r>
            <w:r w:rsidR="006055CD">
              <w:t>acuerdos sobre definición de indicadores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19 08</w:t>
            </w:r>
          </w:p>
        </w:tc>
        <w:tc>
          <w:tcPr>
            <w:tcW w:w="8028" w:type="dxa"/>
          </w:tcPr>
          <w:p w:rsidR="00BB7FFC" w:rsidRDefault="00BB7FFC" w:rsidP="00A3102F">
            <w:r>
              <w:t>Reunión C Rodríguez, M Florian, D Hernández, B Louman y C Bouroncle</w:t>
            </w:r>
          </w:p>
          <w:p w:rsidR="00BB7FFC" w:rsidRDefault="00BB7FFC" w:rsidP="00A3102F">
            <w:r>
              <w:t>Lugar y hora: Hotel Ibis, 12:00 – 2:00 pm</w:t>
            </w:r>
          </w:p>
          <w:p w:rsidR="00BB7FFC" w:rsidRDefault="00BB7FFC" w:rsidP="00245F44">
            <w:r>
              <w:t>Temas:</w:t>
            </w:r>
            <w:r w:rsidR="006055CD">
              <w:t xml:space="preserve"> los mismos, con especificidad en responsabilidad de definición de prioridades a través de encuestas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19 08</w:t>
            </w:r>
          </w:p>
        </w:tc>
        <w:tc>
          <w:tcPr>
            <w:tcW w:w="8028" w:type="dxa"/>
          </w:tcPr>
          <w:p w:rsidR="00BB7FFC" w:rsidRDefault="00BB7FFC" w:rsidP="00A3102F">
            <w:r>
              <w:t>Reunión B Louman</w:t>
            </w:r>
            <w:r w:rsidR="002F2E0C">
              <w:t>, C Bouroncle</w:t>
            </w:r>
          </w:p>
          <w:p w:rsidR="00BB7FFC" w:rsidRDefault="00BB7FFC" w:rsidP="00A3102F">
            <w:r>
              <w:t>Lugar y hora: Hotel Ibis, 4:00 – 6:00 pm</w:t>
            </w:r>
          </w:p>
          <w:p w:rsidR="00BB7FFC" w:rsidRDefault="00BB7FFC" w:rsidP="00245F44">
            <w:r>
              <w:t>Temas: informes y necesidades de modificación de presupuesto y cronograma del proyecto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20 08</w:t>
            </w:r>
          </w:p>
        </w:tc>
        <w:tc>
          <w:tcPr>
            <w:tcW w:w="8028" w:type="dxa"/>
          </w:tcPr>
          <w:p w:rsidR="00BB7FFC" w:rsidRDefault="00BB7FFC" w:rsidP="00A3102F">
            <w:r>
              <w:t>Reunión C Rodríguez, D Hernández y C Bouroncle</w:t>
            </w:r>
          </w:p>
          <w:p w:rsidR="00BB7FFC" w:rsidRDefault="00BB7FFC" w:rsidP="00A3102F">
            <w:r>
              <w:t>Lugar y hora: DNP, 9:30 – 12:30</w:t>
            </w:r>
          </w:p>
          <w:p w:rsidR="00BB7FFC" w:rsidRDefault="00BB7FFC" w:rsidP="00245F44">
            <w:r>
              <w:t>Temas</w:t>
            </w:r>
            <w:r w:rsidR="006055CD">
              <w:t>: personas clave a ser entrevistadas y documentos para revisar prioridades sectoriales de ACC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20 08</w:t>
            </w:r>
          </w:p>
        </w:tc>
        <w:tc>
          <w:tcPr>
            <w:tcW w:w="8028" w:type="dxa"/>
          </w:tcPr>
          <w:p w:rsidR="00BB7FFC" w:rsidRDefault="00BB7FFC" w:rsidP="00A3102F">
            <w:r>
              <w:t xml:space="preserve">Reunión Milton </w:t>
            </w:r>
            <w:r w:rsidR="006055CD">
              <w:t>Romero</w:t>
            </w:r>
            <w:r w:rsidR="00DC4474">
              <w:t>,</w:t>
            </w:r>
            <w:r>
              <w:t xml:space="preserve"> C Bouroncle </w:t>
            </w:r>
          </w:p>
          <w:p w:rsidR="00BB7FFC" w:rsidRDefault="00BB7FFC" w:rsidP="00A3102F">
            <w:r>
              <w:t>Lugar y hora: Hotel Ibis, 4:00 – 6:00 pm</w:t>
            </w:r>
          </w:p>
          <w:p w:rsidR="00BB7FFC" w:rsidRDefault="00BB7FFC" w:rsidP="006055CD">
            <w:r>
              <w:t>Temas</w:t>
            </w:r>
            <w:r w:rsidR="00245F44">
              <w:t xml:space="preserve">: </w:t>
            </w:r>
            <w:r w:rsidR="006055CD">
              <w:t xml:space="preserve">contacto para evaluar disponibilidad para consultoría sobre línea de base y bases del contrato 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21 08</w:t>
            </w:r>
          </w:p>
        </w:tc>
        <w:tc>
          <w:tcPr>
            <w:tcW w:w="8028" w:type="dxa"/>
          </w:tcPr>
          <w:p w:rsidR="00BB7FFC" w:rsidRDefault="00BB7FFC" w:rsidP="00A3102F">
            <w:r>
              <w:t>Reunión C Rodríguez, M Florian, C Bouroncle</w:t>
            </w:r>
          </w:p>
          <w:p w:rsidR="00BB7FFC" w:rsidRDefault="00BB7FFC" w:rsidP="00A3102F">
            <w:r>
              <w:t>Lugar y hora: DCC – IDEAM, 9:00 – 12:00</w:t>
            </w:r>
          </w:p>
          <w:p w:rsidR="00BB7FFC" w:rsidRDefault="00BB7FFC" w:rsidP="00245F44">
            <w:r>
              <w:t>Temas</w:t>
            </w:r>
            <w:r w:rsidR="00245F44">
              <w:t>:</w:t>
            </w:r>
            <w:r w:rsidR="00BE3C4E">
              <w:t xml:space="preserve"> definición de personas clave para entrevistas de temas transversales, información disponible para temas transversales, base de capas de información</w:t>
            </w:r>
          </w:p>
        </w:tc>
      </w:tr>
      <w:tr w:rsidR="00BB7FFC" w:rsidTr="00A3102F">
        <w:tc>
          <w:tcPr>
            <w:tcW w:w="988" w:type="dxa"/>
          </w:tcPr>
          <w:p w:rsidR="00BB7FFC" w:rsidRDefault="00BB7FFC" w:rsidP="00A3102F">
            <w:r>
              <w:t>21 08</w:t>
            </w:r>
          </w:p>
        </w:tc>
        <w:tc>
          <w:tcPr>
            <w:tcW w:w="8028" w:type="dxa"/>
          </w:tcPr>
          <w:p w:rsidR="00BB7FFC" w:rsidRDefault="00BB7FFC" w:rsidP="00A3102F">
            <w:r>
              <w:t>Viaje de regreso (pm)</w:t>
            </w:r>
          </w:p>
        </w:tc>
      </w:tr>
    </w:tbl>
    <w:p w:rsidR="00BB7FFC" w:rsidRDefault="00BB7FFC" w:rsidP="00BB7FFC"/>
    <w:p w:rsidR="00C47957" w:rsidRPr="0044068D" w:rsidRDefault="00C47957"/>
    <w:sectPr w:rsidR="00C47957" w:rsidRPr="0044068D" w:rsidSect="00D54DC8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0D" w:rsidRDefault="0027450D" w:rsidP="004E4EBA">
      <w:pPr>
        <w:spacing w:line="240" w:lineRule="auto"/>
      </w:pPr>
      <w:r>
        <w:separator/>
      </w:r>
    </w:p>
  </w:endnote>
  <w:endnote w:type="continuationSeparator" w:id="0">
    <w:p w:rsidR="0027450D" w:rsidRDefault="0027450D" w:rsidP="004E4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0D" w:rsidRDefault="0027450D" w:rsidP="004E4EBA">
      <w:pPr>
        <w:spacing w:line="240" w:lineRule="auto"/>
      </w:pPr>
      <w:r>
        <w:separator/>
      </w:r>
    </w:p>
  </w:footnote>
  <w:footnote w:type="continuationSeparator" w:id="0">
    <w:p w:rsidR="0027450D" w:rsidRDefault="0027450D" w:rsidP="004E4EBA">
      <w:pPr>
        <w:spacing w:line="240" w:lineRule="auto"/>
      </w:pPr>
      <w:r>
        <w:continuationSeparator/>
      </w:r>
    </w:p>
  </w:footnote>
  <w:footnote w:id="1">
    <w:p w:rsidR="00A3102F" w:rsidRDefault="00A310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7CF1">
        <w:t xml:space="preserve">Además de las bases del Plan, revisar </w:t>
      </w:r>
      <w:r>
        <w:t xml:space="preserve">también </w:t>
      </w:r>
      <w:r w:rsidRPr="00317CF1">
        <w:t>artículo 170 de la Ley 1753 del 2015</w:t>
      </w:r>
    </w:p>
  </w:footnote>
  <w:footnote w:id="2">
    <w:p w:rsidR="00A3102F" w:rsidRDefault="00A3102F">
      <w:pPr>
        <w:pStyle w:val="FootnoteText"/>
      </w:pPr>
      <w:r>
        <w:rPr>
          <w:rStyle w:val="FootnoteReference"/>
        </w:rPr>
        <w:footnoteRef/>
      </w:r>
      <w:r>
        <w:t xml:space="preserve"> Los índices implican la consideración de una estructura y procesos de agregación y ponderación que</w:t>
      </w:r>
      <w:r w:rsidR="00FB576A">
        <w:t xml:space="preserve"> no necesariamente están relacionados con los objetivos de la estructura de indicadores para ACC.</w:t>
      </w:r>
    </w:p>
  </w:footnote>
  <w:footnote w:id="3">
    <w:p w:rsidR="00FE362F" w:rsidRDefault="00FE362F">
      <w:pPr>
        <w:pStyle w:val="FootnoteText"/>
      </w:pPr>
      <w:r>
        <w:rPr>
          <w:rStyle w:val="FootnoteReference"/>
        </w:rPr>
        <w:footnoteRef/>
      </w:r>
      <w:r>
        <w:t xml:space="preserve"> Las fechas fueron reprogramadas en Octubre 2015 por retrasos en la aplicación de las entrevistas.</w:t>
      </w:r>
    </w:p>
  </w:footnote>
  <w:footnote w:id="4">
    <w:p w:rsidR="00A3102F" w:rsidRDefault="00A3102F" w:rsidP="00BB7FFC">
      <w:pPr>
        <w:pStyle w:val="FootnoteText"/>
      </w:pPr>
      <w:r>
        <w:rPr>
          <w:rStyle w:val="FootnoteReference"/>
        </w:rPr>
        <w:footnoteRef/>
      </w:r>
      <w:r>
        <w:t xml:space="preserve"> Respuestas</w:t>
      </w:r>
      <w:r w:rsidR="003E0BE9">
        <w:t xml:space="preserve"> para esta y la siguiente pregunta</w:t>
      </w:r>
      <w:r>
        <w:t xml:space="preserve"> preparadas por DTU y CATIE a preguntas formuladas por </w:t>
      </w:r>
      <w:r w:rsidRPr="00BB7FFC">
        <w:t xml:space="preserve">C Rodríguez y M Florian (Skype </w:t>
      </w:r>
      <w:r w:rsidR="00471A27">
        <w:t>6 de agosto</w:t>
      </w:r>
      <w:r w:rsidRPr="00BB7FFC">
        <w:t>)</w:t>
      </w:r>
      <w:r>
        <w:t>. Para mayor desarrollo, ver Anexo 2.</w:t>
      </w:r>
    </w:p>
  </w:footnote>
  <w:footnote w:id="5">
    <w:p w:rsidR="00471A27" w:rsidRDefault="00471A27">
      <w:pPr>
        <w:pStyle w:val="FootnoteText"/>
      </w:pPr>
      <w:r>
        <w:rPr>
          <w:rStyle w:val="FootnoteReference"/>
        </w:rPr>
        <w:footnoteRef/>
      </w:r>
      <w:r>
        <w:t xml:space="preserve"> Para este documento, utilizados el concepto sistema como representación de un conjunto de indicadores, las relaciones entre ellos y de las organizaciones que les dan seguimiento, intercambian información y los utilizan para tomar decisiones. Se hace esta aclaración pues el término sistema en Colombia puede referirse a una instancia del estado según aclaró Max Toro en la reunión del 7 de julio.</w:t>
      </w:r>
    </w:p>
  </w:footnote>
  <w:footnote w:id="6">
    <w:p w:rsidR="00541AF6" w:rsidRDefault="00541AF6">
      <w:pPr>
        <w:pStyle w:val="FootnoteText"/>
      </w:pPr>
      <w:r>
        <w:rPr>
          <w:rStyle w:val="FootnoteReference"/>
        </w:rPr>
        <w:footnoteRef/>
      </w:r>
      <w:r>
        <w:t xml:space="preserve"> Este tema se desarrolló principalmente durante la reunión del miércoles AM en el IDEAM.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A05"/>
    <w:multiLevelType w:val="hybridMultilevel"/>
    <w:tmpl w:val="98C2F0F4"/>
    <w:lvl w:ilvl="0" w:tplc="840AF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A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81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8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A8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2E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42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4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6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DB0DE3"/>
    <w:multiLevelType w:val="hybridMultilevel"/>
    <w:tmpl w:val="D5A6FCE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664E7"/>
    <w:multiLevelType w:val="hybridMultilevel"/>
    <w:tmpl w:val="459E29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60763"/>
    <w:multiLevelType w:val="hybridMultilevel"/>
    <w:tmpl w:val="3D484182"/>
    <w:lvl w:ilvl="0" w:tplc="98BA8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26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0D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66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8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8D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0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26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62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6D21D8"/>
    <w:multiLevelType w:val="hybridMultilevel"/>
    <w:tmpl w:val="4ED49F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615"/>
    <w:multiLevelType w:val="hybridMultilevel"/>
    <w:tmpl w:val="F2F4FD1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2D10"/>
    <w:multiLevelType w:val="hybridMultilevel"/>
    <w:tmpl w:val="F3280F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C1D73"/>
    <w:multiLevelType w:val="hybridMultilevel"/>
    <w:tmpl w:val="0E88B6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9395C"/>
    <w:multiLevelType w:val="hybridMultilevel"/>
    <w:tmpl w:val="892249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7652E"/>
    <w:multiLevelType w:val="hybridMultilevel"/>
    <w:tmpl w:val="A844EA06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9F69AA"/>
    <w:multiLevelType w:val="hybridMultilevel"/>
    <w:tmpl w:val="C1B854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A4D0A"/>
    <w:multiLevelType w:val="hybridMultilevel"/>
    <w:tmpl w:val="9F3061D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64957"/>
    <w:multiLevelType w:val="hybridMultilevel"/>
    <w:tmpl w:val="5E4CE97E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5E5890"/>
    <w:multiLevelType w:val="hybridMultilevel"/>
    <w:tmpl w:val="8E7A729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B7F03"/>
    <w:multiLevelType w:val="hybridMultilevel"/>
    <w:tmpl w:val="077EB31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A4766"/>
    <w:multiLevelType w:val="hybridMultilevel"/>
    <w:tmpl w:val="3B2A179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55B03"/>
    <w:multiLevelType w:val="hybridMultilevel"/>
    <w:tmpl w:val="A268F2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9744C"/>
    <w:multiLevelType w:val="hybridMultilevel"/>
    <w:tmpl w:val="C96A7A36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A77610"/>
    <w:multiLevelType w:val="hybridMultilevel"/>
    <w:tmpl w:val="278804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"/>
  </w:num>
  <w:num w:numId="5">
    <w:abstractNumId w:val="16"/>
  </w:num>
  <w:num w:numId="6">
    <w:abstractNumId w:val="17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56"/>
    <w:rsid w:val="00045CF9"/>
    <w:rsid w:val="0008058B"/>
    <w:rsid w:val="000B76C8"/>
    <w:rsid w:val="000C281C"/>
    <w:rsid w:val="000E6132"/>
    <w:rsid w:val="0010397E"/>
    <w:rsid w:val="00142BF3"/>
    <w:rsid w:val="00156437"/>
    <w:rsid w:val="00162966"/>
    <w:rsid w:val="001B0456"/>
    <w:rsid w:val="001E2458"/>
    <w:rsid w:val="001E6D05"/>
    <w:rsid w:val="00221182"/>
    <w:rsid w:val="00245F44"/>
    <w:rsid w:val="0027450D"/>
    <w:rsid w:val="00274C8E"/>
    <w:rsid w:val="002C1C55"/>
    <w:rsid w:val="002D61E4"/>
    <w:rsid w:val="002F2E0C"/>
    <w:rsid w:val="002F46FD"/>
    <w:rsid w:val="002F5CFD"/>
    <w:rsid w:val="002F6B71"/>
    <w:rsid w:val="00317CF1"/>
    <w:rsid w:val="00333981"/>
    <w:rsid w:val="003A40FF"/>
    <w:rsid w:val="003D4F30"/>
    <w:rsid w:val="003E0BE9"/>
    <w:rsid w:val="0044068D"/>
    <w:rsid w:val="004531FC"/>
    <w:rsid w:val="00471A27"/>
    <w:rsid w:val="004736FC"/>
    <w:rsid w:val="004A1CCE"/>
    <w:rsid w:val="004A1DCB"/>
    <w:rsid w:val="004E4EBA"/>
    <w:rsid w:val="005027DA"/>
    <w:rsid w:val="0051015B"/>
    <w:rsid w:val="00510283"/>
    <w:rsid w:val="0051067A"/>
    <w:rsid w:val="00510F95"/>
    <w:rsid w:val="005249A3"/>
    <w:rsid w:val="00541AF6"/>
    <w:rsid w:val="0056758E"/>
    <w:rsid w:val="005C6C56"/>
    <w:rsid w:val="005F319E"/>
    <w:rsid w:val="005F4635"/>
    <w:rsid w:val="005F779B"/>
    <w:rsid w:val="006055CD"/>
    <w:rsid w:val="00606155"/>
    <w:rsid w:val="00623573"/>
    <w:rsid w:val="00636117"/>
    <w:rsid w:val="006A03D2"/>
    <w:rsid w:val="006C7964"/>
    <w:rsid w:val="00713B65"/>
    <w:rsid w:val="0076074E"/>
    <w:rsid w:val="007D040F"/>
    <w:rsid w:val="007D2B20"/>
    <w:rsid w:val="007D51CA"/>
    <w:rsid w:val="007E6948"/>
    <w:rsid w:val="00806E38"/>
    <w:rsid w:val="008376DB"/>
    <w:rsid w:val="008747D3"/>
    <w:rsid w:val="00882E31"/>
    <w:rsid w:val="008923DB"/>
    <w:rsid w:val="008A77B0"/>
    <w:rsid w:val="00902837"/>
    <w:rsid w:val="00933B3C"/>
    <w:rsid w:val="00935ABE"/>
    <w:rsid w:val="00976572"/>
    <w:rsid w:val="009A1290"/>
    <w:rsid w:val="009A768D"/>
    <w:rsid w:val="009C63A0"/>
    <w:rsid w:val="009C6B3E"/>
    <w:rsid w:val="00A27D94"/>
    <w:rsid w:val="00A3102F"/>
    <w:rsid w:val="00A323C8"/>
    <w:rsid w:val="00A379F7"/>
    <w:rsid w:val="00A57328"/>
    <w:rsid w:val="00A63382"/>
    <w:rsid w:val="00A727AC"/>
    <w:rsid w:val="00AD6D13"/>
    <w:rsid w:val="00AE78DF"/>
    <w:rsid w:val="00B0405B"/>
    <w:rsid w:val="00B24F59"/>
    <w:rsid w:val="00B317E9"/>
    <w:rsid w:val="00B3486A"/>
    <w:rsid w:val="00B431ED"/>
    <w:rsid w:val="00B505DA"/>
    <w:rsid w:val="00B643A2"/>
    <w:rsid w:val="00B80969"/>
    <w:rsid w:val="00B82C93"/>
    <w:rsid w:val="00B85A78"/>
    <w:rsid w:val="00B95546"/>
    <w:rsid w:val="00BA36E2"/>
    <w:rsid w:val="00BA5CDD"/>
    <w:rsid w:val="00BB1FA6"/>
    <w:rsid w:val="00BB7FFC"/>
    <w:rsid w:val="00BC2C00"/>
    <w:rsid w:val="00BE3C4E"/>
    <w:rsid w:val="00BF2BCF"/>
    <w:rsid w:val="00C47957"/>
    <w:rsid w:val="00C66AAF"/>
    <w:rsid w:val="00C66CBB"/>
    <w:rsid w:val="00C96F28"/>
    <w:rsid w:val="00CA4FF1"/>
    <w:rsid w:val="00D14716"/>
    <w:rsid w:val="00D54DC8"/>
    <w:rsid w:val="00D907D6"/>
    <w:rsid w:val="00DC4474"/>
    <w:rsid w:val="00DE0C81"/>
    <w:rsid w:val="00DE50AD"/>
    <w:rsid w:val="00DE7647"/>
    <w:rsid w:val="00E1342C"/>
    <w:rsid w:val="00E1654F"/>
    <w:rsid w:val="00E266DD"/>
    <w:rsid w:val="00E465E1"/>
    <w:rsid w:val="00E514FB"/>
    <w:rsid w:val="00E63E35"/>
    <w:rsid w:val="00E97DFF"/>
    <w:rsid w:val="00EE679A"/>
    <w:rsid w:val="00F34721"/>
    <w:rsid w:val="00F367B7"/>
    <w:rsid w:val="00F56433"/>
    <w:rsid w:val="00F6378F"/>
    <w:rsid w:val="00F73EC4"/>
    <w:rsid w:val="00FA21B5"/>
    <w:rsid w:val="00FA3F96"/>
    <w:rsid w:val="00FB576A"/>
    <w:rsid w:val="00FD414F"/>
    <w:rsid w:val="00FE26B4"/>
    <w:rsid w:val="00FE362F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B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5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E4E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E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B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8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5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E4EB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E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namcarren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abreram@ideam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B5AE-E43E-428A-9736-1D129B5D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2640</Words>
  <Characters>15050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 House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Bouroncle Seoane</dc:creator>
  <cp:lastModifiedBy>Sandra Bry</cp:lastModifiedBy>
  <cp:revision>2</cp:revision>
  <dcterms:created xsi:type="dcterms:W3CDTF">2015-10-20T15:26:00Z</dcterms:created>
  <dcterms:modified xsi:type="dcterms:W3CDTF">2015-10-20T15:26:00Z</dcterms:modified>
</cp:coreProperties>
</file>