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EF88C" w14:textId="45504347" w:rsidR="00916574" w:rsidRPr="00E35798" w:rsidRDefault="002B25CD" w:rsidP="00D16E24">
      <w:pPr>
        <w:spacing w:after="120" w:line="240" w:lineRule="auto"/>
        <w:contextualSpacing w:val="0"/>
        <w:jc w:val="center"/>
      </w:pPr>
      <w:r>
        <w:rPr>
          <w:noProof/>
        </w:rPr>
        <mc:AlternateContent>
          <mc:Choice Requires="wps">
            <w:drawing>
              <wp:anchor distT="0" distB="0" distL="114300" distR="114300" simplePos="0" relativeHeight="251658242" behindDoc="1" locked="1" layoutInCell="1" allowOverlap="1" wp14:anchorId="02AD1E3C" wp14:editId="59B45A78">
                <wp:simplePos x="0" y="0"/>
                <wp:positionH relativeFrom="page">
                  <wp:posOffset>-6743700</wp:posOffset>
                </wp:positionH>
                <wp:positionV relativeFrom="page">
                  <wp:posOffset>-144780</wp:posOffset>
                </wp:positionV>
                <wp:extent cx="6743700" cy="10836275"/>
                <wp:effectExtent l="0" t="0" r="0" b="3175"/>
                <wp:wrapNone/>
                <wp:docPr id="46" name="Rectangle 46"/>
                <wp:cNvGraphicFramePr/>
                <a:graphic xmlns:a="http://schemas.openxmlformats.org/drawingml/2006/main">
                  <a:graphicData uri="http://schemas.microsoft.com/office/word/2010/wordprocessingShape">
                    <wps:wsp>
                      <wps:cNvSpPr/>
                      <wps:spPr>
                        <a:xfrm>
                          <a:off x="0" y="0"/>
                          <a:ext cx="6743700" cy="10836275"/>
                        </a:xfrm>
                        <a:prstGeom prst="rect">
                          <a:avLst/>
                        </a:prstGeom>
                        <a:solidFill>
                          <a:srgbClr val="FFFFFF"/>
                        </a:solidFill>
                        <a:ln w="12700" cap="flat" cmpd="sng" algn="ctr">
                          <a:noFill/>
                          <a:prstDash val="solid"/>
                          <a:miter lim="800000"/>
                        </a:ln>
                        <a:effectLst/>
                      </wps:spPr>
                      <wps:txbx>
                        <w:txbxContent>
                          <w:p w14:paraId="487235B0" w14:textId="77777777" w:rsidR="002B25CD" w:rsidRPr="00E35798" w:rsidRDefault="002B25CD" w:rsidP="002B25CD">
                            <w:pPr>
                              <w:jc w:val="center"/>
                            </w:pPr>
                          </w:p>
                          <w:p w14:paraId="60827B86" w14:textId="77777777" w:rsidR="002B25CD" w:rsidRPr="00E35798" w:rsidRDefault="002B25CD" w:rsidP="002B25CD">
                            <w:pPr>
                              <w:jc w:val="center"/>
                            </w:pPr>
                          </w:p>
                          <w:p w14:paraId="08C9B4AD" w14:textId="77777777" w:rsidR="002B25CD" w:rsidRPr="00E35798" w:rsidRDefault="002B25CD" w:rsidP="002B25CD">
                            <w:pPr>
                              <w:jc w:val="center"/>
                            </w:pPr>
                          </w:p>
                          <w:p w14:paraId="3D250107" w14:textId="77777777" w:rsidR="002B25CD" w:rsidRPr="00E35798" w:rsidRDefault="002B25CD" w:rsidP="002B25CD">
                            <w:pPr>
                              <w:jc w:val="center"/>
                            </w:pPr>
                          </w:p>
                          <w:p w14:paraId="4FA53B84" w14:textId="77777777" w:rsidR="002B25CD" w:rsidRPr="00E35798" w:rsidRDefault="002B25CD" w:rsidP="002B25CD">
                            <w:pPr>
                              <w:jc w:val="center"/>
                            </w:pPr>
                          </w:p>
                          <w:p w14:paraId="10E905DB" w14:textId="77777777" w:rsidR="002B25CD" w:rsidRPr="00E35798" w:rsidRDefault="002B25CD" w:rsidP="002B25CD">
                            <w:pPr>
                              <w:jc w:val="center"/>
                            </w:pPr>
                          </w:p>
                          <w:p w14:paraId="5692604C" w14:textId="77777777" w:rsidR="002B25CD" w:rsidRPr="00E35798" w:rsidRDefault="002B25CD" w:rsidP="002B25CD">
                            <w:pPr>
                              <w:jc w:val="center"/>
                            </w:pPr>
                          </w:p>
                          <w:p w14:paraId="48853739" w14:textId="77777777" w:rsidR="002B25CD" w:rsidRPr="00E35798" w:rsidRDefault="002B25CD" w:rsidP="002B25CD">
                            <w:pPr>
                              <w:jc w:val="center"/>
                            </w:pPr>
                          </w:p>
                          <w:p w14:paraId="39A469F6" w14:textId="77777777" w:rsidR="002B25CD" w:rsidRPr="00E35798" w:rsidRDefault="002B25CD" w:rsidP="002B25CD">
                            <w:pPr>
                              <w:jc w:val="center"/>
                            </w:pPr>
                          </w:p>
                          <w:p w14:paraId="7381DD8D" w14:textId="77777777" w:rsidR="002B25CD" w:rsidRPr="00E35798" w:rsidRDefault="002B25CD" w:rsidP="002B25CD">
                            <w:pPr>
                              <w:jc w:val="center"/>
                            </w:pPr>
                          </w:p>
                          <w:p w14:paraId="581D6C99" w14:textId="77777777" w:rsidR="002B25CD" w:rsidRPr="00E35798" w:rsidRDefault="002B25CD" w:rsidP="002B25CD">
                            <w:pPr>
                              <w:jc w:val="center"/>
                            </w:pPr>
                          </w:p>
                          <w:p w14:paraId="7BDC0584" w14:textId="77777777" w:rsidR="002B25CD" w:rsidRPr="00E35798" w:rsidRDefault="002B25CD" w:rsidP="002B25CD">
                            <w:pPr>
                              <w:jc w:val="center"/>
                            </w:pPr>
                          </w:p>
                          <w:p w14:paraId="42CC9449" w14:textId="77777777" w:rsidR="002B25CD" w:rsidRPr="00E35798" w:rsidRDefault="002B25CD" w:rsidP="002B25CD">
                            <w:pPr>
                              <w:jc w:val="center"/>
                            </w:pPr>
                          </w:p>
                          <w:p w14:paraId="3D618DC2" w14:textId="77777777" w:rsidR="002B25CD" w:rsidRPr="00E35798" w:rsidRDefault="002B25CD" w:rsidP="002B25CD">
                            <w:pPr>
                              <w:jc w:val="center"/>
                            </w:pPr>
                          </w:p>
                          <w:p w14:paraId="62883220" w14:textId="77777777" w:rsidR="002B25CD" w:rsidRPr="00E35798" w:rsidRDefault="002B25CD" w:rsidP="002B25CD">
                            <w:pPr>
                              <w:jc w:val="center"/>
                            </w:pPr>
                          </w:p>
                          <w:p w14:paraId="1DF7EFFC" w14:textId="77777777" w:rsidR="002B25CD" w:rsidRPr="00E35798" w:rsidRDefault="002B25CD" w:rsidP="002B25CD">
                            <w:pPr>
                              <w:jc w:val="center"/>
                            </w:pPr>
                          </w:p>
                          <w:p w14:paraId="4BBE61C6" w14:textId="77777777" w:rsidR="002B25CD" w:rsidRPr="00E35798" w:rsidRDefault="002B25CD" w:rsidP="002B25CD">
                            <w:pPr>
                              <w:jc w:val="center"/>
                            </w:pPr>
                          </w:p>
                          <w:p w14:paraId="61B9D0DA" w14:textId="77777777" w:rsidR="002B25CD" w:rsidRPr="00E35798" w:rsidRDefault="002B25CD" w:rsidP="002B25CD">
                            <w:pPr>
                              <w:jc w:val="center"/>
                            </w:pPr>
                          </w:p>
                          <w:p w14:paraId="308E38ED" w14:textId="77777777" w:rsidR="002B25CD" w:rsidRPr="00E35798" w:rsidRDefault="002B25CD" w:rsidP="002B25CD">
                            <w:pPr>
                              <w:jc w:val="center"/>
                            </w:pPr>
                          </w:p>
                          <w:p w14:paraId="39B181C4" w14:textId="77777777" w:rsidR="002B25CD" w:rsidRPr="00E35798" w:rsidRDefault="002B25CD" w:rsidP="002B25CD">
                            <w:pPr>
                              <w:jc w:val="center"/>
                            </w:pPr>
                          </w:p>
                          <w:p w14:paraId="69CC13CB" w14:textId="77777777" w:rsidR="002B25CD" w:rsidRPr="00E35798" w:rsidRDefault="002B25CD" w:rsidP="002B25CD">
                            <w:pPr>
                              <w:jc w:val="center"/>
                            </w:pPr>
                          </w:p>
                          <w:p w14:paraId="5520398C" w14:textId="77777777" w:rsidR="002B25CD" w:rsidRPr="00E35798" w:rsidRDefault="002B25CD" w:rsidP="002B25CD">
                            <w:pPr>
                              <w:jc w:val="center"/>
                            </w:pPr>
                          </w:p>
                          <w:p w14:paraId="2C1913D4" w14:textId="77777777" w:rsidR="002B25CD" w:rsidRPr="00E35798" w:rsidRDefault="002B25CD" w:rsidP="002B25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D1E3C" id="Rectangle 46" o:spid="_x0000_s1026" style="position:absolute;left:0;text-align:left;margin-left:-531pt;margin-top:-11.4pt;width:531pt;height:853.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MTuVwIAAK8EAAAOAAAAZHJzL2Uyb0RvYy54bWysVE1v2zAMvQ/YfxB0X+2kadMFcYogRYYB&#10;RVugHXpWZCk2IIkapcTufv0o2f3cTsN8UEiT5iOfHrO87K1hR4WhBVfxyUnJmXIS6tbtK/7jYfvl&#10;grMQhauFAacq/qQCv1x9/rTs/EJNoQFTK2RUxIVF5yvexOgXRRFko6wIJ+CVo6AGtCKSi/uiRtFR&#10;dWuKaVmeFx1g7RGkCoHeXg1Bvsr1tVYy3modVGSm4tRbzCfmc5fOYrUUiz0K37RybEP8QxdWtI5A&#10;X0pdiSjYAds/StlWIgTQ8USCLUDrVqo8A00zKT9Mc98Ir/IsRE7wLzSF/1dW3hzv/R0SDZ0Pi0Bm&#10;mqLXaNMv9cf6TNbTC1mqj0zSy/P57HReEqeSYpPy4vR8Oj9LfBav33sM8ZsCy5JRcaTryCyJ43WI&#10;Q+pzSoILYNp62xqTHdzvNgbZUdDVbfMzVn+XZhzrCH86tCJIQtqISF1ZX1c8uD1nwuxJmzJixnaQ&#10;EPK9J+wrEZoBI5cdBGHbSKo0ra34RZmeEdm41JnKuhoneKUtWbHf9SOXO6if7pAhDJoLXm5bwrsW&#10;Id4JJJERdbQ48ZYObYCGgNHirAH89bf3KZ/unqKcdSRaGvDnQaDizHx3pIqvk9ksqTw7s7P5lBx8&#10;G9m9jbiD3QCRO6EV9TKbKT+aZ1Mj2Efar3VCpZBwkrAHKkdnE4dlog2Var3OaaRsL+K1u/cyFU+U&#10;JaYf+keBfpRCJBndwLPAxeKDIobc9KWD9SGCbrNcEsUDrySz5NBWZMGNG5zW7q2fs17/Z1a/AQAA&#10;//8DAFBLAwQUAAYACAAAACEAi0o6meAAAAALAQAADwAAAGRycy9kb3ducmV2LnhtbEyPPU/DMBCG&#10;dyT+g3VIbK3TVKRViFOhSgwZkKDtwOgmRxISnyPb+ei/55hgu1f36P3IDovpxYTOt5YUbNYRCKTS&#10;Vi3VCi7n19UehA+aKt1bQgU39HDI7+8ynVZ2pg+cTqEWbEI+1QqaEIZUSl82aLRf2wGJf1/WGR1Y&#10;ulpWTs9sbnoZR1EijW6JExo94LHBsjuNRkFXFGZcnsqpeH/bfW/dfOvOn0elHh+Wl2cQAZfwB8Nv&#10;fa4OOXe62pEqL3oFq02UxLwm8BnHvIIZllcmk/12BzLP5P8N+Q8AAAD//wMAUEsBAi0AFAAGAAgA&#10;AAAhALaDOJL+AAAA4QEAABMAAAAAAAAAAAAAAAAAAAAAAFtDb250ZW50X1R5cGVzXS54bWxQSwEC&#10;LQAUAAYACAAAACEAOP0h/9YAAACUAQAACwAAAAAAAAAAAAAAAAAvAQAAX3JlbHMvLnJlbHNQSwEC&#10;LQAUAAYACAAAACEAtmDE7lcCAACvBAAADgAAAAAAAAAAAAAAAAAuAgAAZHJzL2Uyb0RvYy54bWxQ&#10;SwECLQAUAAYACAAAACEAi0o6meAAAAALAQAADwAAAAAAAAAAAAAAAACxBAAAZHJzL2Rvd25yZXYu&#10;eG1sUEsFBgAAAAAEAAQA8wAAAL4FAAAAAA==&#10;" stroked="f" strokeweight="1pt">
                <v:textbox>
                  <w:txbxContent>
                    <w:p w14:paraId="487235B0" w14:textId="77777777" w:rsidR="002B25CD" w:rsidRPr="00E35798" w:rsidRDefault="002B25CD" w:rsidP="002B25CD">
                      <w:pPr>
                        <w:jc w:val="center"/>
                      </w:pPr>
                    </w:p>
                    <w:p w14:paraId="60827B86" w14:textId="77777777" w:rsidR="002B25CD" w:rsidRPr="00E35798" w:rsidRDefault="002B25CD" w:rsidP="002B25CD">
                      <w:pPr>
                        <w:jc w:val="center"/>
                      </w:pPr>
                    </w:p>
                    <w:p w14:paraId="08C9B4AD" w14:textId="77777777" w:rsidR="002B25CD" w:rsidRPr="00E35798" w:rsidRDefault="002B25CD" w:rsidP="002B25CD">
                      <w:pPr>
                        <w:jc w:val="center"/>
                      </w:pPr>
                    </w:p>
                    <w:p w14:paraId="3D250107" w14:textId="77777777" w:rsidR="002B25CD" w:rsidRPr="00E35798" w:rsidRDefault="002B25CD" w:rsidP="002B25CD">
                      <w:pPr>
                        <w:jc w:val="center"/>
                      </w:pPr>
                    </w:p>
                    <w:p w14:paraId="4FA53B84" w14:textId="77777777" w:rsidR="002B25CD" w:rsidRPr="00E35798" w:rsidRDefault="002B25CD" w:rsidP="002B25CD">
                      <w:pPr>
                        <w:jc w:val="center"/>
                      </w:pPr>
                    </w:p>
                    <w:p w14:paraId="10E905DB" w14:textId="77777777" w:rsidR="002B25CD" w:rsidRPr="00E35798" w:rsidRDefault="002B25CD" w:rsidP="002B25CD">
                      <w:pPr>
                        <w:jc w:val="center"/>
                      </w:pPr>
                    </w:p>
                    <w:p w14:paraId="5692604C" w14:textId="77777777" w:rsidR="002B25CD" w:rsidRPr="00E35798" w:rsidRDefault="002B25CD" w:rsidP="002B25CD">
                      <w:pPr>
                        <w:jc w:val="center"/>
                      </w:pPr>
                    </w:p>
                    <w:p w14:paraId="48853739" w14:textId="77777777" w:rsidR="002B25CD" w:rsidRPr="00E35798" w:rsidRDefault="002B25CD" w:rsidP="002B25CD">
                      <w:pPr>
                        <w:jc w:val="center"/>
                      </w:pPr>
                    </w:p>
                    <w:p w14:paraId="39A469F6" w14:textId="77777777" w:rsidR="002B25CD" w:rsidRPr="00E35798" w:rsidRDefault="002B25CD" w:rsidP="002B25CD">
                      <w:pPr>
                        <w:jc w:val="center"/>
                      </w:pPr>
                    </w:p>
                    <w:p w14:paraId="7381DD8D" w14:textId="77777777" w:rsidR="002B25CD" w:rsidRPr="00E35798" w:rsidRDefault="002B25CD" w:rsidP="002B25CD">
                      <w:pPr>
                        <w:jc w:val="center"/>
                      </w:pPr>
                    </w:p>
                    <w:p w14:paraId="581D6C99" w14:textId="77777777" w:rsidR="002B25CD" w:rsidRPr="00E35798" w:rsidRDefault="002B25CD" w:rsidP="002B25CD">
                      <w:pPr>
                        <w:jc w:val="center"/>
                      </w:pPr>
                    </w:p>
                    <w:p w14:paraId="7BDC0584" w14:textId="77777777" w:rsidR="002B25CD" w:rsidRPr="00E35798" w:rsidRDefault="002B25CD" w:rsidP="002B25CD">
                      <w:pPr>
                        <w:jc w:val="center"/>
                      </w:pPr>
                    </w:p>
                    <w:p w14:paraId="42CC9449" w14:textId="77777777" w:rsidR="002B25CD" w:rsidRPr="00E35798" w:rsidRDefault="002B25CD" w:rsidP="002B25CD">
                      <w:pPr>
                        <w:jc w:val="center"/>
                      </w:pPr>
                    </w:p>
                    <w:p w14:paraId="3D618DC2" w14:textId="77777777" w:rsidR="002B25CD" w:rsidRPr="00E35798" w:rsidRDefault="002B25CD" w:rsidP="002B25CD">
                      <w:pPr>
                        <w:jc w:val="center"/>
                      </w:pPr>
                    </w:p>
                    <w:p w14:paraId="62883220" w14:textId="77777777" w:rsidR="002B25CD" w:rsidRPr="00E35798" w:rsidRDefault="002B25CD" w:rsidP="002B25CD">
                      <w:pPr>
                        <w:jc w:val="center"/>
                      </w:pPr>
                    </w:p>
                    <w:p w14:paraId="1DF7EFFC" w14:textId="77777777" w:rsidR="002B25CD" w:rsidRPr="00E35798" w:rsidRDefault="002B25CD" w:rsidP="002B25CD">
                      <w:pPr>
                        <w:jc w:val="center"/>
                      </w:pPr>
                    </w:p>
                    <w:p w14:paraId="4BBE61C6" w14:textId="77777777" w:rsidR="002B25CD" w:rsidRPr="00E35798" w:rsidRDefault="002B25CD" w:rsidP="002B25CD">
                      <w:pPr>
                        <w:jc w:val="center"/>
                      </w:pPr>
                    </w:p>
                    <w:p w14:paraId="61B9D0DA" w14:textId="77777777" w:rsidR="002B25CD" w:rsidRPr="00E35798" w:rsidRDefault="002B25CD" w:rsidP="002B25CD">
                      <w:pPr>
                        <w:jc w:val="center"/>
                      </w:pPr>
                    </w:p>
                    <w:p w14:paraId="308E38ED" w14:textId="77777777" w:rsidR="002B25CD" w:rsidRPr="00E35798" w:rsidRDefault="002B25CD" w:rsidP="002B25CD">
                      <w:pPr>
                        <w:jc w:val="center"/>
                      </w:pPr>
                    </w:p>
                    <w:p w14:paraId="39B181C4" w14:textId="77777777" w:rsidR="002B25CD" w:rsidRPr="00E35798" w:rsidRDefault="002B25CD" w:rsidP="002B25CD">
                      <w:pPr>
                        <w:jc w:val="center"/>
                      </w:pPr>
                    </w:p>
                    <w:p w14:paraId="69CC13CB" w14:textId="77777777" w:rsidR="002B25CD" w:rsidRPr="00E35798" w:rsidRDefault="002B25CD" w:rsidP="002B25CD">
                      <w:pPr>
                        <w:jc w:val="center"/>
                      </w:pPr>
                    </w:p>
                    <w:p w14:paraId="5520398C" w14:textId="77777777" w:rsidR="002B25CD" w:rsidRPr="00E35798" w:rsidRDefault="002B25CD" w:rsidP="002B25CD">
                      <w:pPr>
                        <w:jc w:val="center"/>
                      </w:pPr>
                    </w:p>
                    <w:p w14:paraId="2C1913D4" w14:textId="77777777" w:rsidR="002B25CD" w:rsidRPr="00E35798" w:rsidRDefault="002B25CD" w:rsidP="002B25CD">
                      <w:pPr>
                        <w:jc w:val="center"/>
                      </w:pPr>
                    </w:p>
                  </w:txbxContent>
                </v:textbox>
                <w10:wrap anchorx="page" anchory="page"/>
                <w10:anchorlock/>
              </v:rect>
            </w:pict>
          </mc:Fallback>
        </mc:AlternateContent>
      </w:r>
    </w:p>
    <w:p w14:paraId="7C7CF977" w14:textId="1BE8F87C" w:rsidR="00532BF9" w:rsidRPr="00E35798" w:rsidRDefault="00532BF9" w:rsidP="00D16E24">
      <w:pPr>
        <w:pStyle w:val="Title"/>
        <w:spacing w:after="120"/>
        <w:contextualSpacing w:val="0"/>
      </w:pPr>
      <w:r>
        <w:t>Reducing Smallholder Farmers vulnerability to climate change impacts including water scarcity in Mongolia through ecosystem-based adaptation (</w:t>
      </w:r>
      <w:proofErr w:type="spellStart"/>
      <w:r>
        <w:t>EbA</w:t>
      </w:r>
      <w:proofErr w:type="spellEnd"/>
      <w:r>
        <w:t>) and digitalized risk mitigation insurance solutions</w:t>
      </w:r>
    </w:p>
    <w:p w14:paraId="2EC86CCD" w14:textId="029E31CA" w:rsidR="0010058D" w:rsidRPr="00E35798" w:rsidRDefault="0010058D" w:rsidP="00EB489E">
      <w:r>
        <w:rPr>
          <w:noProof/>
        </w:rPr>
        <w:drawing>
          <wp:anchor distT="0" distB="0" distL="114300" distR="114300" simplePos="0" relativeHeight="251658241" behindDoc="1" locked="0" layoutInCell="1" allowOverlap="1" wp14:anchorId="2C749EBB" wp14:editId="1A2177BE">
            <wp:simplePos x="903767" y="1084521"/>
            <wp:positionH relativeFrom="page">
              <wp:align>center</wp:align>
            </wp:positionH>
            <wp:positionV relativeFrom="page">
              <wp:align>center</wp:align>
            </wp:positionV>
            <wp:extent cx="7560000" cy="10692000"/>
            <wp:effectExtent l="0" t="0" r="3175" b="0"/>
            <wp:wrapNone/>
            <wp:docPr id="5" name="Picture 5" descr="A picture containing background patter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background pattern  Description automatically generated"/>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A02C1DF" w14:textId="77777777" w:rsidR="0010058D" w:rsidRPr="00E35798" w:rsidRDefault="0010058D" w:rsidP="00EB489E"/>
    <w:p w14:paraId="36D47A34" w14:textId="07B2EC15" w:rsidR="0010058D" w:rsidRPr="00E35798" w:rsidRDefault="0010058D" w:rsidP="00EB489E"/>
    <w:p w14:paraId="1060EFD7" w14:textId="77777777" w:rsidR="0010058D" w:rsidRPr="00E35798" w:rsidRDefault="0010058D" w:rsidP="00EB489E"/>
    <w:p w14:paraId="155E077E" w14:textId="24E10E95" w:rsidR="002441E6" w:rsidRPr="00E35798" w:rsidRDefault="002441E6" w:rsidP="00EB489E"/>
    <w:p w14:paraId="5B86493C" w14:textId="34B5BC50" w:rsidR="00CB441B" w:rsidRPr="00E35798" w:rsidRDefault="00CB441B" w:rsidP="00EB489E"/>
    <w:p w14:paraId="2C1B33CC" w14:textId="77777777" w:rsidR="00CB441B" w:rsidRPr="00E35798" w:rsidRDefault="00CB441B" w:rsidP="00EB489E"/>
    <w:p w14:paraId="2A68D92A" w14:textId="0AEA70A3" w:rsidR="00CB441B" w:rsidRPr="00E35798" w:rsidRDefault="00CB441B" w:rsidP="00EB489E"/>
    <w:p w14:paraId="6152C20D" w14:textId="66D650FD" w:rsidR="00CB441B" w:rsidRPr="00E35798" w:rsidRDefault="00CB441B" w:rsidP="00EB489E"/>
    <w:p w14:paraId="62E7D504" w14:textId="77777777" w:rsidR="00CB441B" w:rsidRPr="00E35798" w:rsidRDefault="00CB441B" w:rsidP="00EB489E"/>
    <w:p w14:paraId="2E339ACB" w14:textId="472AF727" w:rsidR="00CB441B" w:rsidRPr="00E35798" w:rsidRDefault="006971A1" w:rsidP="00D16E24">
      <w:pPr>
        <w:pStyle w:val="Title"/>
        <w:spacing w:after="120"/>
        <w:contextualSpacing w:val="0"/>
      </w:pPr>
      <w:r>
        <w:t>D1.2. Technology Feasibility Report</w:t>
      </w:r>
    </w:p>
    <w:p w14:paraId="27ABF111" w14:textId="19FF73EB" w:rsidR="00CB441B" w:rsidRPr="00E35798" w:rsidRDefault="00CB441B" w:rsidP="00EB489E"/>
    <w:p w14:paraId="1D85FFD6" w14:textId="77777777" w:rsidR="00CB441B" w:rsidRPr="00E35798" w:rsidRDefault="00CB441B" w:rsidP="00EB489E"/>
    <w:p w14:paraId="7E36E52E" w14:textId="4E7C395D" w:rsidR="00CB441B" w:rsidRPr="00E35798" w:rsidRDefault="00CB441B" w:rsidP="00EB489E"/>
    <w:p w14:paraId="62832BB3" w14:textId="691A0096" w:rsidR="00CB441B" w:rsidRPr="00E35798" w:rsidRDefault="00CB441B" w:rsidP="00EB489E"/>
    <w:p w14:paraId="21F228C7" w14:textId="6C5552EC" w:rsidR="00CB441B" w:rsidRPr="00025141" w:rsidRDefault="00190EBA" w:rsidP="00025141">
      <w:pPr>
        <w:spacing w:after="120" w:line="240" w:lineRule="auto"/>
        <w:contextualSpacing w:val="0"/>
        <w:rPr>
          <w:rFonts w:ascii="Graphik Regular" w:hAnsi="Graphik Regular"/>
          <w:sz w:val="28"/>
        </w:rPr>
      </w:pPr>
      <w:r>
        <w:rPr>
          <w:rFonts w:ascii="Graphik Regular" w:hAnsi="Graphik Regular"/>
          <w:sz w:val="28"/>
        </w:rPr>
        <w:t>8</w:t>
      </w:r>
      <w:r w:rsidR="00FD5B1E" w:rsidRPr="00025141">
        <w:rPr>
          <w:rFonts w:ascii="Graphik Regular" w:hAnsi="Graphik Regular"/>
          <w:sz w:val="28"/>
        </w:rPr>
        <w:t>/0</w:t>
      </w:r>
      <w:r>
        <w:rPr>
          <w:rFonts w:ascii="Graphik Regular" w:hAnsi="Graphik Regular"/>
          <w:sz w:val="28"/>
        </w:rPr>
        <w:t>7</w:t>
      </w:r>
      <w:r w:rsidR="00FD5B1E" w:rsidRPr="00025141">
        <w:rPr>
          <w:rFonts w:ascii="Graphik Regular" w:hAnsi="Graphik Regular"/>
          <w:sz w:val="28"/>
        </w:rPr>
        <w:t>/2026</w:t>
      </w:r>
    </w:p>
    <w:p w14:paraId="13488A9C" w14:textId="77777777" w:rsidR="00CB441B" w:rsidRPr="00E35798" w:rsidRDefault="00CB441B" w:rsidP="00EB489E"/>
    <w:p w14:paraId="1446BF69" w14:textId="481EA9FD" w:rsidR="002441E6" w:rsidRPr="00E35798" w:rsidRDefault="002441E6" w:rsidP="00EB489E"/>
    <w:p w14:paraId="576A6DF0" w14:textId="77777777" w:rsidR="002441E6" w:rsidRPr="00E35798" w:rsidRDefault="002441E6" w:rsidP="00EB489E"/>
    <w:p w14:paraId="71DDC180" w14:textId="7A074880" w:rsidR="0010058D" w:rsidRPr="00E35798" w:rsidRDefault="002441E6" w:rsidP="00D16E24">
      <w:pPr>
        <w:pStyle w:val="OikoCover1"/>
        <w:spacing w:after="120" w:line="240" w:lineRule="auto"/>
        <w:rPr>
          <w:lang w:val="en-GB"/>
        </w:rPr>
      </w:pPr>
      <w:r>
        <w:rPr>
          <w:lang w:val="en-GB"/>
        </w:rPr>
        <w:t xml:space="preserve">Climate Technology </w:t>
      </w:r>
      <w:proofErr w:type="spellStart"/>
      <w:r>
        <w:rPr>
          <w:lang w:val="en-GB"/>
        </w:rPr>
        <w:t>Center</w:t>
      </w:r>
      <w:proofErr w:type="spellEnd"/>
      <w:r>
        <w:rPr>
          <w:lang w:val="en-GB"/>
        </w:rPr>
        <w:t xml:space="preserve"> Network (CTCN) </w:t>
      </w:r>
    </w:p>
    <w:p w14:paraId="598852AC" w14:textId="0994B72E" w:rsidR="0010058D" w:rsidRPr="00E35798" w:rsidRDefault="0010058D" w:rsidP="00EB489E"/>
    <w:p w14:paraId="7AC393B7" w14:textId="40319817" w:rsidR="002441E6" w:rsidRPr="00E35798" w:rsidRDefault="00532BF9" w:rsidP="00D16E24">
      <w:pPr>
        <w:pStyle w:val="OikoCover2"/>
        <w:spacing w:after="120" w:line="240" w:lineRule="auto"/>
        <w:rPr>
          <w:lang w:val="en-GB"/>
        </w:rPr>
      </w:pPr>
      <w:r>
        <w:rPr>
          <w:lang w:val="en-GB"/>
        </w:rPr>
        <w:t xml:space="preserve">Mongolia </w:t>
      </w:r>
    </w:p>
    <w:p w14:paraId="5DD8744A" w14:textId="4D47D47F" w:rsidR="0010058D" w:rsidRPr="00E35798" w:rsidRDefault="0010058D" w:rsidP="00EB489E"/>
    <w:p w14:paraId="53F2129F" w14:textId="77777777" w:rsidR="0010058D" w:rsidRPr="00E35798" w:rsidRDefault="0010058D" w:rsidP="00EB489E"/>
    <w:p w14:paraId="75A23F02" w14:textId="77777777" w:rsidR="0038708B" w:rsidRPr="00E35798" w:rsidRDefault="0038708B" w:rsidP="00D16E24">
      <w:pPr>
        <w:pStyle w:val="OikoCover5"/>
        <w:spacing w:after="120" w:line="240" w:lineRule="auto"/>
        <w:rPr>
          <w:lang w:val="en-GB"/>
        </w:rPr>
      </w:pPr>
    </w:p>
    <w:p w14:paraId="0DFA11CC" w14:textId="7EFEBAC7" w:rsidR="0038708B" w:rsidRPr="00E35798" w:rsidRDefault="0038708B" w:rsidP="00D16E24">
      <w:pPr>
        <w:pStyle w:val="OikoCover5"/>
        <w:spacing w:after="120" w:line="240" w:lineRule="auto"/>
        <w:rPr>
          <w:lang w:val="en-GB"/>
        </w:rPr>
      </w:pPr>
    </w:p>
    <w:p w14:paraId="2ED520F5" w14:textId="77777777" w:rsidR="0038708B" w:rsidRPr="00E35798" w:rsidRDefault="0038708B" w:rsidP="00D16E24">
      <w:pPr>
        <w:pStyle w:val="OikoCover5"/>
        <w:spacing w:after="120" w:line="240" w:lineRule="auto"/>
        <w:rPr>
          <w:lang w:val="en-GB"/>
        </w:rPr>
      </w:pPr>
    </w:p>
    <w:p w14:paraId="51E709C8" w14:textId="6B6D33A3" w:rsidR="0038708B" w:rsidRPr="00E35798" w:rsidRDefault="0038708B" w:rsidP="00D16E24">
      <w:pPr>
        <w:pStyle w:val="OikoCover5"/>
        <w:spacing w:after="120" w:line="240" w:lineRule="auto"/>
        <w:rPr>
          <w:lang w:val="en-GB"/>
        </w:rPr>
      </w:pPr>
    </w:p>
    <w:p w14:paraId="08D60569" w14:textId="71CC19B7" w:rsidR="0010058D" w:rsidRPr="00E35798" w:rsidRDefault="0010058D" w:rsidP="00EB489E"/>
    <w:tbl>
      <w:tblPr>
        <w:tblW w:w="5000" w:type="pct"/>
        <w:jc w:val="center"/>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ook w:val="04A0" w:firstRow="1" w:lastRow="0" w:firstColumn="1" w:lastColumn="0" w:noHBand="0" w:noVBand="1"/>
      </w:tblPr>
      <w:tblGrid>
        <w:gridCol w:w="3212"/>
        <w:gridCol w:w="3213"/>
        <w:gridCol w:w="3213"/>
      </w:tblGrid>
      <w:tr w:rsidR="0010058D" w:rsidRPr="00E35798" w14:paraId="7701BE05" w14:textId="77777777">
        <w:trPr>
          <w:trHeight w:val="808"/>
          <w:jc w:val="center"/>
        </w:trPr>
        <w:tc>
          <w:tcPr>
            <w:tcW w:w="3070" w:type="dxa"/>
            <w:tcBorders>
              <w:left w:val="nil"/>
            </w:tcBorders>
            <w:vAlign w:val="center"/>
          </w:tcPr>
          <w:p w14:paraId="159A493D" w14:textId="26459D46" w:rsidR="0010058D" w:rsidRPr="00E35798" w:rsidRDefault="00A74EC7" w:rsidP="00D16E24">
            <w:pPr>
              <w:spacing w:before="200" w:after="120" w:line="240" w:lineRule="auto"/>
              <w:contextualSpacing w:val="0"/>
              <w:jc w:val="center"/>
              <w:rPr>
                <w:rFonts w:ascii="Graphik Regular" w:hAnsi="Graphik Regular"/>
              </w:rPr>
            </w:pPr>
            <w:r>
              <w:rPr>
                <w:rFonts w:ascii="Graphik Regular" w:hAnsi="Graphik Regular"/>
                <w:noProof/>
              </w:rPr>
              <w:drawing>
                <wp:anchor distT="0" distB="0" distL="114300" distR="114300" simplePos="0" relativeHeight="251658243" behindDoc="1" locked="0" layoutInCell="1" allowOverlap="1" wp14:anchorId="579BE7B4" wp14:editId="47E6B1DC">
                  <wp:simplePos x="0" y="0"/>
                  <wp:positionH relativeFrom="column">
                    <wp:posOffset>195580</wp:posOffset>
                  </wp:positionH>
                  <wp:positionV relativeFrom="paragraph">
                    <wp:posOffset>0</wp:posOffset>
                  </wp:positionV>
                  <wp:extent cx="1286510" cy="411480"/>
                  <wp:effectExtent l="0" t="0" r="0" b="0"/>
                  <wp:wrapNone/>
                  <wp:docPr id="35115591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55914" name="Imagen 4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8651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3070" w:type="dxa"/>
            <w:vAlign w:val="center"/>
          </w:tcPr>
          <w:p w14:paraId="5AF8768F" w14:textId="2DE93D8E" w:rsidR="0010058D" w:rsidRPr="00E35798" w:rsidRDefault="002453CC" w:rsidP="00D16E24">
            <w:pPr>
              <w:spacing w:before="200" w:after="120" w:line="240" w:lineRule="auto"/>
              <w:contextualSpacing w:val="0"/>
              <w:jc w:val="center"/>
              <w:rPr>
                <w:rFonts w:ascii="Graphik Regular" w:hAnsi="Graphik Regular" w:cs="Cambria"/>
                <w:sz w:val="16"/>
                <w:szCs w:val="16"/>
                <w:lang w:eastAsia="de-DE"/>
              </w:rPr>
            </w:pPr>
            <w:r>
              <w:rPr>
                <w:noProof/>
              </w:rPr>
              <w:drawing>
                <wp:anchor distT="0" distB="0" distL="114300" distR="114300" simplePos="0" relativeHeight="251658245" behindDoc="0" locked="0" layoutInCell="1" allowOverlap="1" wp14:anchorId="3499DFA6" wp14:editId="784231F0">
                  <wp:simplePos x="0" y="0"/>
                  <wp:positionH relativeFrom="column">
                    <wp:posOffset>312420</wp:posOffset>
                  </wp:positionH>
                  <wp:positionV relativeFrom="paragraph">
                    <wp:posOffset>50165</wp:posOffset>
                  </wp:positionV>
                  <wp:extent cx="1206500" cy="260985"/>
                  <wp:effectExtent l="0" t="0" r="0" b="5715"/>
                  <wp:wrapNone/>
                  <wp:docPr id="5547072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07281" name="Picture 5547072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260985"/>
                          </a:xfrm>
                          <a:prstGeom prst="rect">
                            <a:avLst/>
                          </a:prstGeom>
                        </pic:spPr>
                      </pic:pic>
                    </a:graphicData>
                  </a:graphic>
                  <wp14:sizeRelH relativeFrom="margin">
                    <wp14:pctWidth>0</wp14:pctWidth>
                  </wp14:sizeRelH>
                  <wp14:sizeRelV relativeFrom="margin">
                    <wp14:pctHeight>0</wp14:pctHeight>
                  </wp14:sizeRelV>
                </wp:anchor>
              </w:drawing>
            </w:r>
            <w:r>
              <w:rPr>
                <w:rFonts w:ascii="Graphik Regular" w:hAnsi="Graphik Regular" w:cs="Cambria"/>
                <w:noProof/>
                <w:sz w:val="16"/>
                <w:szCs w:val="16"/>
                <w:lang w:eastAsia="de-DE"/>
              </w:rPr>
              <w:drawing>
                <wp:anchor distT="0" distB="0" distL="114300" distR="114300" simplePos="0" relativeHeight="251658240" behindDoc="1" locked="0" layoutInCell="1" allowOverlap="1" wp14:anchorId="65797C3D" wp14:editId="1E82CF68">
                  <wp:simplePos x="0" y="0"/>
                  <wp:positionH relativeFrom="column">
                    <wp:posOffset>231775</wp:posOffset>
                  </wp:positionH>
                  <wp:positionV relativeFrom="line">
                    <wp:posOffset>53340</wp:posOffset>
                  </wp:positionV>
                  <wp:extent cx="1342390" cy="316230"/>
                  <wp:effectExtent l="0" t="0" r="0" b="7620"/>
                  <wp:wrapNone/>
                  <wp:docPr id="9" name="Picture 9" descr="A picture containing shap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hape  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2390" cy="316230"/>
                          </a:xfrm>
                          <a:prstGeom prst="rect">
                            <a:avLst/>
                          </a:prstGeom>
                        </pic:spPr>
                      </pic:pic>
                    </a:graphicData>
                  </a:graphic>
                  <wp14:sizeRelH relativeFrom="margin">
                    <wp14:pctWidth>0</wp14:pctWidth>
                  </wp14:sizeRelH>
                  <wp14:sizeRelV relativeFrom="margin">
                    <wp14:pctHeight>0</wp14:pctHeight>
                  </wp14:sizeRelV>
                </wp:anchor>
              </w:drawing>
            </w:r>
          </w:p>
        </w:tc>
        <w:tc>
          <w:tcPr>
            <w:tcW w:w="3070" w:type="dxa"/>
            <w:tcBorders>
              <w:right w:val="nil"/>
            </w:tcBorders>
            <w:vAlign w:val="center"/>
          </w:tcPr>
          <w:p w14:paraId="08E93E25" w14:textId="1F56A0BB" w:rsidR="0010058D" w:rsidRPr="00E35798" w:rsidRDefault="00CE7A7A" w:rsidP="00D16E24">
            <w:pPr>
              <w:spacing w:before="200" w:after="120" w:line="240" w:lineRule="auto"/>
              <w:contextualSpacing w:val="0"/>
              <w:jc w:val="center"/>
              <w:rPr>
                <w:rFonts w:ascii="Graphik Regular" w:hAnsi="Graphik Regular" w:cs="Cambria"/>
                <w:sz w:val="16"/>
                <w:szCs w:val="16"/>
                <w:lang w:eastAsia="de-DE"/>
              </w:rPr>
            </w:pPr>
            <w:r>
              <w:rPr>
                <w:rFonts w:ascii="Graphik Regular" w:hAnsi="Graphik Regular" w:cs="Cambria"/>
                <w:noProof/>
                <w:sz w:val="16"/>
                <w:szCs w:val="16"/>
                <w:lang w:eastAsia="de-DE"/>
              </w:rPr>
              <w:drawing>
                <wp:anchor distT="0" distB="0" distL="114300" distR="114300" simplePos="0" relativeHeight="251658244" behindDoc="1" locked="0" layoutInCell="1" allowOverlap="1" wp14:anchorId="6881AA48" wp14:editId="1B5B8F24">
                  <wp:simplePos x="0" y="0"/>
                  <wp:positionH relativeFrom="column">
                    <wp:posOffset>531495</wp:posOffset>
                  </wp:positionH>
                  <wp:positionV relativeFrom="paragraph">
                    <wp:posOffset>-20955</wp:posOffset>
                  </wp:positionV>
                  <wp:extent cx="701675" cy="350520"/>
                  <wp:effectExtent l="0" t="0" r="3175" b="0"/>
                  <wp:wrapNone/>
                  <wp:docPr id="142033276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1675" cy="350520"/>
                          </a:xfrm>
                          <a:prstGeom prst="rect">
                            <a:avLst/>
                          </a:prstGeom>
                          <a:noFill/>
                        </pic:spPr>
                      </pic:pic>
                    </a:graphicData>
                  </a:graphic>
                  <wp14:sizeRelH relativeFrom="page">
                    <wp14:pctWidth>0</wp14:pctWidth>
                  </wp14:sizeRelH>
                  <wp14:sizeRelV relativeFrom="page">
                    <wp14:pctHeight>0</wp14:pctHeight>
                  </wp14:sizeRelV>
                </wp:anchor>
              </w:drawing>
            </w:r>
          </w:p>
        </w:tc>
      </w:tr>
    </w:tbl>
    <w:p w14:paraId="18E3C8F2" w14:textId="77777777" w:rsidR="0010058D" w:rsidRPr="00E35798" w:rsidRDefault="0010058D" w:rsidP="00EB489E"/>
    <w:p w14:paraId="0F68B4E7" w14:textId="77777777" w:rsidR="0038708B" w:rsidRPr="00E35798" w:rsidRDefault="0038708B" w:rsidP="00D16E24">
      <w:pPr>
        <w:spacing w:after="120" w:line="240" w:lineRule="auto"/>
        <w:contextualSpacing w:val="0"/>
        <w:jc w:val="left"/>
        <w:rPr>
          <w:rFonts w:eastAsiaTheme="majorEastAsia" w:cstheme="majorBidi"/>
          <w:color w:val="DD6B22" w:themeColor="accent3" w:themeShade="BF"/>
          <w:sz w:val="52"/>
          <w:szCs w:val="32"/>
        </w:rPr>
      </w:pPr>
      <w:r>
        <w:br w:type="page"/>
      </w:r>
    </w:p>
    <w:p w14:paraId="28D821FD" w14:textId="0FE99794" w:rsidR="0010058D" w:rsidRPr="00E35798" w:rsidRDefault="0010058D" w:rsidP="00D16E24">
      <w:pPr>
        <w:pStyle w:val="TOCHeading"/>
        <w:contextualSpacing w:val="0"/>
      </w:pPr>
      <w:r>
        <w:lastRenderedPageBreak/>
        <w:t>Table of Contents</w:t>
      </w:r>
    </w:p>
    <w:p w14:paraId="16582177" w14:textId="578A8735" w:rsidR="00ED71A8" w:rsidRPr="00CA2975" w:rsidRDefault="0010058D" w:rsidP="00CA2975">
      <w:pPr>
        <w:pStyle w:val="TOC1"/>
        <w:spacing w:before="0" w:after="0"/>
        <w:rPr>
          <w:rFonts w:asciiTheme="minorHAnsi" w:eastAsiaTheme="minorEastAsia" w:hAnsiTheme="minorHAnsi"/>
          <w:noProof/>
          <w:kern w:val="2"/>
          <w:sz w:val="20"/>
          <w:szCs w:val="20"/>
          <w:lang w:val="en-US"/>
          <w14:ligatures w14:val="standardContextual"/>
        </w:rPr>
      </w:pPr>
      <w:r w:rsidRPr="00CA2975">
        <w:rPr>
          <w:sz w:val="28"/>
          <w:szCs w:val="18"/>
        </w:rPr>
        <w:fldChar w:fldCharType="begin"/>
      </w:r>
      <w:r w:rsidRPr="00CA2975">
        <w:rPr>
          <w:sz w:val="28"/>
          <w:szCs w:val="18"/>
        </w:rPr>
        <w:instrText xml:space="preserve"> TOC \o "1-3" \h \z </w:instrText>
      </w:r>
      <w:r w:rsidRPr="00CA2975">
        <w:rPr>
          <w:sz w:val="28"/>
          <w:szCs w:val="18"/>
        </w:rPr>
        <w:fldChar w:fldCharType="separate"/>
      </w:r>
      <w:hyperlink w:anchor="_Toc233981229" w:history="1">
        <w:r w:rsidR="00ED71A8" w:rsidRPr="00CA2975">
          <w:rPr>
            <w:rStyle w:val="Hyperlink"/>
            <w:noProof/>
            <w:color w:val="auto"/>
            <w:sz w:val="28"/>
            <w:szCs w:val="18"/>
          </w:rPr>
          <w:t>Executive Summary</w:t>
        </w:r>
        <w:r w:rsidR="00ED71A8" w:rsidRPr="00CA2975">
          <w:rPr>
            <w:noProof/>
            <w:webHidden/>
            <w:sz w:val="28"/>
            <w:szCs w:val="18"/>
          </w:rPr>
          <w:tab/>
        </w:r>
        <w:r w:rsidR="00ED71A8" w:rsidRPr="00CA2975">
          <w:rPr>
            <w:noProof/>
            <w:webHidden/>
            <w:sz w:val="28"/>
            <w:szCs w:val="18"/>
          </w:rPr>
          <w:fldChar w:fldCharType="begin"/>
        </w:r>
        <w:r w:rsidR="00ED71A8" w:rsidRPr="00CA2975">
          <w:rPr>
            <w:noProof/>
            <w:webHidden/>
            <w:sz w:val="28"/>
            <w:szCs w:val="18"/>
          </w:rPr>
          <w:instrText xml:space="preserve"> PAGEREF _Toc233981229 \h </w:instrText>
        </w:r>
        <w:r w:rsidR="00ED71A8" w:rsidRPr="00CA2975">
          <w:rPr>
            <w:noProof/>
            <w:webHidden/>
            <w:sz w:val="28"/>
            <w:szCs w:val="18"/>
          </w:rPr>
        </w:r>
        <w:r w:rsidR="00ED71A8" w:rsidRPr="00CA2975">
          <w:rPr>
            <w:noProof/>
            <w:webHidden/>
            <w:sz w:val="28"/>
            <w:szCs w:val="18"/>
          </w:rPr>
          <w:fldChar w:fldCharType="separate"/>
        </w:r>
        <w:r w:rsidR="005B05A2">
          <w:rPr>
            <w:noProof/>
            <w:webHidden/>
            <w:sz w:val="28"/>
            <w:szCs w:val="18"/>
          </w:rPr>
          <w:t>6</w:t>
        </w:r>
        <w:r w:rsidR="00ED71A8" w:rsidRPr="00CA2975">
          <w:rPr>
            <w:noProof/>
            <w:webHidden/>
            <w:sz w:val="28"/>
            <w:szCs w:val="18"/>
          </w:rPr>
          <w:fldChar w:fldCharType="end"/>
        </w:r>
      </w:hyperlink>
    </w:p>
    <w:p w14:paraId="4E088542" w14:textId="44BBAB09"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230" w:history="1">
        <w:r w:rsidRPr="00CA2975">
          <w:rPr>
            <w:rStyle w:val="Hyperlink"/>
            <w:noProof/>
            <w:color w:val="auto"/>
            <w:sz w:val="28"/>
            <w:szCs w:val="18"/>
          </w:rPr>
          <w:t>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Introduction</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_Toc233981230 \h </w:instrText>
        </w:r>
        <w:r w:rsidRPr="00CA2975">
          <w:rPr>
            <w:noProof/>
            <w:webHidden/>
            <w:sz w:val="28"/>
            <w:szCs w:val="18"/>
          </w:rPr>
        </w:r>
        <w:r w:rsidRPr="00CA2975">
          <w:rPr>
            <w:noProof/>
            <w:webHidden/>
            <w:sz w:val="28"/>
            <w:szCs w:val="18"/>
          </w:rPr>
          <w:fldChar w:fldCharType="separate"/>
        </w:r>
        <w:r w:rsidR="005B05A2">
          <w:rPr>
            <w:noProof/>
            <w:webHidden/>
            <w:sz w:val="28"/>
            <w:szCs w:val="18"/>
          </w:rPr>
          <w:t>8</w:t>
        </w:r>
        <w:r w:rsidRPr="00CA2975">
          <w:rPr>
            <w:noProof/>
            <w:webHidden/>
            <w:sz w:val="28"/>
            <w:szCs w:val="18"/>
          </w:rPr>
          <w:fldChar w:fldCharType="end"/>
        </w:r>
      </w:hyperlink>
    </w:p>
    <w:p w14:paraId="37ED0334" w14:textId="221F27F8"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1" w:history="1">
        <w:r w:rsidRPr="00CA2975">
          <w:rPr>
            <w:rStyle w:val="Hyperlink"/>
            <w:noProof/>
            <w:color w:val="auto"/>
            <w:sz w:val="22"/>
            <w:szCs w:val="18"/>
          </w:rPr>
          <w:t>1.1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Background and rationale</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_Toc233981231 \h </w:instrText>
        </w:r>
        <w:r w:rsidRPr="00CA2975">
          <w:rPr>
            <w:noProof/>
            <w:webHidden/>
            <w:sz w:val="22"/>
            <w:szCs w:val="18"/>
          </w:rPr>
        </w:r>
        <w:r w:rsidRPr="00CA2975">
          <w:rPr>
            <w:noProof/>
            <w:webHidden/>
            <w:sz w:val="22"/>
            <w:szCs w:val="18"/>
          </w:rPr>
          <w:fldChar w:fldCharType="separate"/>
        </w:r>
        <w:r w:rsidR="005B05A2">
          <w:rPr>
            <w:noProof/>
            <w:webHidden/>
            <w:sz w:val="22"/>
            <w:szCs w:val="18"/>
          </w:rPr>
          <w:t>8</w:t>
        </w:r>
        <w:r w:rsidRPr="00CA2975">
          <w:rPr>
            <w:noProof/>
            <w:webHidden/>
            <w:sz w:val="22"/>
            <w:szCs w:val="18"/>
          </w:rPr>
          <w:fldChar w:fldCharType="end"/>
        </w:r>
      </w:hyperlink>
    </w:p>
    <w:p w14:paraId="1AA0ADA5" w14:textId="4A426D30"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2" w:history="1">
        <w:r w:rsidRPr="00CA2975">
          <w:rPr>
            <w:rStyle w:val="Hyperlink"/>
            <w:noProof/>
            <w:color w:val="auto"/>
            <w:sz w:val="22"/>
            <w:szCs w:val="18"/>
          </w:rPr>
          <w:t>1.2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The technical assistance and its approach</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_Toc233981232 \h </w:instrText>
        </w:r>
        <w:r w:rsidRPr="00CA2975">
          <w:rPr>
            <w:noProof/>
            <w:webHidden/>
            <w:sz w:val="22"/>
            <w:szCs w:val="18"/>
          </w:rPr>
        </w:r>
        <w:r w:rsidRPr="00CA2975">
          <w:rPr>
            <w:noProof/>
            <w:webHidden/>
            <w:sz w:val="22"/>
            <w:szCs w:val="18"/>
          </w:rPr>
          <w:fldChar w:fldCharType="separate"/>
        </w:r>
        <w:r w:rsidR="005B05A2">
          <w:rPr>
            <w:noProof/>
            <w:webHidden/>
            <w:sz w:val="22"/>
            <w:szCs w:val="18"/>
          </w:rPr>
          <w:t>8</w:t>
        </w:r>
        <w:r w:rsidRPr="00CA2975">
          <w:rPr>
            <w:noProof/>
            <w:webHidden/>
            <w:sz w:val="22"/>
            <w:szCs w:val="18"/>
          </w:rPr>
          <w:fldChar w:fldCharType="end"/>
        </w:r>
      </w:hyperlink>
    </w:p>
    <w:p w14:paraId="21325EEC" w14:textId="17A4BDD4"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3" w:history="1">
        <w:r w:rsidRPr="00CA2975">
          <w:rPr>
            <w:rStyle w:val="Hyperlink"/>
            <w:noProof/>
            <w:color w:val="auto"/>
            <w:sz w:val="22"/>
            <w:szCs w:val="18"/>
          </w:rPr>
          <w:t>1.3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Objectives and scope of this report</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_Toc233981233 \h </w:instrText>
        </w:r>
        <w:r w:rsidRPr="00CA2975">
          <w:rPr>
            <w:noProof/>
            <w:webHidden/>
            <w:sz w:val="22"/>
            <w:szCs w:val="18"/>
          </w:rPr>
        </w:r>
        <w:r w:rsidRPr="00CA2975">
          <w:rPr>
            <w:noProof/>
            <w:webHidden/>
            <w:sz w:val="22"/>
            <w:szCs w:val="18"/>
          </w:rPr>
          <w:fldChar w:fldCharType="separate"/>
        </w:r>
        <w:r w:rsidR="005B05A2">
          <w:rPr>
            <w:noProof/>
            <w:webHidden/>
            <w:sz w:val="22"/>
            <w:szCs w:val="18"/>
          </w:rPr>
          <w:t>8</w:t>
        </w:r>
        <w:r w:rsidRPr="00CA2975">
          <w:rPr>
            <w:noProof/>
            <w:webHidden/>
            <w:sz w:val="22"/>
            <w:szCs w:val="18"/>
          </w:rPr>
          <w:fldChar w:fldCharType="end"/>
        </w:r>
      </w:hyperlink>
    </w:p>
    <w:p w14:paraId="24703E41" w14:textId="48D01B3C"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4" w:history="1">
        <w:r w:rsidRPr="00CA2975">
          <w:rPr>
            <w:rStyle w:val="Hyperlink"/>
            <w:noProof/>
            <w:color w:val="auto"/>
            <w:sz w:val="22"/>
            <w:szCs w:val="18"/>
          </w:rPr>
          <w:t>1.4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Policy alignment</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_Toc233981234 \h </w:instrText>
        </w:r>
        <w:r w:rsidRPr="00CA2975">
          <w:rPr>
            <w:noProof/>
            <w:webHidden/>
            <w:sz w:val="22"/>
            <w:szCs w:val="18"/>
          </w:rPr>
        </w:r>
        <w:r w:rsidRPr="00CA2975">
          <w:rPr>
            <w:noProof/>
            <w:webHidden/>
            <w:sz w:val="22"/>
            <w:szCs w:val="18"/>
          </w:rPr>
          <w:fldChar w:fldCharType="separate"/>
        </w:r>
        <w:r w:rsidR="005B05A2">
          <w:rPr>
            <w:noProof/>
            <w:webHidden/>
            <w:sz w:val="22"/>
            <w:szCs w:val="18"/>
          </w:rPr>
          <w:t>9</w:t>
        </w:r>
        <w:r w:rsidRPr="00CA2975">
          <w:rPr>
            <w:noProof/>
            <w:webHidden/>
            <w:sz w:val="22"/>
            <w:szCs w:val="18"/>
          </w:rPr>
          <w:fldChar w:fldCharType="end"/>
        </w:r>
      </w:hyperlink>
    </w:p>
    <w:p w14:paraId="01111823" w14:textId="2674B45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5" w:history="1">
        <w:r w:rsidRPr="00CA2975">
          <w:rPr>
            <w:rStyle w:val="Hyperlink"/>
            <w:noProof/>
            <w:color w:val="auto"/>
            <w:sz w:val="22"/>
            <w:szCs w:val="18"/>
          </w:rPr>
          <w:t>1.5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Structure of the report</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_Toc233981235 \h </w:instrText>
        </w:r>
        <w:r w:rsidRPr="00CA2975">
          <w:rPr>
            <w:noProof/>
            <w:webHidden/>
            <w:sz w:val="22"/>
            <w:szCs w:val="18"/>
          </w:rPr>
        </w:r>
        <w:r w:rsidRPr="00CA2975">
          <w:rPr>
            <w:noProof/>
            <w:webHidden/>
            <w:sz w:val="22"/>
            <w:szCs w:val="18"/>
          </w:rPr>
          <w:fldChar w:fldCharType="separate"/>
        </w:r>
        <w:r w:rsidR="005B05A2">
          <w:rPr>
            <w:noProof/>
            <w:webHidden/>
            <w:sz w:val="22"/>
            <w:szCs w:val="18"/>
          </w:rPr>
          <w:t>9</w:t>
        </w:r>
        <w:r w:rsidRPr="00CA2975">
          <w:rPr>
            <w:noProof/>
            <w:webHidden/>
            <w:sz w:val="22"/>
            <w:szCs w:val="18"/>
          </w:rPr>
          <w:fldChar w:fldCharType="end"/>
        </w:r>
      </w:hyperlink>
    </w:p>
    <w:p w14:paraId="07D7A600" w14:textId="4CD15B4F"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236" w:history="1">
        <w:r w:rsidRPr="00CA2975">
          <w:rPr>
            <w:rStyle w:val="Hyperlink"/>
            <w:noProof/>
            <w:color w:val="auto"/>
            <w:sz w:val="28"/>
            <w:szCs w:val="18"/>
          </w:rPr>
          <w:t>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Methodology and Assessment Framework</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_Toc233981236 \h </w:instrText>
        </w:r>
        <w:r w:rsidRPr="00CA2975">
          <w:rPr>
            <w:noProof/>
            <w:webHidden/>
            <w:sz w:val="28"/>
            <w:szCs w:val="18"/>
          </w:rPr>
        </w:r>
        <w:r w:rsidRPr="00CA2975">
          <w:rPr>
            <w:noProof/>
            <w:webHidden/>
            <w:sz w:val="28"/>
            <w:szCs w:val="18"/>
          </w:rPr>
          <w:fldChar w:fldCharType="separate"/>
        </w:r>
        <w:r w:rsidR="005B05A2">
          <w:rPr>
            <w:noProof/>
            <w:webHidden/>
            <w:sz w:val="28"/>
            <w:szCs w:val="18"/>
          </w:rPr>
          <w:t>10</w:t>
        </w:r>
        <w:r w:rsidRPr="00CA2975">
          <w:rPr>
            <w:noProof/>
            <w:webHidden/>
            <w:sz w:val="28"/>
            <w:szCs w:val="18"/>
          </w:rPr>
          <w:fldChar w:fldCharType="end"/>
        </w:r>
      </w:hyperlink>
    </w:p>
    <w:p w14:paraId="7707F2B7" w14:textId="63E2962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7" w:history="1">
        <w:r w:rsidRPr="00CA2975">
          <w:rPr>
            <w:rStyle w:val="Hyperlink"/>
            <w:noProof/>
            <w:color w:val="auto"/>
            <w:sz w:val="22"/>
            <w:szCs w:val="18"/>
          </w:rPr>
          <w:t>2.1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Overall assessment approach</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_Toc233981237 \h </w:instrText>
        </w:r>
        <w:r w:rsidRPr="00CA2975">
          <w:rPr>
            <w:noProof/>
            <w:webHidden/>
            <w:sz w:val="22"/>
            <w:szCs w:val="18"/>
          </w:rPr>
        </w:r>
        <w:r w:rsidRPr="00CA2975">
          <w:rPr>
            <w:noProof/>
            <w:webHidden/>
            <w:sz w:val="22"/>
            <w:szCs w:val="18"/>
          </w:rPr>
          <w:fldChar w:fldCharType="separate"/>
        </w:r>
        <w:r w:rsidR="005B05A2">
          <w:rPr>
            <w:noProof/>
            <w:webHidden/>
            <w:sz w:val="22"/>
            <w:szCs w:val="18"/>
          </w:rPr>
          <w:t>10</w:t>
        </w:r>
        <w:r w:rsidRPr="00CA2975">
          <w:rPr>
            <w:noProof/>
            <w:webHidden/>
            <w:sz w:val="22"/>
            <w:szCs w:val="18"/>
          </w:rPr>
          <w:fldChar w:fldCharType="end"/>
        </w:r>
      </w:hyperlink>
    </w:p>
    <w:p w14:paraId="06F73BFA" w14:textId="37117D2B"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8" w:history="1">
        <w:r w:rsidRPr="00CA2975">
          <w:rPr>
            <w:rStyle w:val="Hyperlink"/>
            <w:noProof/>
            <w:color w:val="auto"/>
            <w:sz w:val="22"/>
            <w:szCs w:val="18"/>
          </w:rPr>
          <w:t>2.2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Data sources and evidence base</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_Toc233981238 \h </w:instrText>
        </w:r>
        <w:r w:rsidRPr="00CA2975">
          <w:rPr>
            <w:noProof/>
            <w:webHidden/>
            <w:sz w:val="22"/>
            <w:szCs w:val="18"/>
          </w:rPr>
        </w:r>
        <w:r w:rsidRPr="00CA2975">
          <w:rPr>
            <w:noProof/>
            <w:webHidden/>
            <w:sz w:val="22"/>
            <w:szCs w:val="18"/>
          </w:rPr>
          <w:fldChar w:fldCharType="separate"/>
        </w:r>
        <w:r w:rsidR="005B05A2">
          <w:rPr>
            <w:noProof/>
            <w:webHidden/>
            <w:sz w:val="22"/>
            <w:szCs w:val="18"/>
          </w:rPr>
          <w:t>10</w:t>
        </w:r>
        <w:r w:rsidRPr="00CA2975">
          <w:rPr>
            <w:noProof/>
            <w:webHidden/>
            <w:sz w:val="22"/>
            <w:szCs w:val="18"/>
          </w:rPr>
          <w:fldChar w:fldCharType="end"/>
        </w:r>
      </w:hyperlink>
    </w:p>
    <w:p w14:paraId="55C48776" w14:textId="35303C98"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39" w:history="1">
        <w:r w:rsidRPr="00CA2975">
          <w:rPr>
            <w:rStyle w:val="Hyperlink"/>
            <w:noProof/>
            <w:color w:val="auto"/>
            <w:sz w:val="22"/>
            <w:szCs w:val="18"/>
          </w:rPr>
          <w:t>2.3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Ecosystem-based adaptation framework</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_Toc233981239 \h </w:instrText>
        </w:r>
        <w:r w:rsidRPr="00CA2975">
          <w:rPr>
            <w:noProof/>
            <w:webHidden/>
            <w:sz w:val="22"/>
            <w:szCs w:val="18"/>
          </w:rPr>
        </w:r>
        <w:r w:rsidRPr="00CA2975">
          <w:rPr>
            <w:noProof/>
            <w:webHidden/>
            <w:sz w:val="22"/>
            <w:szCs w:val="18"/>
          </w:rPr>
          <w:fldChar w:fldCharType="separate"/>
        </w:r>
        <w:r w:rsidR="005B05A2">
          <w:rPr>
            <w:noProof/>
            <w:webHidden/>
            <w:sz w:val="22"/>
            <w:szCs w:val="18"/>
          </w:rPr>
          <w:t>11</w:t>
        </w:r>
        <w:r w:rsidRPr="00CA2975">
          <w:rPr>
            <w:noProof/>
            <w:webHidden/>
            <w:sz w:val="22"/>
            <w:szCs w:val="18"/>
          </w:rPr>
          <w:fldChar w:fldCharType="end"/>
        </w:r>
      </w:hyperlink>
    </w:p>
    <w:p w14:paraId="6F8DA90F" w14:textId="63E3AC30"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0" w:history="1">
        <w:r w:rsidRPr="00CA2975">
          <w:rPr>
            <w:rStyle w:val="Hyperlink"/>
            <w:noProof/>
            <w:color w:val="auto"/>
            <w:sz w:val="22"/>
            <w:szCs w:val="18"/>
          </w:rPr>
          <w:t>2.4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Technology screening: multi-criteria analysis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_Toc233981240 \h </w:instrText>
        </w:r>
        <w:r w:rsidRPr="00CA2975">
          <w:rPr>
            <w:noProof/>
            <w:webHidden/>
            <w:sz w:val="22"/>
            <w:szCs w:val="18"/>
          </w:rPr>
        </w:r>
        <w:r w:rsidRPr="00CA2975">
          <w:rPr>
            <w:noProof/>
            <w:webHidden/>
            <w:sz w:val="22"/>
            <w:szCs w:val="18"/>
          </w:rPr>
          <w:fldChar w:fldCharType="separate"/>
        </w:r>
        <w:r w:rsidR="005B05A2">
          <w:rPr>
            <w:noProof/>
            <w:webHidden/>
            <w:sz w:val="22"/>
            <w:szCs w:val="18"/>
          </w:rPr>
          <w:t>11</w:t>
        </w:r>
        <w:r w:rsidRPr="00CA2975">
          <w:rPr>
            <w:noProof/>
            <w:webHidden/>
            <w:sz w:val="22"/>
            <w:szCs w:val="18"/>
          </w:rPr>
          <w:fldChar w:fldCharType="end"/>
        </w:r>
      </w:hyperlink>
    </w:p>
    <w:p w14:paraId="289B9392" w14:textId="46D011A6"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1" w:history="1">
        <w:r w:rsidRPr="00CA2975">
          <w:rPr>
            <w:rStyle w:val="Hyperlink"/>
            <w:noProof/>
            <w:color w:val="auto"/>
            <w:sz w:val="22"/>
            <w:szCs w:val="18"/>
          </w:rPr>
          <w:t>2.5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Production economics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_Toc233981241 \h </w:instrText>
        </w:r>
        <w:r w:rsidRPr="00CA2975">
          <w:rPr>
            <w:noProof/>
            <w:webHidden/>
            <w:sz w:val="22"/>
            <w:szCs w:val="18"/>
          </w:rPr>
        </w:r>
        <w:r w:rsidRPr="00CA2975">
          <w:rPr>
            <w:noProof/>
            <w:webHidden/>
            <w:sz w:val="22"/>
            <w:szCs w:val="18"/>
          </w:rPr>
          <w:fldChar w:fldCharType="separate"/>
        </w:r>
        <w:r w:rsidR="005B05A2">
          <w:rPr>
            <w:noProof/>
            <w:webHidden/>
            <w:sz w:val="22"/>
            <w:szCs w:val="18"/>
          </w:rPr>
          <w:t>11</w:t>
        </w:r>
        <w:r w:rsidRPr="00CA2975">
          <w:rPr>
            <w:noProof/>
            <w:webHidden/>
            <w:sz w:val="22"/>
            <w:szCs w:val="18"/>
          </w:rPr>
          <w:fldChar w:fldCharType="end"/>
        </w:r>
      </w:hyperlink>
    </w:p>
    <w:p w14:paraId="737909E6" w14:textId="76E2C163"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2" w:history="1">
        <w:r w:rsidRPr="00CA2975">
          <w:rPr>
            <w:rStyle w:val="Hyperlink"/>
            <w:noProof/>
            <w:color w:val="auto"/>
            <w:sz w:val="22"/>
            <w:szCs w:val="18"/>
          </w:rPr>
          <w:t>2.6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Interface with the Cost-Benefit Analysis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_Toc233981242 \h </w:instrText>
        </w:r>
        <w:r w:rsidRPr="00CA2975">
          <w:rPr>
            <w:noProof/>
            <w:webHidden/>
            <w:sz w:val="22"/>
            <w:szCs w:val="18"/>
          </w:rPr>
        </w:r>
        <w:r w:rsidRPr="00CA2975">
          <w:rPr>
            <w:noProof/>
            <w:webHidden/>
            <w:sz w:val="22"/>
            <w:szCs w:val="18"/>
          </w:rPr>
          <w:fldChar w:fldCharType="separate"/>
        </w:r>
        <w:r w:rsidR="005B05A2">
          <w:rPr>
            <w:noProof/>
            <w:webHidden/>
            <w:sz w:val="22"/>
            <w:szCs w:val="18"/>
          </w:rPr>
          <w:t>11</w:t>
        </w:r>
        <w:r w:rsidRPr="00CA2975">
          <w:rPr>
            <w:noProof/>
            <w:webHidden/>
            <w:sz w:val="22"/>
            <w:szCs w:val="18"/>
          </w:rPr>
          <w:fldChar w:fldCharType="end"/>
        </w:r>
      </w:hyperlink>
    </w:p>
    <w:p w14:paraId="057DAFCC" w14:textId="520AF1F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3" w:history="1">
        <w:r w:rsidRPr="00CA2975">
          <w:rPr>
            <w:rStyle w:val="Hyperlink"/>
            <w:noProof/>
            <w:color w:val="auto"/>
            <w:sz w:val="22"/>
            <w:szCs w:val="18"/>
          </w:rPr>
          <w:t>2.7</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Limitations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_Toc233981243 \h </w:instrText>
        </w:r>
        <w:r w:rsidRPr="00CA2975">
          <w:rPr>
            <w:noProof/>
            <w:webHidden/>
            <w:sz w:val="22"/>
            <w:szCs w:val="18"/>
          </w:rPr>
        </w:r>
        <w:r w:rsidRPr="00CA2975">
          <w:rPr>
            <w:noProof/>
            <w:webHidden/>
            <w:sz w:val="22"/>
            <w:szCs w:val="18"/>
          </w:rPr>
          <w:fldChar w:fldCharType="separate"/>
        </w:r>
        <w:r w:rsidR="005B05A2">
          <w:rPr>
            <w:noProof/>
            <w:webHidden/>
            <w:sz w:val="22"/>
            <w:szCs w:val="18"/>
          </w:rPr>
          <w:t>12</w:t>
        </w:r>
        <w:r w:rsidRPr="00CA2975">
          <w:rPr>
            <w:noProof/>
            <w:webHidden/>
            <w:sz w:val="22"/>
            <w:szCs w:val="18"/>
          </w:rPr>
          <w:fldChar w:fldCharType="end"/>
        </w:r>
      </w:hyperlink>
    </w:p>
    <w:p w14:paraId="41CDE6AC" w14:textId="0E52FF28"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244" w:history="1">
        <w:r w:rsidRPr="00CA2975">
          <w:rPr>
            <w:rStyle w:val="Hyperlink"/>
            <w:noProof/>
            <w:color w:val="auto"/>
            <w:sz w:val="28"/>
            <w:szCs w:val="18"/>
          </w:rPr>
          <w:t>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lang w:eastAsia="zh-CN"/>
          </w:rPr>
          <w:t>Policy and Institutional Context</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_Toc233981244 \h </w:instrText>
        </w:r>
        <w:r w:rsidRPr="00CA2975">
          <w:rPr>
            <w:noProof/>
            <w:webHidden/>
            <w:sz w:val="28"/>
            <w:szCs w:val="18"/>
          </w:rPr>
        </w:r>
        <w:r w:rsidRPr="00CA2975">
          <w:rPr>
            <w:noProof/>
            <w:webHidden/>
            <w:sz w:val="28"/>
            <w:szCs w:val="18"/>
          </w:rPr>
          <w:fldChar w:fldCharType="separate"/>
        </w:r>
        <w:r w:rsidR="005B05A2">
          <w:rPr>
            <w:noProof/>
            <w:webHidden/>
            <w:sz w:val="28"/>
            <w:szCs w:val="18"/>
          </w:rPr>
          <w:t>13</w:t>
        </w:r>
        <w:r w:rsidRPr="00CA2975">
          <w:rPr>
            <w:noProof/>
            <w:webHidden/>
            <w:sz w:val="28"/>
            <w:szCs w:val="18"/>
          </w:rPr>
          <w:fldChar w:fldCharType="end"/>
        </w:r>
      </w:hyperlink>
    </w:p>
    <w:p w14:paraId="13172BDB" w14:textId="0148D605"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5" w:history="1">
        <w:r w:rsidRPr="00CA2975">
          <w:rPr>
            <w:rStyle w:val="Hyperlink"/>
            <w:noProof/>
            <w:color w:val="auto"/>
            <w:sz w:val="22"/>
            <w:szCs w:val="18"/>
          </w:rPr>
          <w:t>3.1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lang w:eastAsia="zh-CN"/>
          </w:rPr>
          <w:t>National policy and strategic framework</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_Toc233981245 \h </w:instrText>
        </w:r>
        <w:r w:rsidRPr="00CA2975">
          <w:rPr>
            <w:noProof/>
            <w:webHidden/>
            <w:sz w:val="22"/>
            <w:szCs w:val="18"/>
          </w:rPr>
        </w:r>
        <w:r w:rsidRPr="00CA2975">
          <w:rPr>
            <w:noProof/>
            <w:webHidden/>
            <w:sz w:val="22"/>
            <w:szCs w:val="18"/>
          </w:rPr>
          <w:fldChar w:fldCharType="separate"/>
        </w:r>
        <w:r w:rsidR="005B05A2">
          <w:rPr>
            <w:noProof/>
            <w:webHidden/>
            <w:sz w:val="22"/>
            <w:szCs w:val="18"/>
          </w:rPr>
          <w:t>13</w:t>
        </w:r>
        <w:r w:rsidRPr="00CA2975">
          <w:rPr>
            <w:noProof/>
            <w:webHidden/>
            <w:sz w:val="22"/>
            <w:szCs w:val="18"/>
          </w:rPr>
          <w:fldChar w:fldCharType="end"/>
        </w:r>
      </w:hyperlink>
    </w:p>
    <w:p w14:paraId="7AFA1C17" w14:textId="5E01B586"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46" w:history="1">
        <w:r w:rsidRPr="00CA2975">
          <w:rPr>
            <w:rStyle w:val="Hyperlink"/>
            <w:noProof/>
            <w:color w:val="auto"/>
            <w:sz w:val="20"/>
            <w:szCs w:val="18"/>
          </w:rPr>
          <w:t>3.1.1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Policy coherence assessment</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_Toc233981246 \h </w:instrText>
        </w:r>
        <w:r w:rsidRPr="00CA2975">
          <w:rPr>
            <w:noProof/>
            <w:webHidden/>
            <w:sz w:val="20"/>
            <w:szCs w:val="18"/>
          </w:rPr>
        </w:r>
        <w:r w:rsidRPr="00CA2975">
          <w:rPr>
            <w:noProof/>
            <w:webHidden/>
            <w:sz w:val="20"/>
            <w:szCs w:val="18"/>
          </w:rPr>
          <w:fldChar w:fldCharType="separate"/>
        </w:r>
        <w:r w:rsidR="005B05A2">
          <w:rPr>
            <w:noProof/>
            <w:webHidden/>
            <w:sz w:val="20"/>
            <w:szCs w:val="18"/>
          </w:rPr>
          <w:t>15</w:t>
        </w:r>
        <w:r w:rsidRPr="00CA2975">
          <w:rPr>
            <w:noProof/>
            <w:webHidden/>
            <w:sz w:val="20"/>
            <w:szCs w:val="18"/>
          </w:rPr>
          <w:fldChar w:fldCharType="end"/>
        </w:r>
      </w:hyperlink>
    </w:p>
    <w:p w14:paraId="68148CA6" w14:textId="79968E2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7" w:history="1">
        <w:r w:rsidRPr="00CA2975">
          <w:rPr>
            <w:rStyle w:val="Hyperlink"/>
            <w:noProof/>
            <w:color w:val="auto"/>
            <w:sz w:val="22"/>
            <w:szCs w:val="18"/>
          </w:rPr>
          <w:t>3.2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lang w:eastAsia="zh-CN"/>
          </w:rPr>
          <w:t>Institutional landscape and roles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_Toc233981247 \h </w:instrText>
        </w:r>
        <w:r w:rsidRPr="00CA2975">
          <w:rPr>
            <w:noProof/>
            <w:webHidden/>
            <w:sz w:val="22"/>
            <w:szCs w:val="18"/>
          </w:rPr>
        </w:r>
        <w:r w:rsidRPr="00CA2975">
          <w:rPr>
            <w:noProof/>
            <w:webHidden/>
            <w:sz w:val="22"/>
            <w:szCs w:val="18"/>
          </w:rPr>
          <w:fldChar w:fldCharType="separate"/>
        </w:r>
        <w:r w:rsidR="005B05A2">
          <w:rPr>
            <w:noProof/>
            <w:webHidden/>
            <w:sz w:val="22"/>
            <w:szCs w:val="18"/>
          </w:rPr>
          <w:t>15</w:t>
        </w:r>
        <w:r w:rsidRPr="00CA2975">
          <w:rPr>
            <w:noProof/>
            <w:webHidden/>
            <w:sz w:val="22"/>
            <w:szCs w:val="18"/>
          </w:rPr>
          <w:fldChar w:fldCharType="end"/>
        </w:r>
      </w:hyperlink>
    </w:p>
    <w:p w14:paraId="7764A487" w14:textId="26F5F21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8" w:history="1">
        <w:r w:rsidRPr="00CA2975">
          <w:rPr>
            <w:rStyle w:val="Hyperlink"/>
            <w:noProof/>
            <w:color w:val="auto"/>
            <w:sz w:val="22"/>
            <w:szCs w:val="18"/>
          </w:rPr>
          <w:t>3.3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lang w:eastAsia="zh-CN"/>
          </w:rPr>
          <w:t>Regulatory and standards framework</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_Toc233981248 \h </w:instrText>
        </w:r>
        <w:r w:rsidRPr="00CA2975">
          <w:rPr>
            <w:noProof/>
            <w:webHidden/>
            <w:sz w:val="22"/>
            <w:szCs w:val="18"/>
          </w:rPr>
        </w:r>
        <w:r w:rsidRPr="00CA2975">
          <w:rPr>
            <w:noProof/>
            <w:webHidden/>
            <w:sz w:val="22"/>
            <w:szCs w:val="18"/>
          </w:rPr>
          <w:fldChar w:fldCharType="separate"/>
        </w:r>
        <w:r w:rsidR="005B05A2">
          <w:rPr>
            <w:noProof/>
            <w:webHidden/>
            <w:sz w:val="22"/>
            <w:szCs w:val="18"/>
          </w:rPr>
          <w:t>17</w:t>
        </w:r>
        <w:r w:rsidRPr="00CA2975">
          <w:rPr>
            <w:noProof/>
            <w:webHidden/>
            <w:sz w:val="22"/>
            <w:szCs w:val="18"/>
          </w:rPr>
          <w:fldChar w:fldCharType="end"/>
        </w:r>
      </w:hyperlink>
    </w:p>
    <w:p w14:paraId="6B08C248" w14:textId="6E3301CA"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49" w:history="1">
        <w:r w:rsidRPr="00CA2975">
          <w:rPr>
            <w:rStyle w:val="Hyperlink"/>
            <w:noProof/>
            <w:color w:val="auto"/>
            <w:sz w:val="22"/>
            <w:szCs w:val="18"/>
          </w:rPr>
          <w:t>3.4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lang w:eastAsia="zh-CN"/>
          </w:rPr>
          <w:t>Key gaps and constraints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_Toc233981249 \h </w:instrText>
        </w:r>
        <w:r w:rsidRPr="00CA2975">
          <w:rPr>
            <w:noProof/>
            <w:webHidden/>
            <w:sz w:val="22"/>
            <w:szCs w:val="18"/>
          </w:rPr>
        </w:r>
        <w:r w:rsidRPr="00CA2975">
          <w:rPr>
            <w:noProof/>
            <w:webHidden/>
            <w:sz w:val="22"/>
            <w:szCs w:val="18"/>
          </w:rPr>
          <w:fldChar w:fldCharType="separate"/>
        </w:r>
        <w:r w:rsidR="005B05A2">
          <w:rPr>
            <w:noProof/>
            <w:webHidden/>
            <w:sz w:val="22"/>
            <w:szCs w:val="18"/>
          </w:rPr>
          <w:t>19</w:t>
        </w:r>
        <w:r w:rsidRPr="00CA2975">
          <w:rPr>
            <w:noProof/>
            <w:webHidden/>
            <w:sz w:val="22"/>
            <w:szCs w:val="18"/>
          </w:rPr>
          <w:fldChar w:fldCharType="end"/>
        </w:r>
      </w:hyperlink>
    </w:p>
    <w:p w14:paraId="4A122C15" w14:textId="53803F33"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250" w:history="1">
        <w:r w:rsidRPr="00CA2975">
          <w:rPr>
            <w:rStyle w:val="Hyperlink"/>
            <w:noProof/>
            <w:color w:val="auto"/>
            <w:sz w:val="28"/>
            <w:szCs w:val="18"/>
          </w:rPr>
          <w:t>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Target Areas and Agro-Ecological Zonation (Biophysical baseline)</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_Toc233981250 \h </w:instrText>
        </w:r>
        <w:r w:rsidRPr="00CA2975">
          <w:rPr>
            <w:noProof/>
            <w:webHidden/>
            <w:sz w:val="28"/>
            <w:szCs w:val="18"/>
          </w:rPr>
        </w:r>
        <w:r w:rsidRPr="00CA2975">
          <w:rPr>
            <w:noProof/>
            <w:webHidden/>
            <w:sz w:val="28"/>
            <w:szCs w:val="18"/>
          </w:rPr>
          <w:fldChar w:fldCharType="separate"/>
        </w:r>
        <w:r w:rsidR="005B05A2">
          <w:rPr>
            <w:noProof/>
            <w:webHidden/>
            <w:sz w:val="28"/>
            <w:szCs w:val="18"/>
          </w:rPr>
          <w:t>22</w:t>
        </w:r>
        <w:r w:rsidRPr="00CA2975">
          <w:rPr>
            <w:noProof/>
            <w:webHidden/>
            <w:sz w:val="28"/>
            <w:szCs w:val="18"/>
          </w:rPr>
          <w:fldChar w:fldCharType="end"/>
        </w:r>
      </w:hyperlink>
    </w:p>
    <w:p w14:paraId="3631F912" w14:textId="3E01A777"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51" w:history="1">
        <w:r w:rsidRPr="00CA2975">
          <w:rPr>
            <w:rStyle w:val="Hyperlink"/>
            <w:noProof/>
            <w:color w:val="auto"/>
            <w:sz w:val="22"/>
            <w:szCs w:val="18"/>
          </w:rPr>
          <w:t>4.1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Geographic focus and administrative setting</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_Toc233981251 \h </w:instrText>
        </w:r>
        <w:r w:rsidRPr="00CA2975">
          <w:rPr>
            <w:noProof/>
            <w:webHidden/>
            <w:sz w:val="22"/>
            <w:szCs w:val="18"/>
          </w:rPr>
        </w:r>
        <w:r w:rsidRPr="00CA2975">
          <w:rPr>
            <w:noProof/>
            <w:webHidden/>
            <w:sz w:val="22"/>
            <w:szCs w:val="18"/>
          </w:rPr>
          <w:fldChar w:fldCharType="separate"/>
        </w:r>
        <w:r w:rsidR="005B05A2">
          <w:rPr>
            <w:noProof/>
            <w:webHidden/>
            <w:sz w:val="22"/>
            <w:szCs w:val="18"/>
          </w:rPr>
          <w:t>22</w:t>
        </w:r>
        <w:r w:rsidRPr="00CA2975">
          <w:rPr>
            <w:noProof/>
            <w:webHidden/>
            <w:sz w:val="22"/>
            <w:szCs w:val="18"/>
          </w:rPr>
          <w:fldChar w:fldCharType="end"/>
        </w:r>
      </w:hyperlink>
    </w:p>
    <w:p w14:paraId="362D0068" w14:textId="01819057"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52" w:history="1">
        <w:r w:rsidRPr="00CA2975">
          <w:rPr>
            <w:rStyle w:val="Hyperlink"/>
            <w:noProof/>
            <w:color w:val="auto"/>
            <w:sz w:val="20"/>
            <w:szCs w:val="18"/>
          </w:rPr>
          <w:t>4.1.1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Dundgovi</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_Toc233981252 \h </w:instrText>
        </w:r>
        <w:r w:rsidRPr="00CA2975">
          <w:rPr>
            <w:noProof/>
            <w:webHidden/>
            <w:sz w:val="20"/>
            <w:szCs w:val="18"/>
          </w:rPr>
        </w:r>
        <w:r w:rsidRPr="00CA2975">
          <w:rPr>
            <w:noProof/>
            <w:webHidden/>
            <w:sz w:val="20"/>
            <w:szCs w:val="18"/>
          </w:rPr>
          <w:fldChar w:fldCharType="separate"/>
        </w:r>
        <w:r w:rsidR="005B05A2">
          <w:rPr>
            <w:noProof/>
            <w:webHidden/>
            <w:sz w:val="20"/>
            <w:szCs w:val="18"/>
          </w:rPr>
          <w:t>25</w:t>
        </w:r>
        <w:r w:rsidRPr="00CA2975">
          <w:rPr>
            <w:noProof/>
            <w:webHidden/>
            <w:sz w:val="20"/>
            <w:szCs w:val="18"/>
          </w:rPr>
          <w:fldChar w:fldCharType="end"/>
        </w:r>
      </w:hyperlink>
    </w:p>
    <w:p w14:paraId="77755997" w14:textId="09B5C4F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53" w:history="1">
        <w:r w:rsidRPr="00CA2975">
          <w:rPr>
            <w:rStyle w:val="Hyperlink"/>
            <w:noProof/>
            <w:color w:val="auto"/>
            <w:sz w:val="20"/>
            <w:szCs w:val="18"/>
          </w:rPr>
          <w:t>4.1.2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Uvurkhangai</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_Toc233981253 \h </w:instrText>
        </w:r>
        <w:r w:rsidRPr="00CA2975">
          <w:rPr>
            <w:noProof/>
            <w:webHidden/>
            <w:sz w:val="20"/>
            <w:szCs w:val="18"/>
          </w:rPr>
        </w:r>
        <w:r w:rsidRPr="00CA2975">
          <w:rPr>
            <w:noProof/>
            <w:webHidden/>
            <w:sz w:val="20"/>
            <w:szCs w:val="18"/>
          </w:rPr>
          <w:fldChar w:fldCharType="separate"/>
        </w:r>
        <w:r w:rsidR="005B05A2">
          <w:rPr>
            <w:noProof/>
            <w:webHidden/>
            <w:sz w:val="20"/>
            <w:szCs w:val="18"/>
          </w:rPr>
          <w:t>26</w:t>
        </w:r>
        <w:r w:rsidRPr="00CA2975">
          <w:rPr>
            <w:noProof/>
            <w:webHidden/>
            <w:sz w:val="20"/>
            <w:szCs w:val="18"/>
          </w:rPr>
          <w:fldChar w:fldCharType="end"/>
        </w:r>
      </w:hyperlink>
    </w:p>
    <w:p w14:paraId="6BFADE74" w14:textId="1B7190C9"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54" w:history="1">
        <w:r w:rsidRPr="00CA2975">
          <w:rPr>
            <w:rStyle w:val="Hyperlink"/>
            <w:noProof/>
            <w:color w:val="auto"/>
            <w:sz w:val="22"/>
            <w:szCs w:val="18"/>
          </w:rPr>
          <w:t>4.2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Climate characteristics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_Toc233981254 \h </w:instrText>
        </w:r>
        <w:r w:rsidRPr="00CA2975">
          <w:rPr>
            <w:noProof/>
            <w:webHidden/>
            <w:sz w:val="22"/>
            <w:szCs w:val="18"/>
          </w:rPr>
        </w:r>
        <w:r w:rsidRPr="00CA2975">
          <w:rPr>
            <w:noProof/>
            <w:webHidden/>
            <w:sz w:val="22"/>
            <w:szCs w:val="18"/>
          </w:rPr>
          <w:fldChar w:fldCharType="separate"/>
        </w:r>
        <w:r w:rsidR="005B05A2">
          <w:rPr>
            <w:noProof/>
            <w:webHidden/>
            <w:sz w:val="22"/>
            <w:szCs w:val="18"/>
          </w:rPr>
          <w:t>26</w:t>
        </w:r>
        <w:r w:rsidRPr="00CA2975">
          <w:rPr>
            <w:noProof/>
            <w:webHidden/>
            <w:sz w:val="22"/>
            <w:szCs w:val="18"/>
          </w:rPr>
          <w:fldChar w:fldCharType="end"/>
        </w:r>
      </w:hyperlink>
    </w:p>
    <w:p w14:paraId="1234F7DD" w14:textId="27AA9B7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55" w:history="1">
        <w:r w:rsidRPr="00CA2975">
          <w:rPr>
            <w:rStyle w:val="Hyperlink"/>
            <w:noProof/>
            <w:color w:val="auto"/>
            <w:sz w:val="20"/>
            <w:szCs w:val="18"/>
          </w:rPr>
          <w:t>4.2.1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Temperature regime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_Toc233981255 \h </w:instrText>
        </w:r>
        <w:r w:rsidRPr="00CA2975">
          <w:rPr>
            <w:noProof/>
            <w:webHidden/>
            <w:sz w:val="20"/>
            <w:szCs w:val="18"/>
          </w:rPr>
        </w:r>
        <w:r w:rsidRPr="00CA2975">
          <w:rPr>
            <w:noProof/>
            <w:webHidden/>
            <w:sz w:val="20"/>
            <w:szCs w:val="18"/>
          </w:rPr>
          <w:fldChar w:fldCharType="separate"/>
        </w:r>
        <w:r w:rsidR="005B05A2">
          <w:rPr>
            <w:noProof/>
            <w:webHidden/>
            <w:sz w:val="20"/>
            <w:szCs w:val="18"/>
          </w:rPr>
          <w:t>26</w:t>
        </w:r>
        <w:r w:rsidRPr="00CA2975">
          <w:rPr>
            <w:noProof/>
            <w:webHidden/>
            <w:sz w:val="20"/>
            <w:szCs w:val="18"/>
          </w:rPr>
          <w:fldChar w:fldCharType="end"/>
        </w:r>
      </w:hyperlink>
    </w:p>
    <w:p w14:paraId="1515862C" w14:textId="1B3683FE"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56" w:history="1">
        <w:r w:rsidRPr="00CA2975">
          <w:rPr>
            <w:rStyle w:val="Hyperlink"/>
            <w:noProof/>
            <w:color w:val="auto"/>
            <w:sz w:val="20"/>
            <w:szCs w:val="18"/>
          </w:rPr>
          <w:t>4.2.2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Precipitation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_Toc233981256 \h </w:instrText>
        </w:r>
        <w:r w:rsidRPr="00CA2975">
          <w:rPr>
            <w:noProof/>
            <w:webHidden/>
            <w:sz w:val="20"/>
            <w:szCs w:val="18"/>
          </w:rPr>
        </w:r>
        <w:r w:rsidRPr="00CA2975">
          <w:rPr>
            <w:noProof/>
            <w:webHidden/>
            <w:sz w:val="20"/>
            <w:szCs w:val="18"/>
          </w:rPr>
          <w:fldChar w:fldCharType="separate"/>
        </w:r>
        <w:r w:rsidR="005B05A2">
          <w:rPr>
            <w:noProof/>
            <w:webHidden/>
            <w:sz w:val="20"/>
            <w:szCs w:val="18"/>
          </w:rPr>
          <w:t>27</w:t>
        </w:r>
        <w:r w:rsidRPr="00CA2975">
          <w:rPr>
            <w:noProof/>
            <w:webHidden/>
            <w:sz w:val="20"/>
            <w:szCs w:val="18"/>
          </w:rPr>
          <w:fldChar w:fldCharType="end"/>
        </w:r>
      </w:hyperlink>
    </w:p>
    <w:p w14:paraId="75C8F1E4" w14:textId="5EBA0D4D"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57" w:history="1">
        <w:r w:rsidRPr="00CA2975">
          <w:rPr>
            <w:rStyle w:val="Hyperlink"/>
            <w:noProof/>
            <w:color w:val="auto"/>
            <w:sz w:val="20"/>
            <w:szCs w:val="18"/>
          </w:rPr>
          <w:t>4.2.3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Solar radiation and sunshine hours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_Toc233981257 \h </w:instrText>
        </w:r>
        <w:r w:rsidRPr="00CA2975">
          <w:rPr>
            <w:noProof/>
            <w:webHidden/>
            <w:sz w:val="20"/>
            <w:szCs w:val="18"/>
          </w:rPr>
        </w:r>
        <w:r w:rsidRPr="00CA2975">
          <w:rPr>
            <w:noProof/>
            <w:webHidden/>
            <w:sz w:val="20"/>
            <w:szCs w:val="18"/>
          </w:rPr>
          <w:fldChar w:fldCharType="separate"/>
        </w:r>
        <w:r w:rsidR="005B05A2">
          <w:rPr>
            <w:noProof/>
            <w:webHidden/>
            <w:sz w:val="20"/>
            <w:szCs w:val="18"/>
          </w:rPr>
          <w:t>28</w:t>
        </w:r>
        <w:r w:rsidRPr="00CA2975">
          <w:rPr>
            <w:noProof/>
            <w:webHidden/>
            <w:sz w:val="20"/>
            <w:szCs w:val="18"/>
          </w:rPr>
          <w:fldChar w:fldCharType="end"/>
        </w:r>
      </w:hyperlink>
    </w:p>
    <w:p w14:paraId="38F4A29A" w14:textId="019D9B4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58" w:history="1">
        <w:r w:rsidRPr="00CA2975">
          <w:rPr>
            <w:rStyle w:val="Hyperlink"/>
            <w:noProof/>
            <w:color w:val="auto"/>
            <w:sz w:val="20"/>
            <w:szCs w:val="18"/>
          </w:rPr>
          <w:t>4.2.4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Humidity and evapotranspiration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_Toc233981258 \h </w:instrText>
        </w:r>
        <w:r w:rsidRPr="00CA2975">
          <w:rPr>
            <w:noProof/>
            <w:webHidden/>
            <w:sz w:val="20"/>
            <w:szCs w:val="18"/>
          </w:rPr>
        </w:r>
        <w:r w:rsidRPr="00CA2975">
          <w:rPr>
            <w:noProof/>
            <w:webHidden/>
            <w:sz w:val="20"/>
            <w:szCs w:val="18"/>
          </w:rPr>
          <w:fldChar w:fldCharType="separate"/>
        </w:r>
        <w:r w:rsidR="005B05A2">
          <w:rPr>
            <w:noProof/>
            <w:webHidden/>
            <w:sz w:val="20"/>
            <w:szCs w:val="18"/>
          </w:rPr>
          <w:t>29</w:t>
        </w:r>
        <w:r w:rsidRPr="00CA2975">
          <w:rPr>
            <w:noProof/>
            <w:webHidden/>
            <w:sz w:val="20"/>
            <w:szCs w:val="18"/>
          </w:rPr>
          <w:fldChar w:fldCharType="end"/>
        </w:r>
      </w:hyperlink>
    </w:p>
    <w:p w14:paraId="1C0EC1A5" w14:textId="2563219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59" w:history="1">
        <w:r w:rsidRPr="00CA2975">
          <w:rPr>
            <w:rStyle w:val="Hyperlink"/>
            <w:noProof/>
            <w:color w:val="auto"/>
            <w:sz w:val="22"/>
            <w:szCs w:val="18"/>
          </w:rPr>
          <w:t>4.3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Wind, sand and dust storms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_Toc233981259 \h </w:instrText>
        </w:r>
        <w:r w:rsidRPr="00CA2975">
          <w:rPr>
            <w:noProof/>
            <w:webHidden/>
            <w:sz w:val="22"/>
            <w:szCs w:val="18"/>
          </w:rPr>
        </w:r>
        <w:r w:rsidRPr="00CA2975">
          <w:rPr>
            <w:noProof/>
            <w:webHidden/>
            <w:sz w:val="22"/>
            <w:szCs w:val="18"/>
          </w:rPr>
          <w:fldChar w:fldCharType="separate"/>
        </w:r>
        <w:r w:rsidR="005B05A2">
          <w:rPr>
            <w:noProof/>
            <w:webHidden/>
            <w:sz w:val="22"/>
            <w:szCs w:val="18"/>
          </w:rPr>
          <w:t>29</w:t>
        </w:r>
        <w:r w:rsidRPr="00CA2975">
          <w:rPr>
            <w:noProof/>
            <w:webHidden/>
            <w:sz w:val="22"/>
            <w:szCs w:val="18"/>
          </w:rPr>
          <w:fldChar w:fldCharType="end"/>
        </w:r>
      </w:hyperlink>
    </w:p>
    <w:p w14:paraId="7D27864B" w14:textId="3C35D79D"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60" w:history="1">
        <w:r w:rsidRPr="00CA2975">
          <w:rPr>
            <w:rStyle w:val="Hyperlink"/>
            <w:noProof/>
            <w:color w:val="auto"/>
            <w:sz w:val="20"/>
            <w:szCs w:val="18"/>
          </w:rPr>
          <w:t>4.3.1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Implication for shelterbelt design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_Toc233981260 \h </w:instrText>
        </w:r>
        <w:r w:rsidRPr="00CA2975">
          <w:rPr>
            <w:noProof/>
            <w:webHidden/>
            <w:sz w:val="20"/>
            <w:szCs w:val="18"/>
          </w:rPr>
        </w:r>
        <w:r w:rsidRPr="00CA2975">
          <w:rPr>
            <w:noProof/>
            <w:webHidden/>
            <w:sz w:val="20"/>
            <w:szCs w:val="18"/>
          </w:rPr>
          <w:fldChar w:fldCharType="separate"/>
        </w:r>
        <w:r w:rsidR="005B05A2">
          <w:rPr>
            <w:noProof/>
            <w:webHidden/>
            <w:sz w:val="20"/>
            <w:szCs w:val="18"/>
          </w:rPr>
          <w:t>30</w:t>
        </w:r>
        <w:r w:rsidRPr="00CA2975">
          <w:rPr>
            <w:noProof/>
            <w:webHidden/>
            <w:sz w:val="20"/>
            <w:szCs w:val="18"/>
          </w:rPr>
          <w:fldChar w:fldCharType="end"/>
        </w:r>
      </w:hyperlink>
    </w:p>
    <w:p w14:paraId="7057E3A7" w14:textId="4995555A"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61" w:history="1">
        <w:r w:rsidRPr="00CA2975">
          <w:rPr>
            <w:rStyle w:val="Hyperlink"/>
            <w:noProof/>
            <w:color w:val="auto"/>
            <w:sz w:val="22"/>
            <w:szCs w:val="18"/>
          </w:rPr>
          <w:t>4.4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Frost-free period and operating season</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_Toc233981261 \h </w:instrText>
        </w:r>
        <w:r w:rsidRPr="00CA2975">
          <w:rPr>
            <w:noProof/>
            <w:webHidden/>
            <w:sz w:val="22"/>
            <w:szCs w:val="18"/>
          </w:rPr>
        </w:r>
        <w:r w:rsidRPr="00CA2975">
          <w:rPr>
            <w:noProof/>
            <w:webHidden/>
            <w:sz w:val="22"/>
            <w:szCs w:val="18"/>
          </w:rPr>
          <w:fldChar w:fldCharType="separate"/>
        </w:r>
        <w:r w:rsidR="005B05A2">
          <w:rPr>
            <w:noProof/>
            <w:webHidden/>
            <w:sz w:val="22"/>
            <w:szCs w:val="18"/>
          </w:rPr>
          <w:t>30</w:t>
        </w:r>
        <w:r w:rsidRPr="00CA2975">
          <w:rPr>
            <w:noProof/>
            <w:webHidden/>
            <w:sz w:val="22"/>
            <w:szCs w:val="18"/>
          </w:rPr>
          <w:fldChar w:fldCharType="end"/>
        </w:r>
      </w:hyperlink>
    </w:p>
    <w:p w14:paraId="76C579F9" w14:textId="4F48FF7D"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62" w:history="1">
        <w:r w:rsidRPr="00CA2975">
          <w:rPr>
            <w:rStyle w:val="Hyperlink"/>
            <w:noProof/>
            <w:color w:val="auto"/>
            <w:sz w:val="22"/>
            <w:szCs w:val="18"/>
          </w:rPr>
          <w:t>4.5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Water resources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_Toc233981262 \h </w:instrText>
        </w:r>
        <w:r w:rsidRPr="00CA2975">
          <w:rPr>
            <w:noProof/>
            <w:webHidden/>
            <w:sz w:val="22"/>
            <w:szCs w:val="18"/>
          </w:rPr>
        </w:r>
        <w:r w:rsidRPr="00CA2975">
          <w:rPr>
            <w:noProof/>
            <w:webHidden/>
            <w:sz w:val="22"/>
            <w:szCs w:val="18"/>
          </w:rPr>
          <w:fldChar w:fldCharType="separate"/>
        </w:r>
        <w:r w:rsidR="005B05A2">
          <w:rPr>
            <w:noProof/>
            <w:webHidden/>
            <w:sz w:val="22"/>
            <w:szCs w:val="18"/>
          </w:rPr>
          <w:t>30</w:t>
        </w:r>
        <w:r w:rsidRPr="00CA2975">
          <w:rPr>
            <w:noProof/>
            <w:webHidden/>
            <w:sz w:val="22"/>
            <w:szCs w:val="18"/>
          </w:rPr>
          <w:fldChar w:fldCharType="end"/>
        </w:r>
      </w:hyperlink>
    </w:p>
    <w:p w14:paraId="10E52C7D" w14:textId="0E9F2597"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63" w:history="1">
        <w:r w:rsidRPr="00CA2975">
          <w:rPr>
            <w:rStyle w:val="Hyperlink"/>
            <w:noProof/>
            <w:color w:val="auto"/>
            <w:sz w:val="20"/>
            <w:szCs w:val="18"/>
          </w:rPr>
          <w:t>4.5.1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Surface water</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_Toc233981263 \h </w:instrText>
        </w:r>
        <w:r w:rsidRPr="00CA2975">
          <w:rPr>
            <w:noProof/>
            <w:webHidden/>
            <w:sz w:val="20"/>
            <w:szCs w:val="18"/>
          </w:rPr>
        </w:r>
        <w:r w:rsidRPr="00CA2975">
          <w:rPr>
            <w:noProof/>
            <w:webHidden/>
            <w:sz w:val="20"/>
            <w:szCs w:val="18"/>
          </w:rPr>
          <w:fldChar w:fldCharType="separate"/>
        </w:r>
        <w:r w:rsidR="005B05A2">
          <w:rPr>
            <w:noProof/>
            <w:webHidden/>
            <w:sz w:val="20"/>
            <w:szCs w:val="18"/>
          </w:rPr>
          <w:t>31</w:t>
        </w:r>
        <w:r w:rsidRPr="00CA2975">
          <w:rPr>
            <w:noProof/>
            <w:webHidden/>
            <w:sz w:val="20"/>
            <w:szCs w:val="18"/>
          </w:rPr>
          <w:fldChar w:fldCharType="end"/>
        </w:r>
      </w:hyperlink>
    </w:p>
    <w:p w14:paraId="42E86198" w14:textId="4CD99AF3"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64" w:history="1">
        <w:r w:rsidRPr="00CA2975">
          <w:rPr>
            <w:rStyle w:val="Hyperlink"/>
            <w:noProof/>
            <w:color w:val="auto"/>
            <w:sz w:val="20"/>
            <w:szCs w:val="18"/>
          </w:rPr>
          <w:t>4.5.2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Groundwater</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_Toc233981264 \h </w:instrText>
        </w:r>
        <w:r w:rsidRPr="00CA2975">
          <w:rPr>
            <w:noProof/>
            <w:webHidden/>
            <w:sz w:val="20"/>
            <w:szCs w:val="18"/>
          </w:rPr>
        </w:r>
        <w:r w:rsidRPr="00CA2975">
          <w:rPr>
            <w:noProof/>
            <w:webHidden/>
            <w:sz w:val="20"/>
            <w:szCs w:val="18"/>
          </w:rPr>
          <w:fldChar w:fldCharType="separate"/>
        </w:r>
        <w:r w:rsidR="005B05A2">
          <w:rPr>
            <w:noProof/>
            <w:webHidden/>
            <w:sz w:val="20"/>
            <w:szCs w:val="18"/>
          </w:rPr>
          <w:t>31</w:t>
        </w:r>
        <w:r w:rsidRPr="00CA2975">
          <w:rPr>
            <w:noProof/>
            <w:webHidden/>
            <w:sz w:val="20"/>
            <w:szCs w:val="18"/>
          </w:rPr>
          <w:fldChar w:fldCharType="end"/>
        </w:r>
      </w:hyperlink>
    </w:p>
    <w:p w14:paraId="67F4E82C" w14:textId="32FC27A5"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65" w:history="1">
        <w:r w:rsidRPr="00CA2975">
          <w:rPr>
            <w:rStyle w:val="Hyperlink"/>
            <w:noProof/>
            <w:color w:val="auto"/>
            <w:sz w:val="22"/>
            <w:szCs w:val="18"/>
          </w:rPr>
          <w:t>4.6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Soil and land resources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_Toc233981265 \h </w:instrText>
        </w:r>
        <w:r w:rsidRPr="00CA2975">
          <w:rPr>
            <w:noProof/>
            <w:webHidden/>
            <w:sz w:val="22"/>
            <w:szCs w:val="18"/>
          </w:rPr>
        </w:r>
        <w:r w:rsidRPr="00CA2975">
          <w:rPr>
            <w:noProof/>
            <w:webHidden/>
            <w:sz w:val="22"/>
            <w:szCs w:val="18"/>
          </w:rPr>
          <w:fldChar w:fldCharType="separate"/>
        </w:r>
        <w:r w:rsidR="005B05A2">
          <w:rPr>
            <w:noProof/>
            <w:webHidden/>
            <w:sz w:val="22"/>
            <w:szCs w:val="18"/>
          </w:rPr>
          <w:t>32</w:t>
        </w:r>
        <w:r w:rsidRPr="00CA2975">
          <w:rPr>
            <w:noProof/>
            <w:webHidden/>
            <w:sz w:val="22"/>
            <w:szCs w:val="18"/>
          </w:rPr>
          <w:fldChar w:fldCharType="end"/>
        </w:r>
      </w:hyperlink>
    </w:p>
    <w:p w14:paraId="397BC5AA" w14:textId="536C0738"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66" w:history="1">
        <w:r w:rsidRPr="00CA2975">
          <w:rPr>
            <w:rStyle w:val="Hyperlink"/>
            <w:noProof/>
            <w:color w:val="auto"/>
            <w:sz w:val="20"/>
            <w:szCs w:val="18"/>
          </w:rPr>
          <w:t>4.6.1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Soil classes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_Toc233981266 \h </w:instrText>
        </w:r>
        <w:r w:rsidRPr="00CA2975">
          <w:rPr>
            <w:noProof/>
            <w:webHidden/>
            <w:sz w:val="20"/>
            <w:szCs w:val="18"/>
          </w:rPr>
        </w:r>
        <w:r w:rsidRPr="00CA2975">
          <w:rPr>
            <w:noProof/>
            <w:webHidden/>
            <w:sz w:val="20"/>
            <w:szCs w:val="18"/>
          </w:rPr>
          <w:fldChar w:fldCharType="separate"/>
        </w:r>
        <w:r w:rsidR="005B05A2">
          <w:rPr>
            <w:noProof/>
            <w:webHidden/>
            <w:sz w:val="20"/>
            <w:szCs w:val="18"/>
          </w:rPr>
          <w:t>32</w:t>
        </w:r>
        <w:r w:rsidRPr="00CA2975">
          <w:rPr>
            <w:noProof/>
            <w:webHidden/>
            <w:sz w:val="20"/>
            <w:szCs w:val="18"/>
          </w:rPr>
          <w:fldChar w:fldCharType="end"/>
        </w:r>
      </w:hyperlink>
    </w:p>
    <w:p w14:paraId="5C5AD0E4" w14:textId="12FEC19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67" w:history="1">
        <w:r w:rsidRPr="00CA2975">
          <w:rPr>
            <w:rStyle w:val="Hyperlink"/>
            <w:noProof/>
            <w:color w:val="auto"/>
            <w:sz w:val="20"/>
            <w:szCs w:val="18"/>
          </w:rPr>
          <w:t>4.6.2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Land cover and agricultural land use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_Toc233981267 \h </w:instrText>
        </w:r>
        <w:r w:rsidRPr="00CA2975">
          <w:rPr>
            <w:noProof/>
            <w:webHidden/>
            <w:sz w:val="20"/>
            <w:szCs w:val="18"/>
          </w:rPr>
        </w:r>
        <w:r w:rsidRPr="00CA2975">
          <w:rPr>
            <w:noProof/>
            <w:webHidden/>
            <w:sz w:val="20"/>
            <w:szCs w:val="18"/>
          </w:rPr>
          <w:fldChar w:fldCharType="separate"/>
        </w:r>
        <w:r w:rsidR="005B05A2">
          <w:rPr>
            <w:noProof/>
            <w:webHidden/>
            <w:sz w:val="20"/>
            <w:szCs w:val="18"/>
          </w:rPr>
          <w:t>32</w:t>
        </w:r>
        <w:r w:rsidRPr="00CA2975">
          <w:rPr>
            <w:noProof/>
            <w:webHidden/>
            <w:sz w:val="20"/>
            <w:szCs w:val="18"/>
          </w:rPr>
          <w:fldChar w:fldCharType="end"/>
        </w:r>
      </w:hyperlink>
    </w:p>
    <w:p w14:paraId="230C9545" w14:textId="603B1197"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68" w:history="1">
        <w:r w:rsidRPr="00CA2975">
          <w:rPr>
            <w:rStyle w:val="Hyperlink"/>
            <w:noProof/>
            <w:color w:val="auto"/>
            <w:sz w:val="22"/>
            <w:szCs w:val="18"/>
          </w:rPr>
          <w:t>4.7</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Vegetation, forest cover and existing agroforestry activity</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_Toc233981268 \h </w:instrText>
        </w:r>
        <w:r w:rsidRPr="00CA2975">
          <w:rPr>
            <w:noProof/>
            <w:webHidden/>
            <w:sz w:val="22"/>
            <w:szCs w:val="18"/>
          </w:rPr>
        </w:r>
        <w:r w:rsidRPr="00CA2975">
          <w:rPr>
            <w:noProof/>
            <w:webHidden/>
            <w:sz w:val="22"/>
            <w:szCs w:val="18"/>
          </w:rPr>
          <w:fldChar w:fldCharType="separate"/>
        </w:r>
        <w:r w:rsidR="005B05A2">
          <w:rPr>
            <w:noProof/>
            <w:webHidden/>
            <w:sz w:val="22"/>
            <w:szCs w:val="18"/>
          </w:rPr>
          <w:t>33</w:t>
        </w:r>
        <w:r w:rsidRPr="00CA2975">
          <w:rPr>
            <w:noProof/>
            <w:webHidden/>
            <w:sz w:val="22"/>
            <w:szCs w:val="18"/>
          </w:rPr>
          <w:fldChar w:fldCharType="end"/>
        </w:r>
      </w:hyperlink>
    </w:p>
    <w:p w14:paraId="34C734C2" w14:textId="16924CA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69" w:history="1">
        <w:r w:rsidRPr="00CA2975">
          <w:rPr>
            <w:rStyle w:val="Hyperlink"/>
            <w:noProof/>
            <w:color w:val="auto"/>
            <w:sz w:val="20"/>
            <w:szCs w:val="18"/>
          </w:rPr>
          <w:t>4.7.1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Vegetation cover</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_Toc233981269 \h </w:instrText>
        </w:r>
        <w:r w:rsidRPr="00CA2975">
          <w:rPr>
            <w:noProof/>
            <w:webHidden/>
            <w:sz w:val="20"/>
            <w:szCs w:val="18"/>
          </w:rPr>
        </w:r>
        <w:r w:rsidRPr="00CA2975">
          <w:rPr>
            <w:noProof/>
            <w:webHidden/>
            <w:sz w:val="20"/>
            <w:szCs w:val="18"/>
          </w:rPr>
          <w:fldChar w:fldCharType="separate"/>
        </w:r>
        <w:r w:rsidR="005B05A2">
          <w:rPr>
            <w:noProof/>
            <w:webHidden/>
            <w:sz w:val="20"/>
            <w:szCs w:val="18"/>
          </w:rPr>
          <w:t>33</w:t>
        </w:r>
        <w:r w:rsidRPr="00CA2975">
          <w:rPr>
            <w:noProof/>
            <w:webHidden/>
            <w:sz w:val="20"/>
            <w:szCs w:val="18"/>
          </w:rPr>
          <w:fldChar w:fldCharType="end"/>
        </w:r>
      </w:hyperlink>
    </w:p>
    <w:p w14:paraId="593FD542" w14:textId="5EAD1F17"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0" w:history="1">
        <w:r w:rsidRPr="00CA2975">
          <w:rPr>
            <w:rStyle w:val="Hyperlink"/>
            <w:noProof/>
            <w:color w:val="auto"/>
            <w:sz w:val="20"/>
            <w:szCs w:val="18"/>
          </w:rPr>
          <w:t>4.7.2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Existing agroforestry and shelterbelt activity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_Toc233981270 \h </w:instrText>
        </w:r>
        <w:r w:rsidRPr="00CA2975">
          <w:rPr>
            <w:noProof/>
            <w:webHidden/>
            <w:sz w:val="20"/>
            <w:szCs w:val="18"/>
          </w:rPr>
        </w:r>
        <w:r w:rsidRPr="00CA2975">
          <w:rPr>
            <w:noProof/>
            <w:webHidden/>
            <w:sz w:val="20"/>
            <w:szCs w:val="18"/>
          </w:rPr>
          <w:fldChar w:fldCharType="separate"/>
        </w:r>
        <w:r w:rsidR="005B05A2">
          <w:rPr>
            <w:noProof/>
            <w:webHidden/>
            <w:sz w:val="20"/>
            <w:szCs w:val="18"/>
          </w:rPr>
          <w:t>33</w:t>
        </w:r>
        <w:r w:rsidRPr="00CA2975">
          <w:rPr>
            <w:noProof/>
            <w:webHidden/>
            <w:sz w:val="20"/>
            <w:szCs w:val="18"/>
          </w:rPr>
          <w:fldChar w:fldCharType="end"/>
        </w:r>
      </w:hyperlink>
    </w:p>
    <w:p w14:paraId="00E53C91" w14:textId="238DF207"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71" w:history="1">
        <w:r w:rsidRPr="00CA2975">
          <w:rPr>
            <w:rStyle w:val="Hyperlink"/>
            <w:noProof/>
            <w:color w:val="auto"/>
            <w:sz w:val="22"/>
            <w:szCs w:val="18"/>
          </w:rPr>
          <w:t>4.8</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Climate hazards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_Toc233981271 \h </w:instrText>
        </w:r>
        <w:r w:rsidRPr="00CA2975">
          <w:rPr>
            <w:noProof/>
            <w:webHidden/>
            <w:sz w:val="22"/>
            <w:szCs w:val="18"/>
          </w:rPr>
        </w:r>
        <w:r w:rsidRPr="00CA2975">
          <w:rPr>
            <w:noProof/>
            <w:webHidden/>
            <w:sz w:val="22"/>
            <w:szCs w:val="18"/>
          </w:rPr>
          <w:fldChar w:fldCharType="separate"/>
        </w:r>
        <w:r w:rsidR="005B05A2">
          <w:rPr>
            <w:noProof/>
            <w:webHidden/>
            <w:sz w:val="22"/>
            <w:szCs w:val="18"/>
          </w:rPr>
          <w:t>35</w:t>
        </w:r>
        <w:r w:rsidRPr="00CA2975">
          <w:rPr>
            <w:noProof/>
            <w:webHidden/>
            <w:sz w:val="22"/>
            <w:szCs w:val="18"/>
          </w:rPr>
          <w:fldChar w:fldCharType="end"/>
        </w:r>
      </w:hyperlink>
    </w:p>
    <w:p w14:paraId="75513641" w14:textId="3DCBD1F0"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2" w:history="1">
        <w:r w:rsidRPr="00CA2975">
          <w:rPr>
            <w:rStyle w:val="Hyperlink"/>
            <w:noProof/>
            <w:color w:val="auto"/>
            <w:sz w:val="20"/>
            <w:szCs w:val="18"/>
          </w:rPr>
          <w:t>4.8.1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Dzud</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_Toc233981272 \h </w:instrText>
        </w:r>
        <w:r w:rsidRPr="00CA2975">
          <w:rPr>
            <w:noProof/>
            <w:webHidden/>
            <w:sz w:val="20"/>
            <w:szCs w:val="18"/>
          </w:rPr>
        </w:r>
        <w:r w:rsidRPr="00CA2975">
          <w:rPr>
            <w:noProof/>
            <w:webHidden/>
            <w:sz w:val="20"/>
            <w:szCs w:val="18"/>
          </w:rPr>
          <w:fldChar w:fldCharType="separate"/>
        </w:r>
        <w:r w:rsidR="005B05A2">
          <w:rPr>
            <w:noProof/>
            <w:webHidden/>
            <w:sz w:val="20"/>
            <w:szCs w:val="18"/>
          </w:rPr>
          <w:t>35</w:t>
        </w:r>
        <w:r w:rsidRPr="00CA2975">
          <w:rPr>
            <w:noProof/>
            <w:webHidden/>
            <w:sz w:val="20"/>
            <w:szCs w:val="18"/>
          </w:rPr>
          <w:fldChar w:fldCharType="end"/>
        </w:r>
      </w:hyperlink>
    </w:p>
    <w:p w14:paraId="479B4291" w14:textId="2669382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3" w:history="1">
        <w:r w:rsidRPr="00CA2975">
          <w:rPr>
            <w:rStyle w:val="Hyperlink"/>
            <w:noProof/>
            <w:color w:val="auto"/>
            <w:sz w:val="20"/>
            <w:szCs w:val="18"/>
          </w:rPr>
          <w:t>4.8.2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Drought</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_Toc233981273 \h </w:instrText>
        </w:r>
        <w:r w:rsidRPr="00CA2975">
          <w:rPr>
            <w:noProof/>
            <w:webHidden/>
            <w:sz w:val="20"/>
            <w:szCs w:val="18"/>
          </w:rPr>
        </w:r>
        <w:r w:rsidRPr="00CA2975">
          <w:rPr>
            <w:noProof/>
            <w:webHidden/>
            <w:sz w:val="20"/>
            <w:szCs w:val="18"/>
          </w:rPr>
          <w:fldChar w:fldCharType="separate"/>
        </w:r>
        <w:r w:rsidR="005B05A2">
          <w:rPr>
            <w:noProof/>
            <w:webHidden/>
            <w:sz w:val="20"/>
            <w:szCs w:val="18"/>
          </w:rPr>
          <w:t>35</w:t>
        </w:r>
        <w:r w:rsidRPr="00CA2975">
          <w:rPr>
            <w:noProof/>
            <w:webHidden/>
            <w:sz w:val="20"/>
            <w:szCs w:val="18"/>
          </w:rPr>
          <w:fldChar w:fldCharType="end"/>
        </w:r>
      </w:hyperlink>
    </w:p>
    <w:p w14:paraId="2A5589B9" w14:textId="36C82A83"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4" w:history="1">
        <w:r w:rsidRPr="00CA2975">
          <w:rPr>
            <w:rStyle w:val="Hyperlink"/>
            <w:noProof/>
            <w:color w:val="auto"/>
            <w:sz w:val="20"/>
            <w:szCs w:val="18"/>
          </w:rPr>
          <w:t>4.8.3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Sand and dust storms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_Toc233981274 \h </w:instrText>
        </w:r>
        <w:r w:rsidRPr="00CA2975">
          <w:rPr>
            <w:noProof/>
            <w:webHidden/>
            <w:sz w:val="20"/>
            <w:szCs w:val="18"/>
          </w:rPr>
        </w:r>
        <w:r w:rsidRPr="00CA2975">
          <w:rPr>
            <w:noProof/>
            <w:webHidden/>
            <w:sz w:val="20"/>
            <w:szCs w:val="18"/>
          </w:rPr>
          <w:fldChar w:fldCharType="separate"/>
        </w:r>
        <w:r w:rsidR="005B05A2">
          <w:rPr>
            <w:noProof/>
            <w:webHidden/>
            <w:sz w:val="20"/>
            <w:szCs w:val="18"/>
          </w:rPr>
          <w:t>36</w:t>
        </w:r>
        <w:r w:rsidRPr="00CA2975">
          <w:rPr>
            <w:noProof/>
            <w:webHidden/>
            <w:sz w:val="20"/>
            <w:szCs w:val="18"/>
          </w:rPr>
          <w:fldChar w:fldCharType="end"/>
        </w:r>
      </w:hyperlink>
    </w:p>
    <w:p w14:paraId="2E9137E7" w14:textId="6703C5E4"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5" w:history="1">
        <w:r w:rsidRPr="00CA2975">
          <w:rPr>
            <w:rStyle w:val="Hyperlink"/>
            <w:noProof/>
            <w:color w:val="auto"/>
            <w:sz w:val="20"/>
            <w:szCs w:val="18"/>
          </w:rPr>
          <w:t>4.8.4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Extreme heat and heat waves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_Toc233981275 \h </w:instrText>
        </w:r>
        <w:r w:rsidRPr="00CA2975">
          <w:rPr>
            <w:noProof/>
            <w:webHidden/>
            <w:sz w:val="20"/>
            <w:szCs w:val="18"/>
          </w:rPr>
        </w:r>
        <w:r w:rsidRPr="00CA2975">
          <w:rPr>
            <w:noProof/>
            <w:webHidden/>
            <w:sz w:val="20"/>
            <w:szCs w:val="18"/>
          </w:rPr>
          <w:fldChar w:fldCharType="separate"/>
        </w:r>
        <w:r w:rsidR="005B05A2">
          <w:rPr>
            <w:noProof/>
            <w:webHidden/>
            <w:sz w:val="20"/>
            <w:szCs w:val="18"/>
          </w:rPr>
          <w:t>36</w:t>
        </w:r>
        <w:r w:rsidRPr="00CA2975">
          <w:rPr>
            <w:noProof/>
            <w:webHidden/>
            <w:sz w:val="20"/>
            <w:szCs w:val="18"/>
          </w:rPr>
          <w:fldChar w:fldCharType="end"/>
        </w:r>
      </w:hyperlink>
    </w:p>
    <w:p w14:paraId="141A6D84" w14:textId="1F0AE6D3"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6" w:history="1">
        <w:r w:rsidRPr="00CA2975">
          <w:rPr>
            <w:rStyle w:val="Hyperlink"/>
            <w:noProof/>
            <w:color w:val="auto"/>
            <w:sz w:val="20"/>
            <w:szCs w:val="18"/>
          </w:rPr>
          <w:t>4.8.5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Hail</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_Toc233981276 \h </w:instrText>
        </w:r>
        <w:r w:rsidRPr="00CA2975">
          <w:rPr>
            <w:noProof/>
            <w:webHidden/>
            <w:sz w:val="20"/>
            <w:szCs w:val="18"/>
          </w:rPr>
        </w:r>
        <w:r w:rsidRPr="00CA2975">
          <w:rPr>
            <w:noProof/>
            <w:webHidden/>
            <w:sz w:val="20"/>
            <w:szCs w:val="18"/>
          </w:rPr>
          <w:fldChar w:fldCharType="separate"/>
        </w:r>
        <w:r w:rsidR="005B05A2">
          <w:rPr>
            <w:noProof/>
            <w:webHidden/>
            <w:sz w:val="20"/>
            <w:szCs w:val="18"/>
          </w:rPr>
          <w:t>36</w:t>
        </w:r>
        <w:r w:rsidRPr="00CA2975">
          <w:rPr>
            <w:noProof/>
            <w:webHidden/>
            <w:sz w:val="20"/>
            <w:szCs w:val="18"/>
          </w:rPr>
          <w:fldChar w:fldCharType="end"/>
        </w:r>
      </w:hyperlink>
    </w:p>
    <w:p w14:paraId="54E81733" w14:textId="166044E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77" w:history="1">
        <w:r w:rsidRPr="00CA2975">
          <w:rPr>
            <w:rStyle w:val="Hyperlink"/>
            <w:noProof/>
            <w:color w:val="auto"/>
            <w:sz w:val="20"/>
            <w:szCs w:val="18"/>
          </w:rPr>
          <w:t>4.8.6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Frost and freezing rain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_Toc233981277 \h </w:instrText>
        </w:r>
        <w:r w:rsidRPr="00CA2975">
          <w:rPr>
            <w:noProof/>
            <w:webHidden/>
            <w:sz w:val="20"/>
            <w:szCs w:val="18"/>
          </w:rPr>
        </w:r>
        <w:r w:rsidRPr="00CA2975">
          <w:rPr>
            <w:noProof/>
            <w:webHidden/>
            <w:sz w:val="20"/>
            <w:szCs w:val="18"/>
          </w:rPr>
          <w:fldChar w:fldCharType="separate"/>
        </w:r>
        <w:r w:rsidR="005B05A2">
          <w:rPr>
            <w:noProof/>
            <w:webHidden/>
            <w:sz w:val="20"/>
            <w:szCs w:val="18"/>
          </w:rPr>
          <w:t>36</w:t>
        </w:r>
        <w:r w:rsidRPr="00CA2975">
          <w:rPr>
            <w:noProof/>
            <w:webHidden/>
            <w:sz w:val="20"/>
            <w:szCs w:val="18"/>
          </w:rPr>
          <w:fldChar w:fldCharType="end"/>
        </w:r>
      </w:hyperlink>
    </w:p>
    <w:p w14:paraId="66CEECD8" w14:textId="46CA02DF"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78" w:history="1">
        <w:r w:rsidRPr="00CA2975">
          <w:rPr>
            <w:rStyle w:val="Hyperlink"/>
            <w:noProof/>
            <w:color w:val="auto"/>
            <w:sz w:val="22"/>
            <w:szCs w:val="18"/>
          </w:rPr>
          <w:t>4.9</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Desertification and land degradation</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_Toc233981278 \h </w:instrText>
        </w:r>
        <w:r w:rsidRPr="00CA2975">
          <w:rPr>
            <w:noProof/>
            <w:webHidden/>
            <w:sz w:val="22"/>
            <w:szCs w:val="18"/>
          </w:rPr>
        </w:r>
        <w:r w:rsidRPr="00CA2975">
          <w:rPr>
            <w:noProof/>
            <w:webHidden/>
            <w:sz w:val="22"/>
            <w:szCs w:val="18"/>
          </w:rPr>
          <w:fldChar w:fldCharType="separate"/>
        </w:r>
        <w:r w:rsidR="005B05A2">
          <w:rPr>
            <w:noProof/>
            <w:webHidden/>
            <w:sz w:val="22"/>
            <w:szCs w:val="18"/>
          </w:rPr>
          <w:t>36</w:t>
        </w:r>
        <w:r w:rsidRPr="00CA2975">
          <w:rPr>
            <w:noProof/>
            <w:webHidden/>
            <w:sz w:val="22"/>
            <w:szCs w:val="18"/>
          </w:rPr>
          <w:fldChar w:fldCharType="end"/>
        </w:r>
      </w:hyperlink>
    </w:p>
    <w:p w14:paraId="2B611B32" w14:textId="0E62B3D8"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79" w:history="1">
        <w:r w:rsidRPr="00CA2975">
          <w:rPr>
            <w:rStyle w:val="Hyperlink"/>
            <w:noProof/>
            <w:color w:val="auto"/>
            <w:sz w:val="22"/>
            <w:szCs w:val="18"/>
          </w:rPr>
          <w:t>4.10</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Agro-ecological implications for vegetable production</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_Toc233981279 \h </w:instrText>
        </w:r>
        <w:r w:rsidRPr="00CA2975">
          <w:rPr>
            <w:noProof/>
            <w:webHidden/>
            <w:sz w:val="22"/>
            <w:szCs w:val="18"/>
          </w:rPr>
        </w:r>
        <w:r w:rsidRPr="00CA2975">
          <w:rPr>
            <w:noProof/>
            <w:webHidden/>
            <w:sz w:val="22"/>
            <w:szCs w:val="18"/>
          </w:rPr>
          <w:fldChar w:fldCharType="separate"/>
        </w:r>
        <w:r w:rsidR="005B05A2">
          <w:rPr>
            <w:noProof/>
            <w:webHidden/>
            <w:sz w:val="22"/>
            <w:szCs w:val="18"/>
          </w:rPr>
          <w:t>37</w:t>
        </w:r>
        <w:r w:rsidRPr="00CA2975">
          <w:rPr>
            <w:noProof/>
            <w:webHidden/>
            <w:sz w:val="22"/>
            <w:szCs w:val="18"/>
          </w:rPr>
          <w:fldChar w:fldCharType="end"/>
        </w:r>
      </w:hyperlink>
    </w:p>
    <w:p w14:paraId="475D2940" w14:textId="64736E4A"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80" w:history="1">
        <w:r w:rsidRPr="00CA2975">
          <w:rPr>
            <w:rStyle w:val="Hyperlink"/>
            <w:noProof/>
            <w:color w:val="auto"/>
            <w:sz w:val="22"/>
            <w:szCs w:val="18"/>
          </w:rPr>
          <w:t>4.11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Implications for technology screening</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_Toc233981280 \h </w:instrText>
        </w:r>
        <w:r w:rsidRPr="00CA2975">
          <w:rPr>
            <w:noProof/>
            <w:webHidden/>
            <w:sz w:val="22"/>
            <w:szCs w:val="18"/>
          </w:rPr>
        </w:r>
        <w:r w:rsidRPr="00CA2975">
          <w:rPr>
            <w:noProof/>
            <w:webHidden/>
            <w:sz w:val="22"/>
            <w:szCs w:val="18"/>
          </w:rPr>
          <w:fldChar w:fldCharType="separate"/>
        </w:r>
        <w:r w:rsidR="005B05A2">
          <w:rPr>
            <w:noProof/>
            <w:webHidden/>
            <w:sz w:val="22"/>
            <w:szCs w:val="18"/>
          </w:rPr>
          <w:t>38</w:t>
        </w:r>
        <w:r w:rsidRPr="00CA2975">
          <w:rPr>
            <w:noProof/>
            <w:webHidden/>
            <w:sz w:val="22"/>
            <w:szCs w:val="18"/>
          </w:rPr>
          <w:fldChar w:fldCharType="end"/>
        </w:r>
      </w:hyperlink>
    </w:p>
    <w:p w14:paraId="5C045F27" w14:textId="29469966"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281" w:history="1">
        <w:r w:rsidRPr="00CA2975">
          <w:rPr>
            <w:rStyle w:val="Hyperlink"/>
            <w:noProof/>
            <w:color w:val="auto"/>
            <w:sz w:val="28"/>
            <w:szCs w:val="18"/>
          </w:rPr>
          <w:t>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Target Beneficiaries and Farming Systems (Social-Economic baseline)</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_Toc233981281 \h </w:instrText>
        </w:r>
        <w:r w:rsidRPr="00CA2975">
          <w:rPr>
            <w:noProof/>
            <w:webHidden/>
            <w:sz w:val="28"/>
            <w:szCs w:val="18"/>
          </w:rPr>
        </w:r>
        <w:r w:rsidRPr="00CA2975">
          <w:rPr>
            <w:noProof/>
            <w:webHidden/>
            <w:sz w:val="28"/>
            <w:szCs w:val="18"/>
          </w:rPr>
          <w:fldChar w:fldCharType="separate"/>
        </w:r>
        <w:r w:rsidR="005B05A2">
          <w:rPr>
            <w:noProof/>
            <w:webHidden/>
            <w:sz w:val="28"/>
            <w:szCs w:val="18"/>
          </w:rPr>
          <w:t>40</w:t>
        </w:r>
        <w:r w:rsidRPr="00CA2975">
          <w:rPr>
            <w:noProof/>
            <w:webHidden/>
            <w:sz w:val="28"/>
            <w:szCs w:val="18"/>
          </w:rPr>
          <w:fldChar w:fldCharType="end"/>
        </w:r>
      </w:hyperlink>
    </w:p>
    <w:p w14:paraId="2EC35261" w14:textId="4C7E0467"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82" w:history="1">
        <w:r w:rsidRPr="00CA2975">
          <w:rPr>
            <w:rStyle w:val="Hyperlink"/>
            <w:noProof/>
            <w:color w:val="auto"/>
            <w:sz w:val="22"/>
            <w:szCs w:val="18"/>
          </w:rPr>
          <w:t>5.1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Defining the smallholder vegetable farmer</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_Toc233981282 \h </w:instrText>
        </w:r>
        <w:r w:rsidRPr="00CA2975">
          <w:rPr>
            <w:noProof/>
            <w:webHidden/>
            <w:sz w:val="22"/>
            <w:szCs w:val="18"/>
          </w:rPr>
        </w:r>
        <w:r w:rsidRPr="00CA2975">
          <w:rPr>
            <w:noProof/>
            <w:webHidden/>
            <w:sz w:val="22"/>
            <w:szCs w:val="18"/>
          </w:rPr>
          <w:fldChar w:fldCharType="separate"/>
        </w:r>
        <w:r w:rsidR="005B05A2">
          <w:rPr>
            <w:noProof/>
            <w:webHidden/>
            <w:sz w:val="22"/>
            <w:szCs w:val="18"/>
          </w:rPr>
          <w:t>40</w:t>
        </w:r>
        <w:r w:rsidRPr="00CA2975">
          <w:rPr>
            <w:noProof/>
            <w:webHidden/>
            <w:sz w:val="22"/>
            <w:szCs w:val="18"/>
          </w:rPr>
          <w:fldChar w:fldCharType="end"/>
        </w:r>
      </w:hyperlink>
    </w:p>
    <w:p w14:paraId="163C2CB5" w14:textId="3B185EA6"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83" w:history="1">
        <w:r w:rsidRPr="00CA2975">
          <w:rPr>
            <w:rStyle w:val="Hyperlink"/>
            <w:noProof/>
            <w:color w:val="auto"/>
            <w:sz w:val="20"/>
            <w:szCs w:val="18"/>
          </w:rPr>
          <w:t>5.1.1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International reference and Mongolian adaptation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_Toc233981283 \h </w:instrText>
        </w:r>
        <w:r w:rsidRPr="00CA2975">
          <w:rPr>
            <w:noProof/>
            <w:webHidden/>
            <w:sz w:val="20"/>
            <w:szCs w:val="18"/>
          </w:rPr>
        </w:r>
        <w:r w:rsidRPr="00CA2975">
          <w:rPr>
            <w:noProof/>
            <w:webHidden/>
            <w:sz w:val="20"/>
            <w:szCs w:val="18"/>
          </w:rPr>
          <w:fldChar w:fldCharType="separate"/>
        </w:r>
        <w:r w:rsidR="005B05A2">
          <w:rPr>
            <w:noProof/>
            <w:webHidden/>
            <w:sz w:val="20"/>
            <w:szCs w:val="18"/>
          </w:rPr>
          <w:t>40</w:t>
        </w:r>
        <w:r w:rsidRPr="00CA2975">
          <w:rPr>
            <w:noProof/>
            <w:webHidden/>
            <w:sz w:val="20"/>
            <w:szCs w:val="18"/>
          </w:rPr>
          <w:fldChar w:fldCharType="end"/>
        </w:r>
      </w:hyperlink>
    </w:p>
    <w:p w14:paraId="1D8BCA96" w14:textId="16D97DE4"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84" w:history="1">
        <w:r w:rsidRPr="00CA2975">
          <w:rPr>
            <w:rStyle w:val="Hyperlink"/>
            <w:noProof/>
            <w:color w:val="auto"/>
            <w:sz w:val="20"/>
            <w:szCs w:val="18"/>
          </w:rPr>
          <w:t>5.1.2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Operational definition for this assessment</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_Toc233981284 \h </w:instrText>
        </w:r>
        <w:r w:rsidRPr="00CA2975">
          <w:rPr>
            <w:noProof/>
            <w:webHidden/>
            <w:sz w:val="20"/>
            <w:szCs w:val="18"/>
          </w:rPr>
        </w:r>
        <w:r w:rsidRPr="00CA2975">
          <w:rPr>
            <w:noProof/>
            <w:webHidden/>
            <w:sz w:val="20"/>
            <w:szCs w:val="18"/>
          </w:rPr>
          <w:fldChar w:fldCharType="separate"/>
        </w:r>
        <w:r w:rsidR="005B05A2">
          <w:rPr>
            <w:noProof/>
            <w:webHidden/>
            <w:sz w:val="20"/>
            <w:szCs w:val="18"/>
          </w:rPr>
          <w:t>41</w:t>
        </w:r>
        <w:r w:rsidRPr="00CA2975">
          <w:rPr>
            <w:noProof/>
            <w:webHidden/>
            <w:sz w:val="20"/>
            <w:szCs w:val="18"/>
          </w:rPr>
          <w:fldChar w:fldCharType="end"/>
        </w:r>
      </w:hyperlink>
    </w:p>
    <w:p w14:paraId="16E7A420" w14:textId="38C2A31B"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85" w:history="1">
        <w:r w:rsidRPr="00CA2975">
          <w:rPr>
            <w:rStyle w:val="Hyperlink"/>
            <w:noProof/>
            <w:color w:val="auto"/>
            <w:sz w:val="20"/>
            <w:szCs w:val="18"/>
          </w:rPr>
          <w:t>5.1.3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Differentiation by investment capacity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_Toc233981285 \h </w:instrText>
        </w:r>
        <w:r w:rsidRPr="00CA2975">
          <w:rPr>
            <w:noProof/>
            <w:webHidden/>
            <w:sz w:val="20"/>
            <w:szCs w:val="18"/>
          </w:rPr>
        </w:r>
        <w:r w:rsidRPr="00CA2975">
          <w:rPr>
            <w:noProof/>
            <w:webHidden/>
            <w:sz w:val="20"/>
            <w:szCs w:val="18"/>
          </w:rPr>
          <w:fldChar w:fldCharType="separate"/>
        </w:r>
        <w:r w:rsidR="005B05A2">
          <w:rPr>
            <w:noProof/>
            <w:webHidden/>
            <w:sz w:val="20"/>
            <w:szCs w:val="18"/>
          </w:rPr>
          <w:t>41</w:t>
        </w:r>
        <w:r w:rsidRPr="00CA2975">
          <w:rPr>
            <w:noProof/>
            <w:webHidden/>
            <w:sz w:val="20"/>
            <w:szCs w:val="18"/>
          </w:rPr>
          <w:fldChar w:fldCharType="end"/>
        </w:r>
      </w:hyperlink>
    </w:p>
    <w:p w14:paraId="4F902BFA" w14:textId="537E11D2"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86" w:history="1">
        <w:r w:rsidRPr="00CA2975">
          <w:rPr>
            <w:rStyle w:val="Hyperlink"/>
            <w:noProof/>
            <w:color w:val="auto"/>
            <w:sz w:val="22"/>
            <w:szCs w:val="18"/>
          </w:rPr>
          <w:t>5.2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Structure of smallholder agriculture in the target provinces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_Toc233981286 \h </w:instrText>
        </w:r>
        <w:r w:rsidRPr="00CA2975">
          <w:rPr>
            <w:noProof/>
            <w:webHidden/>
            <w:sz w:val="22"/>
            <w:szCs w:val="18"/>
          </w:rPr>
        </w:r>
        <w:r w:rsidRPr="00CA2975">
          <w:rPr>
            <w:noProof/>
            <w:webHidden/>
            <w:sz w:val="22"/>
            <w:szCs w:val="18"/>
          </w:rPr>
          <w:fldChar w:fldCharType="separate"/>
        </w:r>
        <w:r w:rsidR="005B05A2">
          <w:rPr>
            <w:noProof/>
            <w:webHidden/>
            <w:sz w:val="22"/>
            <w:szCs w:val="18"/>
          </w:rPr>
          <w:t>42</w:t>
        </w:r>
        <w:r w:rsidRPr="00CA2975">
          <w:rPr>
            <w:noProof/>
            <w:webHidden/>
            <w:sz w:val="22"/>
            <w:szCs w:val="18"/>
          </w:rPr>
          <w:fldChar w:fldCharType="end"/>
        </w:r>
      </w:hyperlink>
    </w:p>
    <w:p w14:paraId="68F3F32E" w14:textId="5D3EEDE7"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87" w:history="1">
        <w:r w:rsidRPr="00CA2975">
          <w:rPr>
            <w:rStyle w:val="Hyperlink"/>
            <w:noProof/>
            <w:color w:val="auto"/>
            <w:sz w:val="20"/>
            <w:szCs w:val="18"/>
          </w:rPr>
          <w:t>5.2.1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National context</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_Toc233981287 \h </w:instrText>
        </w:r>
        <w:r w:rsidRPr="00CA2975">
          <w:rPr>
            <w:noProof/>
            <w:webHidden/>
            <w:sz w:val="20"/>
            <w:szCs w:val="18"/>
          </w:rPr>
        </w:r>
        <w:r w:rsidRPr="00CA2975">
          <w:rPr>
            <w:noProof/>
            <w:webHidden/>
            <w:sz w:val="20"/>
            <w:szCs w:val="18"/>
          </w:rPr>
          <w:fldChar w:fldCharType="separate"/>
        </w:r>
        <w:r w:rsidR="005B05A2">
          <w:rPr>
            <w:noProof/>
            <w:webHidden/>
            <w:sz w:val="20"/>
            <w:szCs w:val="18"/>
          </w:rPr>
          <w:t>42</w:t>
        </w:r>
        <w:r w:rsidRPr="00CA2975">
          <w:rPr>
            <w:noProof/>
            <w:webHidden/>
            <w:sz w:val="20"/>
            <w:szCs w:val="18"/>
          </w:rPr>
          <w:fldChar w:fldCharType="end"/>
        </w:r>
      </w:hyperlink>
    </w:p>
    <w:p w14:paraId="71C511FC" w14:textId="0578F3E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88" w:history="1">
        <w:r w:rsidRPr="00CA2975">
          <w:rPr>
            <w:rStyle w:val="Hyperlink"/>
            <w:noProof/>
            <w:color w:val="auto"/>
            <w:sz w:val="20"/>
            <w:szCs w:val="18"/>
          </w:rPr>
          <w:t>5.2.2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Crop farming structure and vegetable production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_Toc233981288 \h </w:instrText>
        </w:r>
        <w:r w:rsidRPr="00CA2975">
          <w:rPr>
            <w:noProof/>
            <w:webHidden/>
            <w:sz w:val="20"/>
            <w:szCs w:val="18"/>
          </w:rPr>
        </w:r>
        <w:r w:rsidRPr="00CA2975">
          <w:rPr>
            <w:noProof/>
            <w:webHidden/>
            <w:sz w:val="20"/>
            <w:szCs w:val="18"/>
          </w:rPr>
          <w:fldChar w:fldCharType="separate"/>
        </w:r>
        <w:r w:rsidR="005B05A2">
          <w:rPr>
            <w:noProof/>
            <w:webHidden/>
            <w:sz w:val="20"/>
            <w:szCs w:val="18"/>
          </w:rPr>
          <w:t>42</w:t>
        </w:r>
        <w:r w:rsidRPr="00CA2975">
          <w:rPr>
            <w:noProof/>
            <w:webHidden/>
            <w:sz w:val="20"/>
            <w:szCs w:val="18"/>
          </w:rPr>
          <w:fldChar w:fldCharType="end"/>
        </w:r>
      </w:hyperlink>
    </w:p>
    <w:p w14:paraId="304FEE6D" w14:textId="58E33FCB"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89" w:history="1">
        <w:r w:rsidRPr="00CA2975">
          <w:rPr>
            <w:rStyle w:val="Hyperlink"/>
            <w:noProof/>
            <w:color w:val="auto"/>
            <w:sz w:val="20"/>
            <w:szCs w:val="18"/>
          </w:rPr>
          <w:t>5.2.3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The greenhouse sub-sector</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_Toc233981289 \h </w:instrText>
        </w:r>
        <w:r w:rsidRPr="00CA2975">
          <w:rPr>
            <w:noProof/>
            <w:webHidden/>
            <w:sz w:val="20"/>
            <w:szCs w:val="18"/>
          </w:rPr>
        </w:r>
        <w:r w:rsidRPr="00CA2975">
          <w:rPr>
            <w:noProof/>
            <w:webHidden/>
            <w:sz w:val="20"/>
            <w:szCs w:val="18"/>
          </w:rPr>
          <w:fldChar w:fldCharType="separate"/>
        </w:r>
        <w:r w:rsidR="005B05A2">
          <w:rPr>
            <w:noProof/>
            <w:webHidden/>
            <w:sz w:val="20"/>
            <w:szCs w:val="18"/>
          </w:rPr>
          <w:t>43</w:t>
        </w:r>
        <w:r w:rsidRPr="00CA2975">
          <w:rPr>
            <w:noProof/>
            <w:webHidden/>
            <w:sz w:val="20"/>
            <w:szCs w:val="18"/>
          </w:rPr>
          <w:fldChar w:fldCharType="end"/>
        </w:r>
      </w:hyperlink>
    </w:p>
    <w:p w14:paraId="057AAB6F" w14:textId="799DF66A"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90" w:history="1">
        <w:r w:rsidRPr="00CA2975">
          <w:rPr>
            <w:rStyle w:val="Hyperlink"/>
            <w:noProof/>
            <w:color w:val="auto"/>
            <w:sz w:val="22"/>
            <w:szCs w:val="18"/>
          </w:rPr>
          <w:t>5.3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Typology of farming systems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_Toc233981290 \h </w:instrText>
        </w:r>
        <w:r w:rsidRPr="00CA2975">
          <w:rPr>
            <w:noProof/>
            <w:webHidden/>
            <w:sz w:val="22"/>
            <w:szCs w:val="18"/>
          </w:rPr>
        </w:r>
        <w:r w:rsidRPr="00CA2975">
          <w:rPr>
            <w:noProof/>
            <w:webHidden/>
            <w:sz w:val="22"/>
            <w:szCs w:val="18"/>
          </w:rPr>
          <w:fldChar w:fldCharType="separate"/>
        </w:r>
        <w:r w:rsidR="005B05A2">
          <w:rPr>
            <w:noProof/>
            <w:webHidden/>
            <w:sz w:val="22"/>
            <w:szCs w:val="18"/>
          </w:rPr>
          <w:t>44</w:t>
        </w:r>
        <w:r w:rsidRPr="00CA2975">
          <w:rPr>
            <w:noProof/>
            <w:webHidden/>
            <w:sz w:val="22"/>
            <w:szCs w:val="18"/>
          </w:rPr>
          <w:fldChar w:fldCharType="end"/>
        </w:r>
      </w:hyperlink>
    </w:p>
    <w:p w14:paraId="4E0F8103" w14:textId="6574453D"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91" w:history="1">
        <w:r w:rsidRPr="00CA2975">
          <w:rPr>
            <w:rStyle w:val="Hyperlink"/>
            <w:noProof/>
            <w:color w:val="auto"/>
            <w:sz w:val="22"/>
            <w:szCs w:val="18"/>
          </w:rPr>
          <w:t>5.4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Land and water tenure and shared infrastructure</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_Toc233981291 \h </w:instrText>
        </w:r>
        <w:r w:rsidRPr="00CA2975">
          <w:rPr>
            <w:noProof/>
            <w:webHidden/>
            <w:sz w:val="22"/>
            <w:szCs w:val="18"/>
          </w:rPr>
        </w:r>
        <w:r w:rsidRPr="00CA2975">
          <w:rPr>
            <w:noProof/>
            <w:webHidden/>
            <w:sz w:val="22"/>
            <w:szCs w:val="18"/>
          </w:rPr>
          <w:fldChar w:fldCharType="separate"/>
        </w:r>
        <w:r w:rsidR="005B05A2">
          <w:rPr>
            <w:noProof/>
            <w:webHidden/>
            <w:sz w:val="22"/>
            <w:szCs w:val="18"/>
          </w:rPr>
          <w:t>45</w:t>
        </w:r>
        <w:r w:rsidRPr="00CA2975">
          <w:rPr>
            <w:noProof/>
            <w:webHidden/>
            <w:sz w:val="22"/>
            <w:szCs w:val="18"/>
          </w:rPr>
          <w:fldChar w:fldCharType="end"/>
        </w:r>
      </w:hyperlink>
    </w:p>
    <w:p w14:paraId="43D53911" w14:textId="3401363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2" w:history="1">
        <w:r w:rsidRPr="00CA2975">
          <w:rPr>
            <w:rStyle w:val="Hyperlink"/>
            <w:noProof/>
            <w:color w:val="auto"/>
            <w:sz w:val="20"/>
            <w:szCs w:val="18"/>
          </w:rPr>
          <w:t>5.4.1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Land tenure: ownership, possession and use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_Toc233981292 \h </w:instrText>
        </w:r>
        <w:r w:rsidRPr="00CA2975">
          <w:rPr>
            <w:noProof/>
            <w:webHidden/>
            <w:sz w:val="20"/>
            <w:szCs w:val="18"/>
          </w:rPr>
        </w:r>
        <w:r w:rsidRPr="00CA2975">
          <w:rPr>
            <w:noProof/>
            <w:webHidden/>
            <w:sz w:val="20"/>
            <w:szCs w:val="18"/>
          </w:rPr>
          <w:fldChar w:fldCharType="separate"/>
        </w:r>
        <w:r w:rsidR="005B05A2">
          <w:rPr>
            <w:noProof/>
            <w:webHidden/>
            <w:sz w:val="20"/>
            <w:szCs w:val="18"/>
          </w:rPr>
          <w:t>45</w:t>
        </w:r>
        <w:r w:rsidRPr="00CA2975">
          <w:rPr>
            <w:noProof/>
            <w:webHidden/>
            <w:sz w:val="20"/>
            <w:szCs w:val="18"/>
          </w:rPr>
          <w:fldChar w:fldCharType="end"/>
        </w:r>
      </w:hyperlink>
    </w:p>
    <w:p w14:paraId="65FB0702" w14:textId="41BEFF6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3" w:history="1">
        <w:r w:rsidRPr="00CA2975">
          <w:rPr>
            <w:rStyle w:val="Hyperlink"/>
            <w:noProof/>
            <w:color w:val="auto"/>
            <w:sz w:val="20"/>
            <w:szCs w:val="18"/>
          </w:rPr>
          <w:t>5.4.2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Water access and the limits of pumping</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_Toc233981293 \h </w:instrText>
        </w:r>
        <w:r w:rsidRPr="00CA2975">
          <w:rPr>
            <w:noProof/>
            <w:webHidden/>
            <w:sz w:val="20"/>
            <w:szCs w:val="18"/>
          </w:rPr>
        </w:r>
        <w:r w:rsidRPr="00CA2975">
          <w:rPr>
            <w:noProof/>
            <w:webHidden/>
            <w:sz w:val="20"/>
            <w:szCs w:val="18"/>
          </w:rPr>
          <w:fldChar w:fldCharType="separate"/>
        </w:r>
        <w:r w:rsidR="005B05A2">
          <w:rPr>
            <w:noProof/>
            <w:webHidden/>
            <w:sz w:val="20"/>
            <w:szCs w:val="18"/>
          </w:rPr>
          <w:t>45</w:t>
        </w:r>
        <w:r w:rsidRPr="00CA2975">
          <w:rPr>
            <w:noProof/>
            <w:webHidden/>
            <w:sz w:val="20"/>
            <w:szCs w:val="18"/>
          </w:rPr>
          <w:fldChar w:fldCharType="end"/>
        </w:r>
      </w:hyperlink>
    </w:p>
    <w:p w14:paraId="6A48BCA7" w14:textId="7C12AB6A"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4" w:history="1">
        <w:r w:rsidRPr="00CA2975">
          <w:rPr>
            <w:rStyle w:val="Hyperlink"/>
            <w:noProof/>
            <w:color w:val="auto"/>
            <w:sz w:val="20"/>
            <w:szCs w:val="18"/>
          </w:rPr>
          <w:t>5.4.3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Ownership and management models for solar pumps and shared assets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_Toc233981294 \h </w:instrText>
        </w:r>
        <w:r w:rsidRPr="00CA2975">
          <w:rPr>
            <w:noProof/>
            <w:webHidden/>
            <w:sz w:val="20"/>
            <w:szCs w:val="18"/>
          </w:rPr>
        </w:r>
        <w:r w:rsidRPr="00CA2975">
          <w:rPr>
            <w:noProof/>
            <w:webHidden/>
            <w:sz w:val="20"/>
            <w:szCs w:val="18"/>
          </w:rPr>
          <w:fldChar w:fldCharType="separate"/>
        </w:r>
        <w:r w:rsidR="005B05A2">
          <w:rPr>
            <w:noProof/>
            <w:webHidden/>
            <w:sz w:val="20"/>
            <w:szCs w:val="18"/>
          </w:rPr>
          <w:t>46</w:t>
        </w:r>
        <w:r w:rsidRPr="00CA2975">
          <w:rPr>
            <w:noProof/>
            <w:webHidden/>
            <w:sz w:val="20"/>
            <w:szCs w:val="18"/>
          </w:rPr>
          <w:fldChar w:fldCharType="end"/>
        </w:r>
      </w:hyperlink>
    </w:p>
    <w:p w14:paraId="037A4636" w14:textId="0472E7CE"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295" w:history="1">
        <w:r w:rsidRPr="00CA2975">
          <w:rPr>
            <w:rStyle w:val="Hyperlink"/>
            <w:noProof/>
            <w:color w:val="auto"/>
            <w:sz w:val="22"/>
            <w:szCs w:val="18"/>
          </w:rPr>
          <w:t>5.5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Farmer characteristics: gender, income, finance and access to resources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_Toc233981295 \h </w:instrText>
        </w:r>
        <w:r w:rsidRPr="00CA2975">
          <w:rPr>
            <w:noProof/>
            <w:webHidden/>
            <w:sz w:val="22"/>
            <w:szCs w:val="18"/>
          </w:rPr>
        </w:r>
        <w:r w:rsidRPr="00CA2975">
          <w:rPr>
            <w:noProof/>
            <w:webHidden/>
            <w:sz w:val="22"/>
            <w:szCs w:val="18"/>
          </w:rPr>
          <w:fldChar w:fldCharType="separate"/>
        </w:r>
        <w:r w:rsidR="005B05A2">
          <w:rPr>
            <w:noProof/>
            <w:webHidden/>
            <w:sz w:val="22"/>
            <w:szCs w:val="18"/>
          </w:rPr>
          <w:t>46</w:t>
        </w:r>
        <w:r w:rsidRPr="00CA2975">
          <w:rPr>
            <w:noProof/>
            <w:webHidden/>
            <w:sz w:val="22"/>
            <w:szCs w:val="18"/>
          </w:rPr>
          <w:fldChar w:fldCharType="end"/>
        </w:r>
      </w:hyperlink>
    </w:p>
    <w:p w14:paraId="04E43C8B" w14:textId="1C194639"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6" w:history="1">
        <w:r w:rsidRPr="00CA2975">
          <w:rPr>
            <w:rStyle w:val="Hyperlink"/>
            <w:noProof/>
            <w:color w:val="auto"/>
            <w:sz w:val="20"/>
            <w:szCs w:val="18"/>
          </w:rPr>
          <w:t>5.5.1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Gender dimensions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_Toc233981296 \h </w:instrText>
        </w:r>
        <w:r w:rsidRPr="00CA2975">
          <w:rPr>
            <w:noProof/>
            <w:webHidden/>
            <w:sz w:val="20"/>
            <w:szCs w:val="18"/>
          </w:rPr>
        </w:r>
        <w:r w:rsidRPr="00CA2975">
          <w:rPr>
            <w:noProof/>
            <w:webHidden/>
            <w:sz w:val="20"/>
            <w:szCs w:val="18"/>
          </w:rPr>
          <w:fldChar w:fldCharType="separate"/>
        </w:r>
        <w:r w:rsidR="005B05A2">
          <w:rPr>
            <w:noProof/>
            <w:webHidden/>
            <w:sz w:val="20"/>
            <w:szCs w:val="18"/>
          </w:rPr>
          <w:t>46</w:t>
        </w:r>
        <w:r w:rsidRPr="00CA2975">
          <w:rPr>
            <w:noProof/>
            <w:webHidden/>
            <w:sz w:val="20"/>
            <w:szCs w:val="18"/>
          </w:rPr>
          <w:fldChar w:fldCharType="end"/>
        </w:r>
      </w:hyperlink>
    </w:p>
    <w:p w14:paraId="42F35971" w14:textId="0BA2177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7" w:history="1">
        <w:r w:rsidRPr="00CA2975">
          <w:rPr>
            <w:rStyle w:val="Hyperlink"/>
            <w:noProof/>
            <w:color w:val="auto"/>
            <w:sz w:val="20"/>
            <w:szCs w:val="18"/>
          </w:rPr>
          <w:t>5.5.2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Income, livelihood structure and investment capacity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_Toc233981297 \h </w:instrText>
        </w:r>
        <w:r w:rsidRPr="00CA2975">
          <w:rPr>
            <w:noProof/>
            <w:webHidden/>
            <w:sz w:val="20"/>
            <w:szCs w:val="18"/>
          </w:rPr>
        </w:r>
        <w:r w:rsidRPr="00CA2975">
          <w:rPr>
            <w:noProof/>
            <w:webHidden/>
            <w:sz w:val="20"/>
            <w:szCs w:val="18"/>
          </w:rPr>
          <w:fldChar w:fldCharType="separate"/>
        </w:r>
        <w:r w:rsidR="005B05A2">
          <w:rPr>
            <w:noProof/>
            <w:webHidden/>
            <w:sz w:val="20"/>
            <w:szCs w:val="18"/>
          </w:rPr>
          <w:t>47</w:t>
        </w:r>
        <w:r w:rsidRPr="00CA2975">
          <w:rPr>
            <w:noProof/>
            <w:webHidden/>
            <w:sz w:val="20"/>
            <w:szCs w:val="18"/>
          </w:rPr>
          <w:fldChar w:fldCharType="end"/>
        </w:r>
      </w:hyperlink>
    </w:p>
    <w:p w14:paraId="0CBB1FB1" w14:textId="67B0728B"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8" w:history="1">
        <w:r w:rsidRPr="00CA2975">
          <w:rPr>
            <w:rStyle w:val="Hyperlink"/>
            <w:noProof/>
            <w:color w:val="auto"/>
            <w:sz w:val="20"/>
            <w:szCs w:val="18"/>
          </w:rPr>
          <w:t>5.5.3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Access to finance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_Toc233981298 \h </w:instrText>
        </w:r>
        <w:r w:rsidRPr="00CA2975">
          <w:rPr>
            <w:noProof/>
            <w:webHidden/>
            <w:sz w:val="20"/>
            <w:szCs w:val="18"/>
          </w:rPr>
        </w:r>
        <w:r w:rsidRPr="00CA2975">
          <w:rPr>
            <w:noProof/>
            <w:webHidden/>
            <w:sz w:val="20"/>
            <w:szCs w:val="18"/>
          </w:rPr>
          <w:fldChar w:fldCharType="separate"/>
        </w:r>
        <w:r w:rsidR="005B05A2">
          <w:rPr>
            <w:noProof/>
            <w:webHidden/>
            <w:sz w:val="20"/>
            <w:szCs w:val="18"/>
          </w:rPr>
          <w:t>47</w:t>
        </w:r>
        <w:r w:rsidRPr="00CA2975">
          <w:rPr>
            <w:noProof/>
            <w:webHidden/>
            <w:sz w:val="20"/>
            <w:szCs w:val="18"/>
          </w:rPr>
          <w:fldChar w:fldCharType="end"/>
        </w:r>
      </w:hyperlink>
    </w:p>
    <w:p w14:paraId="01BB8266" w14:textId="35F97D9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299" w:history="1">
        <w:r w:rsidRPr="00CA2975">
          <w:rPr>
            <w:rStyle w:val="Hyperlink"/>
            <w:noProof/>
            <w:color w:val="auto"/>
            <w:sz w:val="20"/>
            <w:szCs w:val="18"/>
          </w:rPr>
          <w:t>5.5.4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Access to inputs, extension and markets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_Toc233981299 \h </w:instrText>
        </w:r>
        <w:r w:rsidRPr="00CA2975">
          <w:rPr>
            <w:noProof/>
            <w:webHidden/>
            <w:sz w:val="20"/>
            <w:szCs w:val="18"/>
          </w:rPr>
        </w:r>
        <w:r w:rsidRPr="00CA2975">
          <w:rPr>
            <w:noProof/>
            <w:webHidden/>
            <w:sz w:val="20"/>
            <w:szCs w:val="18"/>
          </w:rPr>
          <w:fldChar w:fldCharType="separate"/>
        </w:r>
        <w:r w:rsidR="005B05A2">
          <w:rPr>
            <w:noProof/>
            <w:webHidden/>
            <w:sz w:val="20"/>
            <w:szCs w:val="18"/>
          </w:rPr>
          <w:t>48</w:t>
        </w:r>
        <w:r w:rsidRPr="00CA2975">
          <w:rPr>
            <w:noProof/>
            <w:webHidden/>
            <w:sz w:val="20"/>
            <w:szCs w:val="18"/>
          </w:rPr>
          <w:fldChar w:fldCharType="end"/>
        </w:r>
      </w:hyperlink>
    </w:p>
    <w:p w14:paraId="11864645" w14:textId="02F08F7F"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00" w:history="1">
        <w:r w:rsidRPr="00CA2975">
          <w:rPr>
            <w:rStyle w:val="Hyperlink"/>
            <w:noProof/>
            <w:color w:val="auto"/>
            <w:sz w:val="22"/>
            <w:szCs w:val="18"/>
          </w:rPr>
          <w:t>5.6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Existing production constraints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_Toc233981300 \h </w:instrText>
        </w:r>
        <w:r w:rsidRPr="00CA2975">
          <w:rPr>
            <w:noProof/>
            <w:webHidden/>
            <w:sz w:val="22"/>
            <w:szCs w:val="18"/>
          </w:rPr>
        </w:r>
        <w:r w:rsidRPr="00CA2975">
          <w:rPr>
            <w:noProof/>
            <w:webHidden/>
            <w:sz w:val="22"/>
            <w:szCs w:val="18"/>
          </w:rPr>
          <w:fldChar w:fldCharType="separate"/>
        </w:r>
        <w:r w:rsidR="005B05A2">
          <w:rPr>
            <w:noProof/>
            <w:webHidden/>
            <w:sz w:val="22"/>
            <w:szCs w:val="18"/>
          </w:rPr>
          <w:t>48</w:t>
        </w:r>
        <w:r w:rsidRPr="00CA2975">
          <w:rPr>
            <w:noProof/>
            <w:webHidden/>
            <w:sz w:val="22"/>
            <w:szCs w:val="18"/>
          </w:rPr>
          <w:fldChar w:fldCharType="end"/>
        </w:r>
      </w:hyperlink>
    </w:p>
    <w:p w14:paraId="674275EC" w14:textId="45144C6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1" w:history="1">
        <w:r w:rsidRPr="00CA2975">
          <w:rPr>
            <w:rStyle w:val="Hyperlink"/>
            <w:noProof/>
            <w:color w:val="auto"/>
            <w:sz w:val="20"/>
            <w:szCs w:val="18"/>
          </w:rPr>
          <w:t>5.6.1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Low irrigation efficiency and ageing infrastructure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_Toc233981301 \h </w:instrText>
        </w:r>
        <w:r w:rsidRPr="00CA2975">
          <w:rPr>
            <w:noProof/>
            <w:webHidden/>
            <w:sz w:val="20"/>
            <w:szCs w:val="18"/>
          </w:rPr>
        </w:r>
        <w:r w:rsidRPr="00CA2975">
          <w:rPr>
            <w:noProof/>
            <w:webHidden/>
            <w:sz w:val="20"/>
            <w:szCs w:val="18"/>
          </w:rPr>
          <w:fldChar w:fldCharType="separate"/>
        </w:r>
        <w:r w:rsidR="005B05A2">
          <w:rPr>
            <w:noProof/>
            <w:webHidden/>
            <w:sz w:val="20"/>
            <w:szCs w:val="18"/>
          </w:rPr>
          <w:t>48</w:t>
        </w:r>
        <w:r w:rsidRPr="00CA2975">
          <w:rPr>
            <w:noProof/>
            <w:webHidden/>
            <w:sz w:val="20"/>
            <w:szCs w:val="18"/>
          </w:rPr>
          <w:fldChar w:fldCharType="end"/>
        </w:r>
      </w:hyperlink>
    </w:p>
    <w:p w14:paraId="7BB2B9B2" w14:textId="7583689C"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2" w:history="1">
        <w:r w:rsidRPr="00CA2975">
          <w:rPr>
            <w:rStyle w:val="Hyperlink"/>
            <w:noProof/>
            <w:color w:val="auto"/>
            <w:sz w:val="20"/>
            <w:szCs w:val="18"/>
          </w:rPr>
          <w:t>5.6.2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Limited and fragile climate-protection infrastructure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_Toc233981302 \h </w:instrText>
        </w:r>
        <w:r w:rsidRPr="00CA2975">
          <w:rPr>
            <w:noProof/>
            <w:webHidden/>
            <w:sz w:val="20"/>
            <w:szCs w:val="18"/>
          </w:rPr>
        </w:r>
        <w:r w:rsidRPr="00CA2975">
          <w:rPr>
            <w:noProof/>
            <w:webHidden/>
            <w:sz w:val="20"/>
            <w:szCs w:val="18"/>
          </w:rPr>
          <w:fldChar w:fldCharType="separate"/>
        </w:r>
        <w:r w:rsidR="005B05A2">
          <w:rPr>
            <w:noProof/>
            <w:webHidden/>
            <w:sz w:val="20"/>
            <w:szCs w:val="18"/>
          </w:rPr>
          <w:t>49</w:t>
        </w:r>
        <w:r w:rsidRPr="00CA2975">
          <w:rPr>
            <w:noProof/>
            <w:webHidden/>
            <w:sz w:val="20"/>
            <w:szCs w:val="18"/>
          </w:rPr>
          <w:fldChar w:fldCharType="end"/>
        </w:r>
      </w:hyperlink>
    </w:p>
    <w:p w14:paraId="128ACF23" w14:textId="3D9CCAEB"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3" w:history="1">
        <w:r w:rsidRPr="00CA2975">
          <w:rPr>
            <w:rStyle w:val="Hyperlink"/>
            <w:noProof/>
            <w:color w:val="auto"/>
            <w:sz w:val="20"/>
            <w:szCs w:val="18"/>
          </w:rPr>
          <w:t>5.6.3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Low mechanisation and high manual labour intensity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_Toc233981303 \h </w:instrText>
        </w:r>
        <w:r w:rsidRPr="00CA2975">
          <w:rPr>
            <w:noProof/>
            <w:webHidden/>
            <w:sz w:val="20"/>
            <w:szCs w:val="18"/>
          </w:rPr>
        </w:r>
        <w:r w:rsidRPr="00CA2975">
          <w:rPr>
            <w:noProof/>
            <w:webHidden/>
            <w:sz w:val="20"/>
            <w:szCs w:val="18"/>
          </w:rPr>
          <w:fldChar w:fldCharType="separate"/>
        </w:r>
        <w:r w:rsidR="005B05A2">
          <w:rPr>
            <w:noProof/>
            <w:webHidden/>
            <w:sz w:val="20"/>
            <w:szCs w:val="18"/>
          </w:rPr>
          <w:t>49</w:t>
        </w:r>
        <w:r w:rsidRPr="00CA2975">
          <w:rPr>
            <w:noProof/>
            <w:webHidden/>
            <w:sz w:val="20"/>
            <w:szCs w:val="18"/>
          </w:rPr>
          <w:fldChar w:fldCharType="end"/>
        </w:r>
      </w:hyperlink>
    </w:p>
    <w:p w14:paraId="723933B9" w14:textId="749E582D"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4" w:history="1">
        <w:r w:rsidRPr="00CA2975">
          <w:rPr>
            <w:rStyle w:val="Hyperlink"/>
            <w:noProof/>
            <w:color w:val="auto"/>
            <w:sz w:val="20"/>
            <w:szCs w:val="18"/>
          </w:rPr>
          <w:t>5.6.4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Limited technical support</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_Toc233981304 \h </w:instrText>
        </w:r>
        <w:r w:rsidRPr="00CA2975">
          <w:rPr>
            <w:noProof/>
            <w:webHidden/>
            <w:sz w:val="20"/>
            <w:szCs w:val="18"/>
          </w:rPr>
        </w:r>
        <w:r w:rsidRPr="00CA2975">
          <w:rPr>
            <w:noProof/>
            <w:webHidden/>
            <w:sz w:val="20"/>
            <w:szCs w:val="18"/>
          </w:rPr>
          <w:fldChar w:fldCharType="separate"/>
        </w:r>
        <w:r w:rsidR="005B05A2">
          <w:rPr>
            <w:noProof/>
            <w:webHidden/>
            <w:sz w:val="20"/>
            <w:szCs w:val="18"/>
          </w:rPr>
          <w:t>49</w:t>
        </w:r>
        <w:r w:rsidRPr="00CA2975">
          <w:rPr>
            <w:noProof/>
            <w:webHidden/>
            <w:sz w:val="20"/>
            <w:szCs w:val="18"/>
          </w:rPr>
          <w:fldChar w:fldCharType="end"/>
        </w:r>
      </w:hyperlink>
    </w:p>
    <w:p w14:paraId="17824163" w14:textId="7C298F48"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05" w:history="1">
        <w:r w:rsidRPr="00CA2975">
          <w:rPr>
            <w:rStyle w:val="Hyperlink"/>
            <w:noProof/>
            <w:color w:val="auto"/>
            <w:sz w:val="22"/>
            <w:szCs w:val="18"/>
          </w:rPr>
          <w:t>5.7</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Priority beneficiaries and targeting strategy</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_Toc233981305 \h </w:instrText>
        </w:r>
        <w:r w:rsidRPr="00CA2975">
          <w:rPr>
            <w:noProof/>
            <w:webHidden/>
            <w:sz w:val="22"/>
            <w:szCs w:val="18"/>
          </w:rPr>
        </w:r>
        <w:r w:rsidRPr="00CA2975">
          <w:rPr>
            <w:noProof/>
            <w:webHidden/>
            <w:sz w:val="22"/>
            <w:szCs w:val="18"/>
          </w:rPr>
          <w:fldChar w:fldCharType="separate"/>
        </w:r>
        <w:r w:rsidR="005B05A2">
          <w:rPr>
            <w:noProof/>
            <w:webHidden/>
            <w:sz w:val="22"/>
            <w:szCs w:val="18"/>
          </w:rPr>
          <w:t>49</w:t>
        </w:r>
        <w:r w:rsidRPr="00CA2975">
          <w:rPr>
            <w:noProof/>
            <w:webHidden/>
            <w:sz w:val="22"/>
            <w:szCs w:val="18"/>
          </w:rPr>
          <w:fldChar w:fldCharType="end"/>
        </w:r>
      </w:hyperlink>
    </w:p>
    <w:p w14:paraId="7B132C22" w14:textId="584834A6"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6" w:history="1">
        <w:r w:rsidRPr="00CA2975">
          <w:rPr>
            <w:rStyle w:val="Hyperlink"/>
            <w:noProof/>
            <w:color w:val="auto"/>
            <w:sz w:val="20"/>
            <w:szCs w:val="18"/>
          </w:rPr>
          <w:t>5.7.1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Priority beneficiary groups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_Toc233981306 \h </w:instrText>
        </w:r>
        <w:r w:rsidRPr="00CA2975">
          <w:rPr>
            <w:noProof/>
            <w:webHidden/>
            <w:sz w:val="20"/>
            <w:szCs w:val="18"/>
          </w:rPr>
        </w:r>
        <w:r w:rsidRPr="00CA2975">
          <w:rPr>
            <w:noProof/>
            <w:webHidden/>
            <w:sz w:val="20"/>
            <w:szCs w:val="18"/>
          </w:rPr>
          <w:fldChar w:fldCharType="separate"/>
        </w:r>
        <w:r w:rsidR="005B05A2">
          <w:rPr>
            <w:noProof/>
            <w:webHidden/>
            <w:sz w:val="20"/>
            <w:szCs w:val="18"/>
          </w:rPr>
          <w:t>49</w:t>
        </w:r>
        <w:r w:rsidRPr="00CA2975">
          <w:rPr>
            <w:noProof/>
            <w:webHidden/>
            <w:sz w:val="20"/>
            <w:szCs w:val="18"/>
          </w:rPr>
          <w:fldChar w:fldCharType="end"/>
        </w:r>
      </w:hyperlink>
    </w:p>
    <w:p w14:paraId="299104E5" w14:textId="7E12D09E"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7" w:history="1">
        <w:r w:rsidRPr="00CA2975">
          <w:rPr>
            <w:rStyle w:val="Hyperlink"/>
            <w:noProof/>
            <w:color w:val="auto"/>
            <w:sz w:val="20"/>
            <w:szCs w:val="18"/>
          </w:rPr>
          <w:t>5.7.2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Geographic and system-based targeting</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_Toc233981307 \h </w:instrText>
        </w:r>
        <w:r w:rsidRPr="00CA2975">
          <w:rPr>
            <w:noProof/>
            <w:webHidden/>
            <w:sz w:val="20"/>
            <w:szCs w:val="18"/>
          </w:rPr>
        </w:r>
        <w:r w:rsidRPr="00CA2975">
          <w:rPr>
            <w:noProof/>
            <w:webHidden/>
            <w:sz w:val="20"/>
            <w:szCs w:val="18"/>
          </w:rPr>
          <w:fldChar w:fldCharType="separate"/>
        </w:r>
        <w:r w:rsidR="005B05A2">
          <w:rPr>
            <w:noProof/>
            <w:webHidden/>
            <w:sz w:val="20"/>
            <w:szCs w:val="18"/>
          </w:rPr>
          <w:t>50</w:t>
        </w:r>
        <w:r w:rsidRPr="00CA2975">
          <w:rPr>
            <w:noProof/>
            <w:webHidden/>
            <w:sz w:val="20"/>
            <w:szCs w:val="18"/>
          </w:rPr>
          <w:fldChar w:fldCharType="end"/>
        </w:r>
      </w:hyperlink>
    </w:p>
    <w:p w14:paraId="3B759870" w14:textId="7755075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08" w:history="1">
        <w:r w:rsidRPr="00CA2975">
          <w:rPr>
            <w:rStyle w:val="Hyperlink"/>
            <w:noProof/>
            <w:color w:val="auto"/>
            <w:sz w:val="20"/>
            <w:szCs w:val="18"/>
          </w:rPr>
          <w:t>5.7.3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Beneficiary selection criteria and tier-to-package matching</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_Toc233981308 \h </w:instrText>
        </w:r>
        <w:r w:rsidRPr="00CA2975">
          <w:rPr>
            <w:noProof/>
            <w:webHidden/>
            <w:sz w:val="20"/>
            <w:szCs w:val="18"/>
          </w:rPr>
        </w:r>
        <w:r w:rsidRPr="00CA2975">
          <w:rPr>
            <w:noProof/>
            <w:webHidden/>
            <w:sz w:val="20"/>
            <w:szCs w:val="18"/>
          </w:rPr>
          <w:fldChar w:fldCharType="separate"/>
        </w:r>
        <w:r w:rsidR="005B05A2">
          <w:rPr>
            <w:noProof/>
            <w:webHidden/>
            <w:sz w:val="20"/>
            <w:szCs w:val="18"/>
          </w:rPr>
          <w:t>50</w:t>
        </w:r>
        <w:r w:rsidRPr="00CA2975">
          <w:rPr>
            <w:noProof/>
            <w:webHidden/>
            <w:sz w:val="20"/>
            <w:szCs w:val="18"/>
          </w:rPr>
          <w:fldChar w:fldCharType="end"/>
        </w:r>
      </w:hyperlink>
    </w:p>
    <w:p w14:paraId="2965D2F6" w14:textId="5C8EE907"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09" w:history="1">
        <w:r w:rsidRPr="00CA2975">
          <w:rPr>
            <w:rStyle w:val="Hyperlink"/>
            <w:noProof/>
            <w:color w:val="auto"/>
            <w:sz w:val="22"/>
            <w:szCs w:val="18"/>
          </w:rPr>
          <w:t>5.8</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Implications for technology assessment and the cost-benefit analysis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_Toc233981309 \h </w:instrText>
        </w:r>
        <w:r w:rsidRPr="00CA2975">
          <w:rPr>
            <w:noProof/>
            <w:webHidden/>
            <w:sz w:val="22"/>
            <w:szCs w:val="18"/>
          </w:rPr>
        </w:r>
        <w:r w:rsidRPr="00CA2975">
          <w:rPr>
            <w:noProof/>
            <w:webHidden/>
            <w:sz w:val="22"/>
            <w:szCs w:val="18"/>
          </w:rPr>
          <w:fldChar w:fldCharType="separate"/>
        </w:r>
        <w:r w:rsidR="005B05A2">
          <w:rPr>
            <w:noProof/>
            <w:webHidden/>
            <w:sz w:val="22"/>
            <w:szCs w:val="18"/>
          </w:rPr>
          <w:t>51</w:t>
        </w:r>
        <w:r w:rsidRPr="00CA2975">
          <w:rPr>
            <w:noProof/>
            <w:webHidden/>
            <w:sz w:val="22"/>
            <w:szCs w:val="18"/>
          </w:rPr>
          <w:fldChar w:fldCharType="end"/>
        </w:r>
      </w:hyperlink>
    </w:p>
    <w:p w14:paraId="425AEBC7" w14:textId="0790FD3B"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310" w:history="1">
        <w:r w:rsidRPr="00CA2975">
          <w:rPr>
            <w:rStyle w:val="Hyperlink"/>
            <w:noProof/>
            <w:color w:val="auto"/>
            <w:sz w:val="28"/>
            <w:szCs w:val="18"/>
          </w:rPr>
          <w:t>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Market Assessment</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_Toc233981310 \h </w:instrText>
        </w:r>
        <w:r w:rsidRPr="00CA2975">
          <w:rPr>
            <w:noProof/>
            <w:webHidden/>
            <w:sz w:val="28"/>
            <w:szCs w:val="18"/>
          </w:rPr>
        </w:r>
        <w:r w:rsidRPr="00CA2975">
          <w:rPr>
            <w:noProof/>
            <w:webHidden/>
            <w:sz w:val="28"/>
            <w:szCs w:val="18"/>
          </w:rPr>
          <w:fldChar w:fldCharType="separate"/>
        </w:r>
        <w:r w:rsidR="005B05A2">
          <w:rPr>
            <w:noProof/>
            <w:webHidden/>
            <w:sz w:val="28"/>
            <w:szCs w:val="18"/>
          </w:rPr>
          <w:t>53</w:t>
        </w:r>
        <w:r w:rsidRPr="00CA2975">
          <w:rPr>
            <w:noProof/>
            <w:webHidden/>
            <w:sz w:val="28"/>
            <w:szCs w:val="18"/>
          </w:rPr>
          <w:fldChar w:fldCharType="end"/>
        </w:r>
      </w:hyperlink>
    </w:p>
    <w:p w14:paraId="351404EA" w14:textId="626C4B55"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11" w:history="1">
        <w:r w:rsidRPr="00CA2975">
          <w:rPr>
            <w:rStyle w:val="Hyperlink"/>
            <w:noProof/>
            <w:color w:val="auto"/>
            <w:sz w:val="22"/>
            <w:szCs w:val="18"/>
          </w:rPr>
          <w:t>6.1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National vegetable demand</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_Toc233981311 \h </w:instrText>
        </w:r>
        <w:r w:rsidRPr="00CA2975">
          <w:rPr>
            <w:noProof/>
            <w:webHidden/>
            <w:sz w:val="22"/>
            <w:szCs w:val="18"/>
          </w:rPr>
        </w:r>
        <w:r w:rsidRPr="00CA2975">
          <w:rPr>
            <w:noProof/>
            <w:webHidden/>
            <w:sz w:val="22"/>
            <w:szCs w:val="18"/>
          </w:rPr>
          <w:fldChar w:fldCharType="separate"/>
        </w:r>
        <w:r w:rsidR="005B05A2">
          <w:rPr>
            <w:noProof/>
            <w:webHidden/>
            <w:sz w:val="22"/>
            <w:szCs w:val="18"/>
          </w:rPr>
          <w:t>53</w:t>
        </w:r>
        <w:r w:rsidRPr="00CA2975">
          <w:rPr>
            <w:noProof/>
            <w:webHidden/>
            <w:sz w:val="22"/>
            <w:szCs w:val="18"/>
          </w:rPr>
          <w:fldChar w:fldCharType="end"/>
        </w:r>
      </w:hyperlink>
    </w:p>
    <w:p w14:paraId="5C0D53C2" w14:textId="72D81A94"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12" w:history="1">
        <w:r w:rsidRPr="00CA2975">
          <w:rPr>
            <w:rStyle w:val="Hyperlink"/>
            <w:noProof/>
            <w:color w:val="auto"/>
            <w:sz w:val="20"/>
            <w:szCs w:val="18"/>
          </w:rPr>
          <w:t>6.1.1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Demand drivers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_Toc233981312 \h </w:instrText>
        </w:r>
        <w:r w:rsidRPr="00CA2975">
          <w:rPr>
            <w:noProof/>
            <w:webHidden/>
            <w:sz w:val="20"/>
            <w:szCs w:val="18"/>
          </w:rPr>
        </w:r>
        <w:r w:rsidRPr="00CA2975">
          <w:rPr>
            <w:noProof/>
            <w:webHidden/>
            <w:sz w:val="20"/>
            <w:szCs w:val="18"/>
          </w:rPr>
          <w:fldChar w:fldCharType="separate"/>
        </w:r>
        <w:r w:rsidR="005B05A2">
          <w:rPr>
            <w:noProof/>
            <w:webHidden/>
            <w:sz w:val="20"/>
            <w:szCs w:val="18"/>
          </w:rPr>
          <w:t>53</w:t>
        </w:r>
        <w:r w:rsidRPr="00CA2975">
          <w:rPr>
            <w:noProof/>
            <w:webHidden/>
            <w:sz w:val="20"/>
            <w:szCs w:val="18"/>
          </w:rPr>
          <w:fldChar w:fldCharType="end"/>
        </w:r>
      </w:hyperlink>
    </w:p>
    <w:p w14:paraId="06530FA6" w14:textId="48A8EB54"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13" w:history="1">
        <w:r w:rsidRPr="00CA2975">
          <w:rPr>
            <w:rStyle w:val="Hyperlink"/>
            <w:noProof/>
            <w:color w:val="auto"/>
            <w:sz w:val="20"/>
            <w:szCs w:val="18"/>
          </w:rPr>
          <w:t>6.1.2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Consumption levels and the nutrition gap</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_Toc233981313 \h </w:instrText>
        </w:r>
        <w:r w:rsidRPr="00CA2975">
          <w:rPr>
            <w:noProof/>
            <w:webHidden/>
            <w:sz w:val="20"/>
            <w:szCs w:val="18"/>
          </w:rPr>
        </w:r>
        <w:r w:rsidRPr="00CA2975">
          <w:rPr>
            <w:noProof/>
            <w:webHidden/>
            <w:sz w:val="20"/>
            <w:szCs w:val="18"/>
          </w:rPr>
          <w:fldChar w:fldCharType="separate"/>
        </w:r>
        <w:r w:rsidR="005B05A2">
          <w:rPr>
            <w:noProof/>
            <w:webHidden/>
            <w:sz w:val="20"/>
            <w:szCs w:val="18"/>
          </w:rPr>
          <w:t>53</w:t>
        </w:r>
        <w:r w:rsidRPr="00CA2975">
          <w:rPr>
            <w:noProof/>
            <w:webHidden/>
            <w:sz w:val="20"/>
            <w:szCs w:val="18"/>
          </w:rPr>
          <w:fldChar w:fldCharType="end"/>
        </w:r>
      </w:hyperlink>
    </w:p>
    <w:p w14:paraId="3B8C026F" w14:textId="51CCBF9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14" w:history="1">
        <w:r w:rsidRPr="00CA2975">
          <w:rPr>
            <w:rStyle w:val="Hyperlink"/>
            <w:noProof/>
            <w:color w:val="auto"/>
            <w:sz w:val="20"/>
            <w:szCs w:val="18"/>
          </w:rPr>
          <w:t>6.1.3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Aggregate market size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_Toc233981314 \h </w:instrText>
        </w:r>
        <w:r w:rsidRPr="00CA2975">
          <w:rPr>
            <w:noProof/>
            <w:webHidden/>
            <w:sz w:val="20"/>
            <w:szCs w:val="18"/>
          </w:rPr>
        </w:r>
        <w:r w:rsidRPr="00CA2975">
          <w:rPr>
            <w:noProof/>
            <w:webHidden/>
            <w:sz w:val="20"/>
            <w:szCs w:val="18"/>
          </w:rPr>
          <w:fldChar w:fldCharType="separate"/>
        </w:r>
        <w:r w:rsidR="005B05A2">
          <w:rPr>
            <w:noProof/>
            <w:webHidden/>
            <w:sz w:val="20"/>
            <w:szCs w:val="18"/>
          </w:rPr>
          <w:t>54</w:t>
        </w:r>
        <w:r w:rsidRPr="00CA2975">
          <w:rPr>
            <w:noProof/>
            <w:webHidden/>
            <w:sz w:val="20"/>
            <w:szCs w:val="18"/>
          </w:rPr>
          <w:fldChar w:fldCharType="end"/>
        </w:r>
      </w:hyperlink>
    </w:p>
    <w:p w14:paraId="05463FD5" w14:textId="14B11D28"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15" w:history="1">
        <w:r w:rsidRPr="00CA2975">
          <w:rPr>
            <w:rStyle w:val="Hyperlink"/>
            <w:noProof/>
            <w:color w:val="auto"/>
            <w:sz w:val="22"/>
            <w:szCs w:val="18"/>
          </w:rPr>
          <w:t>6.2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Domestic supply and the supply–demand balance</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_Toc233981315 \h </w:instrText>
        </w:r>
        <w:r w:rsidRPr="00CA2975">
          <w:rPr>
            <w:noProof/>
            <w:webHidden/>
            <w:sz w:val="22"/>
            <w:szCs w:val="18"/>
          </w:rPr>
        </w:r>
        <w:r w:rsidRPr="00CA2975">
          <w:rPr>
            <w:noProof/>
            <w:webHidden/>
            <w:sz w:val="22"/>
            <w:szCs w:val="18"/>
          </w:rPr>
          <w:fldChar w:fldCharType="separate"/>
        </w:r>
        <w:r w:rsidR="005B05A2">
          <w:rPr>
            <w:noProof/>
            <w:webHidden/>
            <w:sz w:val="22"/>
            <w:szCs w:val="18"/>
          </w:rPr>
          <w:t>54</w:t>
        </w:r>
        <w:r w:rsidRPr="00CA2975">
          <w:rPr>
            <w:noProof/>
            <w:webHidden/>
            <w:sz w:val="22"/>
            <w:szCs w:val="18"/>
          </w:rPr>
          <w:fldChar w:fldCharType="end"/>
        </w:r>
      </w:hyperlink>
    </w:p>
    <w:p w14:paraId="730B8A3E" w14:textId="5ADF375B"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16" w:history="1">
        <w:r w:rsidRPr="00CA2975">
          <w:rPr>
            <w:rStyle w:val="Hyperlink"/>
            <w:noProof/>
            <w:color w:val="auto"/>
            <w:sz w:val="20"/>
            <w:szCs w:val="18"/>
          </w:rPr>
          <w:t>6.2.1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National production trend</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_Toc233981316 \h </w:instrText>
        </w:r>
        <w:r w:rsidRPr="00CA2975">
          <w:rPr>
            <w:noProof/>
            <w:webHidden/>
            <w:sz w:val="20"/>
            <w:szCs w:val="18"/>
          </w:rPr>
        </w:r>
        <w:r w:rsidRPr="00CA2975">
          <w:rPr>
            <w:noProof/>
            <w:webHidden/>
            <w:sz w:val="20"/>
            <w:szCs w:val="18"/>
          </w:rPr>
          <w:fldChar w:fldCharType="separate"/>
        </w:r>
        <w:r w:rsidR="005B05A2">
          <w:rPr>
            <w:noProof/>
            <w:webHidden/>
            <w:sz w:val="20"/>
            <w:szCs w:val="18"/>
          </w:rPr>
          <w:t>54</w:t>
        </w:r>
        <w:r w:rsidRPr="00CA2975">
          <w:rPr>
            <w:noProof/>
            <w:webHidden/>
            <w:sz w:val="20"/>
            <w:szCs w:val="18"/>
          </w:rPr>
          <w:fldChar w:fldCharType="end"/>
        </w:r>
      </w:hyperlink>
    </w:p>
    <w:p w14:paraId="1CC371C0" w14:textId="1191D308"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17" w:history="1">
        <w:r w:rsidRPr="00CA2975">
          <w:rPr>
            <w:rStyle w:val="Hyperlink"/>
            <w:noProof/>
            <w:color w:val="auto"/>
            <w:sz w:val="20"/>
            <w:szCs w:val="18"/>
          </w:rPr>
          <w:t>6.2.2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The national supply–demand balance and self-sufficiency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_Toc233981317 \h </w:instrText>
        </w:r>
        <w:r w:rsidRPr="00CA2975">
          <w:rPr>
            <w:noProof/>
            <w:webHidden/>
            <w:sz w:val="20"/>
            <w:szCs w:val="18"/>
          </w:rPr>
        </w:r>
        <w:r w:rsidRPr="00CA2975">
          <w:rPr>
            <w:noProof/>
            <w:webHidden/>
            <w:sz w:val="20"/>
            <w:szCs w:val="18"/>
          </w:rPr>
          <w:fldChar w:fldCharType="separate"/>
        </w:r>
        <w:r w:rsidR="005B05A2">
          <w:rPr>
            <w:noProof/>
            <w:webHidden/>
            <w:sz w:val="20"/>
            <w:szCs w:val="18"/>
          </w:rPr>
          <w:t>55</w:t>
        </w:r>
        <w:r w:rsidRPr="00CA2975">
          <w:rPr>
            <w:noProof/>
            <w:webHidden/>
            <w:sz w:val="20"/>
            <w:szCs w:val="18"/>
          </w:rPr>
          <w:fldChar w:fldCharType="end"/>
        </w:r>
      </w:hyperlink>
    </w:p>
    <w:p w14:paraId="10EF84BB" w14:textId="5ED9EE0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18" w:history="1">
        <w:r w:rsidRPr="00CA2975">
          <w:rPr>
            <w:rStyle w:val="Hyperlink"/>
            <w:noProof/>
            <w:color w:val="auto"/>
            <w:sz w:val="20"/>
            <w:szCs w:val="18"/>
          </w:rPr>
          <w:t>6.2.3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Seasonality of supply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_Toc233981318 \h </w:instrText>
        </w:r>
        <w:r w:rsidRPr="00CA2975">
          <w:rPr>
            <w:noProof/>
            <w:webHidden/>
            <w:sz w:val="20"/>
            <w:szCs w:val="18"/>
          </w:rPr>
        </w:r>
        <w:r w:rsidRPr="00CA2975">
          <w:rPr>
            <w:noProof/>
            <w:webHidden/>
            <w:sz w:val="20"/>
            <w:szCs w:val="18"/>
          </w:rPr>
          <w:fldChar w:fldCharType="separate"/>
        </w:r>
        <w:r w:rsidR="005B05A2">
          <w:rPr>
            <w:noProof/>
            <w:webHidden/>
            <w:sz w:val="20"/>
            <w:szCs w:val="18"/>
          </w:rPr>
          <w:t>55</w:t>
        </w:r>
        <w:r w:rsidRPr="00CA2975">
          <w:rPr>
            <w:noProof/>
            <w:webHidden/>
            <w:sz w:val="20"/>
            <w:szCs w:val="18"/>
          </w:rPr>
          <w:fldChar w:fldCharType="end"/>
        </w:r>
      </w:hyperlink>
    </w:p>
    <w:p w14:paraId="4FC3B354" w14:textId="1F8B9F7E"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19" w:history="1">
        <w:r w:rsidRPr="00CA2975">
          <w:rPr>
            <w:rStyle w:val="Hyperlink"/>
            <w:noProof/>
            <w:color w:val="auto"/>
            <w:sz w:val="22"/>
            <w:szCs w:val="18"/>
          </w:rPr>
          <w:t>6.3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Vegetable imports and import-substitution opportunities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_Toc233981319 \h </w:instrText>
        </w:r>
        <w:r w:rsidRPr="00CA2975">
          <w:rPr>
            <w:noProof/>
            <w:webHidden/>
            <w:sz w:val="22"/>
            <w:szCs w:val="18"/>
          </w:rPr>
        </w:r>
        <w:r w:rsidRPr="00CA2975">
          <w:rPr>
            <w:noProof/>
            <w:webHidden/>
            <w:sz w:val="22"/>
            <w:szCs w:val="18"/>
          </w:rPr>
          <w:fldChar w:fldCharType="separate"/>
        </w:r>
        <w:r w:rsidR="005B05A2">
          <w:rPr>
            <w:noProof/>
            <w:webHidden/>
            <w:sz w:val="22"/>
            <w:szCs w:val="18"/>
          </w:rPr>
          <w:t>56</w:t>
        </w:r>
        <w:r w:rsidRPr="00CA2975">
          <w:rPr>
            <w:noProof/>
            <w:webHidden/>
            <w:sz w:val="22"/>
            <w:szCs w:val="18"/>
          </w:rPr>
          <w:fldChar w:fldCharType="end"/>
        </w:r>
      </w:hyperlink>
    </w:p>
    <w:p w14:paraId="21C37C9A" w14:textId="2395D40C"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0" w:history="1">
        <w:r w:rsidRPr="00CA2975">
          <w:rPr>
            <w:rStyle w:val="Hyperlink"/>
            <w:noProof/>
            <w:color w:val="auto"/>
            <w:sz w:val="20"/>
            <w:szCs w:val="18"/>
          </w:rPr>
          <w:t>6.3.1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Scale and composition of imports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_Toc233981320 \h </w:instrText>
        </w:r>
        <w:r w:rsidRPr="00CA2975">
          <w:rPr>
            <w:noProof/>
            <w:webHidden/>
            <w:sz w:val="20"/>
            <w:szCs w:val="18"/>
          </w:rPr>
        </w:r>
        <w:r w:rsidRPr="00CA2975">
          <w:rPr>
            <w:noProof/>
            <w:webHidden/>
            <w:sz w:val="20"/>
            <w:szCs w:val="18"/>
          </w:rPr>
          <w:fldChar w:fldCharType="separate"/>
        </w:r>
        <w:r w:rsidR="005B05A2">
          <w:rPr>
            <w:noProof/>
            <w:webHidden/>
            <w:sz w:val="20"/>
            <w:szCs w:val="18"/>
          </w:rPr>
          <w:t>56</w:t>
        </w:r>
        <w:r w:rsidRPr="00CA2975">
          <w:rPr>
            <w:noProof/>
            <w:webHidden/>
            <w:sz w:val="20"/>
            <w:szCs w:val="18"/>
          </w:rPr>
          <w:fldChar w:fldCharType="end"/>
        </w:r>
      </w:hyperlink>
    </w:p>
    <w:p w14:paraId="638FE6AD" w14:textId="548BAB36"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1" w:history="1">
        <w:r w:rsidRPr="00CA2975">
          <w:rPr>
            <w:rStyle w:val="Hyperlink"/>
            <w:noProof/>
            <w:color w:val="auto"/>
            <w:sz w:val="20"/>
            <w:szCs w:val="18"/>
          </w:rPr>
          <w:t>6.3.2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Import origins and prices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_Toc233981321 \h </w:instrText>
        </w:r>
        <w:r w:rsidRPr="00CA2975">
          <w:rPr>
            <w:noProof/>
            <w:webHidden/>
            <w:sz w:val="20"/>
            <w:szCs w:val="18"/>
          </w:rPr>
        </w:r>
        <w:r w:rsidRPr="00CA2975">
          <w:rPr>
            <w:noProof/>
            <w:webHidden/>
            <w:sz w:val="20"/>
            <w:szCs w:val="18"/>
          </w:rPr>
          <w:fldChar w:fldCharType="separate"/>
        </w:r>
        <w:r w:rsidR="005B05A2">
          <w:rPr>
            <w:noProof/>
            <w:webHidden/>
            <w:sz w:val="20"/>
            <w:szCs w:val="18"/>
          </w:rPr>
          <w:t>57</w:t>
        </w:r>
        <w:r w:rsidRPr="00CA2975">
          <w:rPr>
            <w:noProof/>
            <w:webHidden/>
            <w:sz w:val="20"/>
            <w:szCs w:val="18"/>
          </w:rPr>
          <w:fldChar w:fldCharType="end"/>
        </w:r>
      </w:hyperlink>
    </w:p>
    <w:p w14:paraId="229166AC" w14:textId="202358CB"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2" w:history="1">
        <w:r w:rsidRPr="00CA2975">
          <w:rPr>
            <w:rStyle w:val="Hyperlink"/>
            <w:noProof/>
            <w:color w:val="auto"/>
            <w:sz w:val="20"/>
            <w:szCs w:val="18"/>
          </w:rPr>
          <w:t>6.3.3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Per-crop self-sufficiency and the substitution map</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_Toc233981322 \h </w:instrText>
        </w:r>
        <w:r w:rsidRPr="00CA2975">
          <w:rPr>
            <w:noProof/>
            <w:webHidden/>
            <w:sz w:val="20"/>
            <w:szCs w:val="18"/>
          </w:rPr>
        </w:r>
        <w:r w:rsidRPr="00CA2975">
          <w:rPr>
            <w:noProof/>
            <w:webHidden/>
            <w:sz w:val="20"/>
            <w:szCs w:val="18"/>
          </w:rPr>
          <w:fldChar w:fldCharType="separate"/>
        </w:r>
        <w:r w:rsidR="005B05A2">
          <w:rPr>
            <w:noProof/>
            <w:webHidden/>
            <w:sz w:val="20"/>
            <w:szCs w:val="18"/>
          </w:rPr>
          <w:t>57</w:t>
        </w:r>
        <w:r w:rsidRPr="00CA2975">
          <w:rPr>
            <w:noProof/>
            <w:webHidden/>
            <w:sz w:val="20"/>
            <w:szCs w:val="18"/>
          </w:rPr>
          <w:fldChar w:fldCharType="end"/>
        </w:r>
      </w:hyperlink>
    </w:p>
    <w:p w14:paraId="3F1C9692" w14:textId="5CCC8EF9"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3" w:history="1">
        <w:r w:rsidRPr="00CA2975">
          <w:rPr>
            <w:rStyle w:val="Hyperlink"/>
            <w:noProof/>
            <w:color w:val="auto"/>
            <w:sz w:val="20"/>
            <w:szCs w:val="18"/>
          </w:rPr>
          <w:t>6.3.4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Quantifying the substitution opportunity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_Toc233981323 \h </w:instrText>
        </w:r>
        <w:r w:rsidRPr="00CA2975">
          <w:rPr>
            <w:noProof/>
            <w:webHidden/>
            <w:sz w:val="20"/>
            <w:szCs w:val="18"/>
          </w:rPr>
        </w:r>
        <w:r w:rsidRPr="00CA2975">
          <w:rPr>
            <w:noProof/>
            <w:webHidden/>
            <w:sz w:val="20"/>
            <w:szCs w:val="18"/>
          </w:rPr>
          <w:fldChar w:fldCharType="separate"/>
        </w:r>
        <w:r w:rsidR="005B05A2">
          <w:rPr>
            <w:noProof/>
            <w:webHidden/>
            <w:sz w:val="20"/>
            <w:szCs w:val="18"/>
          </w:rPr>
          <w:t>58</w:t>
        </w:r>
        <w:r w:rsidRPr="00CA2975">
          <w:rPr>
            <w:noProof/>
            <w:webHidden/>
            <w:sz w:val="20"/>
            <w:szCs w:val="18"/>
          </w:rPr>
          <w:fldChar w:fldCharType="end"/>
        </w:r>
      </w:hyperlink>
    </w:p>
    <w:p w14:paraId="46C940D2" w14:textId="420794E5"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24" w:history="1">
        <w:r w:rsidRPr="00CA2975">
          <w:rPr>
            <w:rStyle w:val="Hyperlink"/>
            <w:noProof/>
            <w:color w:val="auto"/>
            <w:sz w:val="22"/>
            <w:szCs w:val="18"/>
          </w:rPr>
          <w:t>6.4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Prices, seasonality and market opportunities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_Toc233981324 \h </w:instrText>
        </w:r>
        <w:r w:rsidRPr="00CA2975">
          <w:rPr>
            <w:noProof/>
            <w:webHidden/>
            <w:sz w:val="22"/>
            <w:szCs w:val="18"/>
          </w:rPr>
        </w:r>
        <w:r w:rsidRPr="00CA2975">
          <w:rPr>
            <w:noProof/>
            <w:webHidden/>
            <w:sz w:val="22"/>
            <w:szCs w:val="18"/>
          </w:rPr>
          <w:fldChar w:fldCharType="separate"/>
        </w:r>
        <w:r w:rsidR="005B05A2">
          <w:rPr>
            <w:noProof/>
            <w:webHidden/>
            <w:sz w:val="22"/>
            <w:szCs w:val="18"/>
          </w:rPr>
          <w:t>58</w:t>
        </w:r>
        <w:r w:rsidRPr="00CA2975">
          <w:rPr>
            <w:noProof/>
            <w:webHidden/>
            <w:sz w:val="22"/>
            <w:szCs w:val="18"/>
          </w:rPr>
          <w:fldChar w:fldCharType="end"/>
        </w:r>
      </w:hyperlink>
    </w:p>
    <w:p w14:paraId="31C893B4" w14:textId="55DE4DB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5" w:history="1">
        <w:r w:rsidRPr="00CA2975">
          <w:rPr>
            <w:rStyle w:val="Hyperlink"/>
            <w:noProof/>
            <w:color w:val="auto"/>
            <w:sz w:val="20"/>
            <w:szCs w:val="18"/>
          </w:rPr>
          <w:t>6.4.1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Seasonal price dynamics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_Toc233981325 \h </w:instrText>
        </w:r>
        <w:r w:rsidRPr="00CA2975">
          <w:rPr>
            <w:noProof/>
            <w:webHidden/>
            <w:sz w:val="20"/>
            <w:szCs w:val="18"/>
          </w:rPr>
        </w:r>
        <w:r w:rsidRPr="00CA2975">
          <w:rPr>
            <w:noProof/>
            <w:webHidden/>
            <w:sz w:val="20"/>
            <w:szCs w:val="18"/>
          </w:rPr>
          <w:fldChar w:fldCharType="separate"/>
        </w:r>
        <w:r w:rsidR="005B05A2">
          <w:rPr>
            <w:noProof/>
            <w:webHidden/>
            <w:sz w:val="20"/>
            <w:szCs w:val="18"/>
          </w:rPr>
          <w:t>58</w:t>
        </w:r>
        <w:r w:rsidRPr="00CA2975">
          <w:rPr>
            <w:noProof/>
            <w:webHidden/>
            <w:sz w:val="20"/>
            <w:szCs w:val="18"/>
          </w:rPr>
          <w:fldChar w:fldCharType="end"/>
        </w:r>
      </w:hyperlink>
    </w:p>
    <w:p w14:paraId="76D72AF1" w14:textId="5011941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6" w:history="1">
        <w:r w:rsidRPr="00CA2975">
          <w:rPr>
            <w:rStyle w:val="Hyperlink"/>
            <w:noProof/>
            <w:color w:val="auto"/>
            <w:sz w:val="20"/>
            <w:szCs w:val="18"/>
          </w:rPr>
          <w:t>6.4.2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The off-season premium and the greenhouse case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_Toc233981326 \h </w:instrText>
        </w:r>
        <w:r w:rsidRPr="00CA2975">
          <w:rPr>
            <w:noProof/>
            <w:webHidden/>
            <w:sz w:val="20"/>
            <w:szCs w:val="18"/>
          </w:rPr>
        </w:r>
        <w:r w:rsidRPr="00CA2975">
          <w:rPr>
            <w:noProof/>
            <w:webHidden/>
            <w:sz w:val="20"/>
            <w:szCs w:val="18"/>
          </w:rPr>
          <w:fldChar w:fldCharType="separate"/>
        </w:r>
        <w:r w:rsidR="005B05A2">
          <w:rPr>
            <w:noProof/>
            <w:webHidden/>
            <w:sz w:val="20"/>
            <w:szCs w:val="18"/>
          </w:rPr>
          <w:t>59</w:t>
        </w:r>
        <w:r w:rsidRPr="00CA2975">
          <w:rPr>
            <w:noProof/>
            <w:webHidden/>
            <w:sz w:val="20"/>
            <w:szCs w:val="18"/>
          </w:rPr>
          <w:fldChar w:fldCharType="end"/>
        </w:r>
      </w:hyperlink>
    </w:p>
    <w:p w14:paraId="3797557D" w14:textId="15BF6E6A"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7" w:history="1">
        <w:r w:rsidRPr="00CA2975">
          <w:rPr>
            <w:rStyle w:val="Hyperlink"/>
            <w:noProof/>
            <w:color w:val="auto"/>
            <w:sz w:val="20"/>
            <w:szCs w:val="18"/>
          </w:rPr>
          <w:t>6.4.3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Quality, freshness and consumer preference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_Toc233981327 \h </w:instrText>
        </w:r>
        <w:r w:rsidRPr="00CA2975">
          <w:rPr>
            <w:noProof/>
            <w:webHidden/>
            <w:sz w:val="20"/>
            <w:szCs w:val="18"/>
          </w:rPr>
        </w:r>
        <w:r w:rsidRPr="00CA2975">
          <w:rPr>
            <w:noProof/>
            <w:webHidden/>
            <w:sz w:val="20"/>
            <w:szCs w:val="18"/>
          </w:rPr>
          <w:fldChar w:fldCharType="separate"/>
        </w:r>
        <w:r w:rsidR="005B05A2">
          <w:rPr>
            <w:noProof/>
            <w:webHidden/>
            <w:sz w:val="20"/>
            <w:szCs w:val="18"/>
          </w:rPr>
          <w:t>59</w:t>
        </w:r>
        <w:r w:rsidRPr="00CA2975">
          <w:rPr>
            <w:noProof/>
            <w:webHidden/>
            <w:sz w:val="20"/>
            <w:szCs w:val="18"/>
          </w:rPr>
          <w:fldChar w:fldCharType="end"/>
        </w:r>
      </w:hyperlink>
    </w:p>
    <w:p w14:paraId="43B772A7" w14:textId="2B41BF37"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28" w:history="1">
        <w:r w:rsidRPr="00CA2975">
          <w:rPr>
            <w:rStyle w:val="Hyperlink"/>
            <w:noProof/>
            <w:color w:val="auto"/>
            <w:sz w:val="22"/>
            <w:szCs w:val="18"/>
          </w:rPr>
          <w:t>6.5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Market access, value chains and logistics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_Toc233981328 \h </w:instrText>
        </w:r>
        <w:r w:rsidRPr="00CA2975">
          <w:rPr>
            <w:noProof/>
            <w:webHidden/>
            <w:sz w:val="22"/>
            <w:szCs w:val="18"/>
          </w:rPr>
        </w:r>
        <w:r w:rsidRPr="00CA2975">
          <w:rPr>
            <w:noProof/>
            <w:webHidden/>
            <w:sz w:val="22"/>
            <w:szCs w:val="18"/>
          </w:rPr>
          <w:fldChar w:fldCharType="separate"/>
        </w:r>
        <w:r w:rsidR="005B05A2">
          <w:rPr>
            <w:noProof/>
            <w:webHidden/>
            <w:sz w:val="22"/>
            <w:szCs w:val="18"/>
          </w:rPr>
          <w:t>60</w:t>
        </w:r>
        <w:r w:rsidRPr="00CA2975">
          <w:rPr>
            <w:noProof/>
            <w:webHidden/>
            <w:sz w:val="22"/>
            <w:szCs w:val="18"/>
          </w:rPr>
          <w:fldChar w:fldCharType="end"/>
        </w:r>
      </w:hyperlink>
    </w:p>
    <w:p w14:paraId="6FB64D20" w14:textId="0FD41629"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29" w:history="1">
        <w:r w:rsidRPr="00CA2975">
          <w:rPr>
            <w:rStyle w:val="Hyperlink"/>
            <w:noProof/>
            <w:color w:val="auto"/>
            <w:sz w:val="20"/>
            <w:szCs w:val="18"/>
          </w:rPr>
          <w:t>6.5.1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Value-chain structure and actors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_Toc233981329 \h </w:instrText>
        </w:r>
        <w:r w:rsidRPr="00CA2975">
          <w:rPr>
            <w:noProof/>
            <w:webHidden/>
            <w:sz w:val="20"/>
            <w:szCs w:val="18"/>
          </w:rPr>
        </w:r>
        <w:r w:rsidRPr="00CA2975">
          <w:rPr>
            <w:noProof/>
            <w:webHidden/>
            <w:sz w:val="20"/>
            <w:szCs w:val="18"/>
          </w:rPr>
          <w:fldChar w:fldCharType="separate"/>
        </w:r>
        <w:r w:rsidR="005B05A2">
          <w:rPr>
            <w:noProof/>
            <w:webHidden/>
            <w:sz w:val="20"/>
            <w:szCs w:val="18"/>
          </w:rPr>
          <w:t>60</w:t>
        </w:r>
        <w:r w:rsidRPr="00CA2975">
          <w:rPr>
            <w:noProof/>
            <w:webHidden/>
            <w:sz w:val="20"/>
            <w:szCs w:val="18"/>
          </w:rPr>
          <w:fldChar w:fldCharType="end"/>
        </w:r>
      </w:hyperlink>
    </w:p>
    <w:p w14:paraId="3FB9CA5F" w14:textId="2AA9B67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0" w:history="1">
        <w:r w:rsidRPr="00CA2975">
          <w:rPr>
            <w:rStyle w:val="Hyperlink"/>
            <w:noProof/>
            <w:color w:val="auto"/>
            <w:sz w:val="20"/>
            <w:szCs w:val="18"/>
          </w:rPr>
          <w:t>6.5.2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Logistics, storage and post-harvest losses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_Toc233981330 \h </w:instrText>
        </w:r>
        <w:r w:rsidRPr="00CA2975">
          <w:rPr>
            <w:noProof/>
            <w:webHidden/>
            <w:sz w:val="20"/>
            <w:szCs w:val="18"/>
          </w:rPr>
        </w:r>
        <w:r w:rsidRPr="00CA2975">
          <w:rPr>
            <w:noProof/>
            <w:webHidden/>
            <w:sz w:val="20"/>
            <w:szCs w:val="18"/>
          </w:rPr>
          <w:fldChar w:fldCharType="separate"/>
        </w:r>
        <w:r w:rsidR="005B05A2">
          <w:rPr>
            <w:noProof/>
            <w:webHidden/>
            <w:sz w:val="20"/>
            <w:szCs w:val="18"/>
          </w:rPr>
          <w:t>60</w:t>
        </w:r>
        <w:r w:rsidRPr="00CA2975">
          <w:rPr>
            <w:noProof/>
            <w:webHidden/>
            <w:sz w:val="20"/>
            <w:szCs w:val="18"/>
          </w:rPr>
          <w:fldChar w:fldCharType="end"/>
        </w:r>
      </w:hyperlink>
    </w:p>
    <w:p w14:paraId="55958131" w14:textId="0BF74586"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1" w:history="1">
        <w:r w:rsidRPr="00CA2975">
          <w:rPr>
            <w:rStyle w:val="Hyperlink"/>
            <w:noProof/>
            <w:color w:val="auto"/>
            <w:sz w:val="20"/>
            <w:szCs w:val="18"/>
          </w:rPr>
          <w:t>6.5.3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Market access in the two provinces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_Toc233981331 \h </w:instrText>
        </w:r>
        <w:r w:rsidRPr="00CA2975">
          <w:rPr>
            <w:noProof/>
            <w:webHidden/>
            <w:sz w:val="20"/>
            <w:szCs w:val="18"/>
          </w:rPr>
        </w:r>
        <w:r w:rsidRPr="00CA2975">
          <w:rPr>
            <w:noProof/>
            <w:webHidden/>
            <w:sz w:val="20"/>
            <w:szCs w:val="18"/>
          </w:rPr>
          <w:fldChar w:fldCharType="separate"/>
        </w:r>
        <w:r w:rsidR="005B05A2">
          <w:rPr>
            <w:noProof/>
            <w:webHidden/>
            <w:sz w:val="20"/>
            <w:szCs w:val="18"/>
          </w:rPr>
          <w:t>61</w:t>
        </w:r>
        <w:r w:rsidRPr="00CA2975">
          <w:rPr>
            <w:noProof/>
            <w:webHidden/>
            <w:sz w:val="20"/>
            <w:szCs w:val="18"/>
          </w:rPr>
          <w:fldChar w:fldCharType="end"/>
        </w:r>
      </w:hyperlink>
    </w:p>
    <w:p w14:paraId="638A171B" w14:textId="42F8173C"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32" w:history="1">
        <w:r w:rsidRPr="00CA2975">
          <w:rPr>
            <w:rStyle w:val="Hyperlink"/>
            <w:noProof/>
            <w:color w:val="auto"/>
            <w:sz w:val="22"/>
            <w:szCs w:val="18"/>
          </w:rPr>
          <w:t>6.6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Implications for technology feasibility and return on investment</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_Toc233981332 \h </w:instrText>
        </w:r>
        <w:r w:rsidRPr="00CA2975">
          <w:rPr>
            <w:noProof/>
            <w:webHidden/>
            <w:sz w:val="22"/>
            <w:szCs w:val="18"/>
          </w:rPr>
        </w:r>
        <w:r w:rsidRPr="00CA2975">
          <w:rPr>
            <w:noProof/>
            <w:webHidden/>
            <w:sz w:val="22"/>
            <w:szCs w:val="18"/>
          </w:rPr>
          <w:fldChar w:fldCharType="separate"/>
        </w:r>
        <w:r w:rsidR="005B05A2">
          <w:rPr>
            <w:noProof/>
            <w:webHidden/>
            <w:sz w:val="22"/>
            <w:szCs w:val="18"/>
          </w:rPr>
          <w:t>61</w:t>
        </w:r>
        <w:r w:rsidRPr="00CA2975">
          <w:rPr>
            <w:noProof/>
            <w:webHidden/>
            <w:sz w:val="22"/>
            <w:szCs w:val="18"/>
          </w:rPr>
          <w:fldChar w:fldCharType="end"/>
        </w:r>
      </w:hyperlink>
    </w:p>
    <w:p w14:paraId="43A54CA3" w14:textId="18FC8F48"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333" w:history="1">
        <w:r w:rsidRPr="00CA2975">
          <w:rPr>
            <w:rStyle w:val="Hyperlink"/>
            <w:noProof/>
            <w:color w:val="auto"/>
            <w:sz w:val="28"/>
            <w:szCs w:val="18"/>
          </w:rPr>
          <w:t>7</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Technology Assessment</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_Toc233981333 \h </w:instrText>
        </w:r>
        <w:r w:rsidRPr="00CA2975">
          <w:rPr>
            <w:noProof/>
            <w:webHidden/>
            <w:sz w:val="28"/>
            <w:szCs w:val="18"/>
          </w:rPr>
        </w:r>
        <w:r w:rsidRPr="00CA2975">
          <w:rPr>
            <w:noProof/>
            <w:webHidden/>
            <w:sz w:val="28"/>
            <w:szCs w:val="18"/>
          </w:rPr>
          <w:fldChar w:fldCharType="separate"/>
        </w:r>
        <w:r w:rsidR="005B05A2">
          <w:rPr>
            <w:noProof/>
            <w:webHidden/>
            <w:sz w:val="28"/>
            <w:szCs w:val="18"/>
          </w:rPr>
          <w:t>63</w:t>
        </w:r>
        <w:r w:rsidRPr="00CA2975">
          <w:rPr>
            <w:noProof/>
            <w:webHidden/>
            <w:sz w:val="28"/>
            <w:szCs w:val="18"/>
          </w:rPr>
          <w:fldChar w:fldCharType="end"/>
        </w:r>
      </w:hyperlink>
    </w:p>
    <w:p w14:paraId="3779DD49" w14:textId="383C98EF"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34" w:history="1">
        <w:r w:rsidRPr="00CA2975">
          <w:rPr>
            <w:rStyle w:val="Hyperlink"/>
            <w:noProof/>
            <w:color w:val="auto"/>
            <w:sz w:val="22"/>
            <w:szCs w:val="18"/>
          </w:rPr>
          <w:t>7.1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Greenhouse technology</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_Toc233981334 \h </w:instrText>
        </w:r>
        <w:r w:rsidRPr="00CA2975">
          <w:rPr>
            <w:noProof/>
            <w:webHidden/>
            <w:sz w:val="22"/>
            <w:szCs w:val="18"/>
          </w:rPr>
        </w:r>
        <w:r w:rsidRPr="00CA2975">
          <w:rPr>
            <w:noProof/>
            <w:webHidden/>
            <w:sz w:val="22"/>
            <w:szCs w:val="18"/>
          </w:rPr>
          <w:fldChar w:fldCharType="separate"/>
        </w:r>
        <w:r w:rsidR="005B05A2">
          <w:rPr>
            <w:noProof/>
            <w:webHidden/>
            <w:sz w:val="22"/>
            <w:szCs w:val="18"/>
          </w:rPr>
          <w:t>63</w:t>
        </w:r>
        <w:r w:rsidRPr="00CA2975">
          <w:rPr>
            <w:noProof/>
            <w:webHidden/>
            <w:sz w:val="22"/>
            <w:szCs w:val="18"/>
          </w:rPr>
          <w:fldChar w:fldCharType="end"/>
        </w:r>
      </w:hyperlink>
    </w:p>
    <w:p w14:paraId="592B0BB7" w14:textId="7DBC496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5" w:history="1">
        <w:r w:rsidRPr="00CA2975">
          <w:rPr>
            <w:rStyle w:val="Hyperlink"/>
            <w:rFonts w:eastAsia="Times New Roman"/>
            <w:noProof/>
            <w:color w:val="auto"/>
            <w:sz w:val="20"/>
            <w:szCs w:val="18"/>
          </w:rPr>
          <w:t>7.1.1</w:t>
        </w:r>
        <w:r w:rsidRPr="00CA2975">
          <w:rPr>
            <w:rFonts w:asciiTheme="minorHAnsi" w:eastAsiaTheme="minorEastAsia" w:hAnsiTheme="minorHAnsi"/>
            <w:noProof/>
            <w:kern w:val="2"/>
            <w:sz w:val="20"/>
            <w:szCs w:val="20"/>
            <w:lang w:val="en-US"/>
            <w14:ligatures w14:val="standardContextual"/>
          </w:rPr>
          <w:tab/>
        </w:r>
        <w:r w:rsidRPr="00CA2975">
          <w:rPr>
            <w:rStyle w:val="Hyperlink"/>
            <w:rFonts w:eastAsia="Times New Roman"/>
            <w:noProof/>
            <w:color w:val="auto"/>
            <w:sz w:val="20"/>
            <w:szCs w:val="18"/>
          </w:rPr>
          <w:t>Typology of greenhouse technologies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_Toc233981335 \h </w:instrText>
        </w:r>
        <w:r w:rsidRPr="00CA2975">
          <w:rPr>
            <w:noProof/>
            <w:webHidden/>
            <w:sz w:val="20"/>
            <w:szCs w:val="18"/>
          </w:rPr>
        </w:r>
        <w:r w:rsidRPr="00CA2975">
          <w:rPr>
            <w:noProof/>
            <w:webHidden/>
            <w:sz w:val="20"/>
            <w:szCs w:val="18"/>
          </w:rPr>
          <w:fldChar w:fldCharType="separate"/>
        </w:r>
        <w:r w:rsidR="005B05A2">
          <w:rPr>
            <w:noProof/>
            <w:webHidden/>
            <w:sz w:val="20"/>
            <w:szCs w:val="18"/>
          </w:rPr>
          <w:t>64</w:t>
        </w:r>
        <w:r w:rsidRPr="00CA2975">
          <w:rPr>
            <w:noProof/>
            <w:webHidden/>
            <w:sz w:val="20"/>
            <w:szCs w:val="18"/>
          </w:rPr>
          <w:fldChar w:fldCharType="end"/>
        </w:r>
      </w:hyperlink>
    </w:p>
    <w:p w14:paraId="636D4F48" w14:textId="3B5460A0"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6" w:history="1">
        <w:r w:rsidRPr="00CA2975">
          <w:rPr>
            <w:rStyle w:val="Hyperlink"/>
            <w:rFonts w:eastAsia="Times New Roman"/>
            <w:noProof/>
            <w:color w:val="auto"/>
            <w:sz w:val="20"/>
            <w:szCs w:val="18"/>
          </w:rPr>
          <w:t>7.1.2</w:t>
        </w:r>
        <w:r w:rsidRPr="00CA2975">
          <w:rPr>
            <w:rFonts w:asciiTheme="minorHAnsi" w:eastAsiaTheme="minorEastAsia" w:hAnsiTheme="minorHAnsi"/>
            <w:noProof/>
            <w:kern w:val="2"/>
            <w:sz w:val="20"/>
            <w:szCs w:val="20"/>
            <w:lang w:val="en-US"/>
            <w14:ligatures w14:val="standardContextual"/>
          </w:rPr>
          <w:tab/>
        </w:r>
        <w:r w:rsidRPr="00CA2975">
          <w:rPr>
            <w:rStyle w:val="Hyperlink"/>
            <w:rFonts w:eastAsia="Times New Roman"/>
            <w:noProof/>
            <w:color w:val="auto"/>
            <w:sz w:val="20"/>
            <w:szCs w:val="18"/>
          </w:rPr>
          <w:t>Passive-solar and earth-sheltered greenhouses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_Toc233981336 \h </w:instrText>
        </w:r>
        <w:r w:rsidRPr="00CA2975">
          <w:rPr>
            <w:noProof/>
            <w:webHidden/>
            <w:sz w:val="20"/>
            <w:szCs w:val="18"/>
          </w:rPr>
        </w:r>
        <w:r w:rsidRPr="00CA2975">
          <w:rPr>
            <w:noProof/>
            <w:webHidden/>
            <w:sz w:val="20"/>
            <w:szCs w:val="18"/>
          </w:rPr>
          <w:fldChar w:fldCharType="separate"/>
        </w:r>
        <w:r w:rsidR="005B05A2">
          <w:rPr>
            <w:noProof/>
            <w:webHidden/>
            <w:sz w:val="20"/>
            <w:szCs w:val="18"/>
          </w:rPr>
          <w:t>64</w:t>
        </w:r>
        <w:r w:rsidRPr="00CA2975">
          <w:rPr>
            <w:noProof/>
            <w:webHidden/>
            <w:sz w:val="20"/>
            <w:szCs w:val="18"/>
          </w:rPr>
          <w:fldChar w:fldCharType="end"/>
        </w:r>
      </w:hyperlink>
    </w:p>
    <w:p w14:paraId="73877B42" w14:textId="70EF6649"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7" w:history="1">
        <w:r w:rsidRPr="00CA2975">
          <w:rPr>
            <w:rStyle w:val="Hyperlink"/>
            <w:noProof/>
            <w:color w:val="auto"/>
            <w:sz w:val="20"/>
            <w:szCs w:val="18"/>
            <w:lang w:val="en-US"/>
          </w:rPr>
          <w:t>7.1.3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lang w:val="en-US"/>
          </w:rPr>
          <w:t>Greenhouses found in the project regions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_Toc233981337 \h </w:instrText>
        </w:r>
        <w:r w:rsidRPr="00CA2975">
          <w:rPr>
            <w:noProof/>
            <w:webHidden/>
            <w:sz w:val="20"/>
            <w:szCs w:val="18"/>
          </w:rPr>
        </w:r>
        <w:r w:rsidRPr="00CA2975">
          <w:rPr>
            <w:noProof/>
            <w:webHidden/>
            <w:sz w:val="20"/>
            <w:szCs w:val="18"/>
          </w:rPr>
          <w:fldChar w:fldCharType="separate"/>
        </w:r>
        <w:r w:rsidR="005B05A2">
          <w:rPr>
            <w:noProof/>
            <w:webHidden/>
            <w:sz w:val="20"/>
            <w:szCs w:val="18"/>
          </w:rPr>
          <w:t>65</w:t>
        </w:r>
        <w:r w:rsidRPr="00CA2975">
          <w:rPr>
            <w:noProof/>
            <w:webHidden/>
            <w:sz w:val="20"/>
            <w:szCs w:val="18"/>
          </w:rPr>
          <w:fldChar w:fldCharType="end"/>
        </w:r>
      </w:hyperlink>
    </w:p>
    <w:p w14:paraId="2F9087B7" w14:textId="028F4A1A"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8" w:history="1">
        <w:r w:rsidRPr="00CA2975">
          <w:rPr>
            <w:rStyle w:val="Hyperlink"/>
            <w:noProof/>
            <w:color w:val="auto"/>
            <w:sz w:val="20"/>
            <w:szCs w:val="18"/>
          </w:rPr>
          <w:t>7.1.4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Greenhouse configurations assessed and multi-criteria analysis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_Toc233981338 \h </w:instrText>
        </w:r>
        <w:r w:rsidRPr="00CA2975">
          <w:rPr>
            <w:noProof/>
            <w:webHidden/>
            <w:sz w:val="20"/>
            <w:szCs w:val="18"/>
          </w:rPr>
        </w:r>
        <w:r w:rsidRPr="00CA2975">
          <w:rPr>
            <w:noProof/>
            <w:webHidden/>
            <w:sz w:val="20"/>
            <w:szCs w:val="18"/>
          </w:rPr>
          <w:fldChar w:fldCharType="separate"/>
        </w:r>
        <w:r w:rsidR="005B05A2">
          <w:rPr>
            <w:noProof/>
            <w:webHidden/>
            <w:sz w:val="20"/>
            <w:szCs w:val="18"/>
          </w:rPr>
          <w:t>69</w:t>
        </w:r>
        <w:r w:rsidRPr="00CA2975">
          <w:rPr>
            <w:noProof/>
            <w:webHidden/>
            <w:sz w:val="20"/>
            <w:szCs w:val="18"/>
          </w:rPr>
          <w:fldChar w:fldCharType="end"/>
        </w:r>
      </w:hyperlink>
    </w:p>
    <w:p w14:paraId="56B35152" w14:textId="688BA5AD"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39" w:history="1">
        <w:r w:rsidRPr="00CA2975">
          <w:rPr>
            <w:rStyle w:val="Hyperlink"/>
            <w:noProof/>
            <w:color w:val="auto"/>
            <w:sz w:val="20"/>
            <w:szCs w:val="18"/>
          </w:rPr>
          <w:t>7.1.5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Province-specific rankings and recommended specifications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_Toc233981339 \h </w:instrText>
        </w:r>
        <w:r w:rsidRPr="00CA2975">
          <w:rPr>
            <w:noProof/>
            <w:webHidden/>
            <w:sz w:val="20"/>
            <w:szCs w:val="18"/>
          </w:rPr>
        </w:r>
        <w:r w:rsidRPr="00CA2975">
          <w:rPr>
            <w:noProof/>
            <w:webHidden/>
            <w:sz w:val="20"/>
            <w:szCs w:val="18"/>
          </w:rPr>
          <w:fldChar w:fldCharType="separate"/>
        </w:r>
        <w:r w:rsidR="005B05A2">
          <w:rPr>
            <w:noProof/>
            <w:webHidden/>
            <w:sz w:val="20"/>
            <w:szCs w:val="18"/>
          </w:rPr>
          <w:t>71</w:t>
        </w:r>
        <w:r w:rsidRPr="00CA2975">
          <w:rPr>
            <w:noProof/>
            <w:webHidden/>
            <w:sz w:val="20"/>
            <w:szCs w:val="18"/>
          </w:rPr>
          <w:fldChar w:fldCharType="end"/>
        </w:r>
      </w:hyperlink>
    </w:p>
    <w:p w14:paraId="38438876" w14:textId="03DA23D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0" w:history="1">
        <w:r w:rsidRPr="00CA2975">
          <w:rPr>
            <w:rStyle w:val="Hyperlink"/>
            <w:noProof/>
            <w:color w:val="auto"/>
            <w:sz w:val="20"/>
            <w:szCs w:val="18"/>
          </w:rPr>
          <w:t>7.1.6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Preliminary conclusions on greenhouse technologies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_Toc233981340 \h </w:instrText>
        </w:r>
        <w:r w:rsidRPr="00CA2975">
          <w:rPr>
            <w:noProof/>
            <w:webHidden/>
            <w:sz w:val="20"/>
            <w:szCs w:val="18"/>
          </w:rPr>
        </w:r>
        <w:r w:rsidRPr="00CA2975">
          <w:rPr>
            <w:noProof/>
            <w:webHidden/>
            <w:sz w:val="20"/>
            <w:szCs w:val="18"/>
          </w:rPr>
          <w:fldChar w:fldCharType="separate"/>
        </w:r>
        <w:r w:rsidR="005B05A2">
          <w:rPr>
            <w:noProof/>
            <w:webHidden/>
            <w:sz w:val="20"/>
            <w:szCs w:val="18"/>
          </w:rPr>
          <w:t>73</w:t>
        </w:r>
        <w:r w:rsidRPr="00CA2975">
          <w:rPr>
            <w:noProof/>
            <w:webHidden/>
            <w:sz w:val="20"/>
            <w:szCs w:val="18"/>
          </w:rPr>
          <w:fldChar w:fldCharType="end"/>
        </w:r>
      </w:hyperlink>
    </w:p>
    <w:p w14:paraId="11D6F043" w14:textId="35E29FD4"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41" w:history="1">
        <w:r w:rsidRPr="00CA2975">
          <w:rPr>
            <w:rStyle w:val="Hyperlink"/>
            <w:noProof/>
            <w:color w:val="auto"/>
            <w:sz w:val="22"/>
            <w:szCs w:val="18"/>
          </w:rPr>
          <w:t>7.2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Irrigation technology</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_Toc233981341 \h </w:instrText>
        </w:r>
        <w:r w:rsidRPr="00CA2975">
          <w:rPr>
            <w:noProof/>
            <w:webHidden/>
            <w:sz w:val="22"/>
            <w:szCs w:val="18"/>
          </w:rPr>
        </w:r>
        <w:r w:rsidRPr="00CA2975">
          <w:rPr>
            <w:noProof/>
            <w:webHidden/>
            <w:sz w:val="22"/>
            <w:szCs w:val="18"/>
          </w:rPr>
          <w:fldChar w:fldCharType="separate"/>
        </w:r>
        <w:r w:rsidR="005B05A2">
          <w:rPr>
            <w:noProof/>
            <w:webHidden/>
            <w:sz w:val="22"/>
            <w:szCs w:val="18"/>
          </w:rPr>
          <w:t>73</w:t>
        </w:r>
        <w:r w:rsidRPr="00CA2975">
          <w:rPr>
            <w:noProof/>
            <w:webHidden/>
            <w:sz w:val="22"/>
            <w:szCs w:val="18"/>
          </w:rPr>
          <w:fldChar w:fldCharType="end"/>
        </w:r>
      </w:hyperlink>
    </w:p>
    <w:p w14:paraId="7DCBE233" w14:textId="55A80894"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2" w:history="1">
        <w:r w:rsidRPr="00CA2975">
          <w:rPr>
            <w:rStyle w:val="Hyperlink"/>
            <w:noProof/>
            <w:color w:val="auto"/>
            <w:sz w:val="20"/>
            <w:szCs w:val="18"/>
          </w:rPr>
          <w:t>7.2.1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Irrigation systems assessed</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_Toc233981342 \h </w:instrText>
        </w:r>
        <w:r w:rsidRPr="00CA2975">
          <w:rPr>
            <w:noProof/>
            <w:webHidden/>
            <w:sz w:val="20"/>
            <w:szCs w:val="18"/>
          </w:rPr>
        </w:r>
        <w:r w:rsidRPr="00CA2975">
          <w:rPr>
            <w:noProof/>
            <w:webHidden/>
            <w:sz w:val="20"/>
            <w:szCs w:val="18"/>
          </w:rPr>
          <w:fldChar w:fldCharType="separate"/>
        </w:r>
        <w:r w:rsidR="005B05A2">
          <w:rPr>
            <w:noProof/>
            <w:webHidden/>
            <w:sz w:val="20"/>
            <w:szCs w:val="18"/>
          </w:rPr>
          <w:t>73</w:t>
        </w:r>
        <w:r w:rsidRPr="00CA2975">
          <w:rPr>
            <w:noProof/>
            <w:webHidden/>
            <w:sz w:val="20"/>
            <w:szCs w:val="18"/>
          </w:rPr>
          <w:fldChar w:fldCharType="end"/>
        </w:r>
      </w:hyperlink>
    </w:p>
    <w:p w14:paraId="11B1B0A5" w14:textId="73A37D9D"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3" w:history="1">
        <w:r w:rsidRPr="00CA2975">
          <w:rPr>
            <w:rStyle w:val="Hyperlink"/>
            <w:noProof/>
            <w:color w:val="auto"/>
            <w:sz w:val="20"/>
            <w:szCs w:val="18"/>
          </w:rPr>
          <w:t>7.2.2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Multi-criteria analysis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_Toc233981343 \h </w:instrText>
        </w:r>
        <w:r w:rsidRPr="00CA2975">
          <w:rPr>
            <w:noProof/>
            <w:webHidden/>
            <w:sz w:val="20"/>
            <w:szCs w:val="18"/>
          </w:rPr>
        </w:r>
        <w:r w:rsidRPr="00CA2975">
          <w:rPr>
            <w:noProof/>
            <w:webHidden/>
            <w:sz w:val="20"/>
            <w:szCs w:val="18"/>
          </w:rPr>
          <w:fldChar w:fldCharType="separate"/>
        </w:r>
        <w:r w:rsidR="005B05A2">
          <w:rPr>
            <w:noProof/>
            <w:webHidden/>
            <w:sz w:val="20"/>
            <w:szCs w:val="18"/>
          </w:rPr>
          <w:t>74</w:t>
        </w:r>
        <w:r w:rsidRPr="00CA2975">
          <w:rPr>
            <w:noProof/>
            <w:webHidden/>
            <w:sz w:val="20"/>
            <w:szCs w:val="18"/>
          </w:rPr>
          <w:fldChar w:fldCharType="end"/>
        </w:r>
      </w:hyperlink>
    </w:p>
    <w:p w14:paraId="68D275FE" w14:textId="20DDD605"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4" w:history="1">
        <w:r w:rsidRPr="00CA2975">
          <w:rPr>
            <w:rStyle w:val="Hyperlink"/>
            <w:noProof/>
            <w:color w:val="auto"/>
            <w:sz w:val="20"/>
            <w:szCs w:val="18"/>
          </w:rPr>
          <w:t>7.2.3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Province-specific ranking and recommended specifications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_Toc233981344 \h </w:instrText>
        </w:r>
        <w:r w:rsidRPr="00CA2975">
          <w:rPr>
            <w:noProof/>
            <w:webHidden/>
            <w:sz w:val="20"/>
            <w:szCs w:val="18"/>
          </w:rPr>
        </w:r>
        <w:r w:rsidRPr="00CA2975">
          <w:rPr>
            <w:noProof/>
            <w:webHidden/>
            <w:sz w:val="20"/>
            <w:szCs w:val="18"/>
          </w:rPr>
          <w:fldChar w:fldCharType="separate"/>
        </w:r>
        <w:r w:rsidR="005B05A2">
          <w:rPr>
            <w:noProof/>
            <w:webHidden/>
            <w:sz w:val="20"/>
            <w:szCs w:val="18"/>
          </w:rPr>
          <w:t>75</w:t>
        </w:r>
        <w:r w:rsidRPr="00CA2975">
          <w:rPr>
            <w:noProof/>
            <w:webHidden/>
            <w:sz w:val="20"/>
            <w:szCs w:val="18"/>
          </w:rPr>
          <w:fldChar w:fldCharType="end"/>
        </w:r>
      </w:hyperlink>
    </w:p>
    <w:p w14:paraId="6D05791F" w14:textId="2DF8734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45" w:history="1">
        <w:r w:rsidRPr="00CA2975">
          <w:rPr>
            <w:rStyle w:val="Hyperlink"/>
            <w:noProof/>
            <w:color w:val="auto"/>
            <w:sz w:val="22"/>
            <w:szCs w:val="18"/>
          </w:rPr>
          <w:t>7.3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Agroforestry</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_Toc233981345 \h </w:instrText>
        </w:r>
        <w:r w:rsidRPr="00CA2975">
          <w:rPr>
            <w:noProof/>
            <w:webHidden/>
            <w:sz w:val="22"/>
            <w:szCs w:val="18"/>
          </w:rPr>
        </w:r>
        <w:r w:rsidRPr="00CA2975">
          <w:rPr>
            <w:noProof/>
            <w:webHidden/>
            <w:sz w:val="22"/>
            <w:szCs w:val="18"/>
          </w:rPr>
          <w:fldChar w:fldCharType="separate"/>
        </w:r>
        <w:r w:rsidR="005B05A2">
          <w:rPr>
            <w:noProof/>
            <w:webHidden/>
            <w:sz w:val="22"/>
            <w:szCs w:val="18"/>
          </w:rPr>
          <w:t>76</w:t>
        </w:r>
        <w:r w:rsidRPr="00CA2975">
          <w:rPr>
            <w:noProof/>
            <w:webHidden/>
            <w:sz w:val="22"/>
            <w:szCs w:val="18"/>
          </w:rPr>
          <w:fldChar w:fldCharType="end"/>
        </w:r>
      </w:hyperlink>
    </w:p>
    <w:p w14:paraId="06049107" w14:textId="1D85A786"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6" w:history="1">
        <w:r w:rsidRPr="00CA2975">
          <w:rPr>
            <w:rStyle w:val="Hyperlink"/>
            <w:noProof/>
            <w:color w:val="auto"/>
            <w:sz w:val="20"/>
            <w:szCs w:val="18"/>
          </w:rPr>
          <w:t>7.3.1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Definition and relevance</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_Toc233981346 \h </w:instrText>
        </w:r>
        <w:r w:rsidRPr="00CA2975">
          <w:rPr>
            <w:noProof/>
            <w:webHidden/>
            <w:sz w:val="20"/>
            <w:szCs w:val="18"/>
          </w:rPr>
        </w:r>
        <w:r w:rsidRPr="00CA2975">
          <w:rPr>
            <w:noProof/>
            <w:webHidden/>
            <w:sz w:val="20"/>
            <w:szCs w:val="18"/>
          </w:rPr>
          <w:fldChar w:fldCharType="separate"/>
        </w:r>
        <w:r w:rsidR="005B05A2">
          <w:rPr>
            <w:noProof/>
            <w:webHidden/>
            <w:sz w:val="20"/>
            <w:szCs w:val="18"/>
          </w:rPr>
          <w:t>76</w:t>
        </w:r>
        <w:r w:rsidRPr="00CA2975">
          <w:rPr>
            <w:noProof/>
            <w:webHidden/>
            <w:sz w:val="20"/>
            <w:szCs w:val="18"/>
          </w:rPr>
          <w:fldChar w:fldCharType="end"/>
        </w:r>
      </w:hyperlink>
    </w:p>
    <w:p w14:paraId="783C6945" w14:textId="490E7E5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7" w:history="1">
        <w:r w:rsidRPr="00CA2975">
          <w:rPr>
            <w:rStyle w:val="Hyperlink"/>
            <w:noProof/>
            <w:color w:val="auto"/>
            <w:sz w:val="20"/>
            <w:szCs w:val="18"/>
          </w:rPr>
          <w:t>7.3.2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Selection of agroforestry models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_Toc233981347 \h </w:instrText>
        </w:r>
        <w:r w:rsidRPr="00CA2975">
          <w:rPr>
            <w:noProof/>
            <w:webHidden/>
            <w:sz w:val="20"/>
            <w:szCs w:val="18"/>
          </w:rPr>
        </w:r>
        <w:r w:rsidRPr="00CA2975">
          <w:rPr>
            <w:noProof/>
            <w:webHidden/>
            <w:sz w:val="20"/>
            <w:szCs w:val="18"/>
          </w:rPr>
          <w:fldChar w:fldCharType="separate"/>
        </w:r>
        <w:r w:rsidR="005B05A2">
          <w:rPr>
            <w:noProof/>
            <w:webHidden/>
            <w:sz w:val="20"/>
            <w:szCs w:val="18"/>
          </w:rPr>
          <w:t>77</w:t>
        </w:r>
        <w:r w:rsidRPr="00CA2975">
          <w:rPr>
            <w:noProof/>
            <w:webHidden/>
            <w:sz w:val="20"/>
            <w:szCs w:val="18"/>
          </w:rPr>
          <w:fldChar w:fldCharType="end"/>
        </w:r>
      </w:hyperlink>
    </w:p>
    <w:p w14:paraId="409F70F4" w14:textId="0CB2E25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8" w:history="1">
        <w:r w:rsidRPr="00CA2975">
          <w:rPr>
            <w:rStyle w:val="Hyperlink"/>
            <w:noProof/>
            <w:color w:val="auto"/>
            <w:sz w:val="20"/>
            <w:szCs w:val="18"/>
          </w:rPr>
          <w:t>7.3.3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Multi-criteria analysis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_Toc233981348 \h </w:instrText>
        </w:r>
        <w:r w:rsidRPr="00CA2975">
          <w:rPr>
            <w:noProof/>
            <w:webHidden/>
            <w:sz w:val="20"/>
            <w:szCs w:val="18"/>
          </w:rPr>
        </w:r>
        <w:r w:rsidRPr="00CA2975">
          <w:rPr>
            <w:noProof/>
            <w:webHidden/>
            <w:sz w:val="20"/>
            <w:szCs w:val="18"/>
          </w:rPr>
          <w:fldChar w:fldCharType="separate"/>
        </w:r>
        <w:r w:rsidR="005B05A2">
          <w:rPr>
            <w:noProof/>
            <w:webHidden/>
            <w:sz w:val="20"/>
            <w:szCs w:val="18"/>
          </w:rPr>
          <w:t>78</w:t>
        </w:r>
        <w:r w:rsidRPr="00CA2975">
          <w:rPr>
            <w:noProof/>
            <w:webHidden/>
            <w:sz w:val="20"/>
            <w:szCs w:val="18"/>
          </w:rPr>
          <w:fldChar w:fldCharType="end"/>
        </w:r>
      </w:hyperlink>
    </w:p>
    <w:p w14:paraId="3FBD2844" w14:textId="4A521F1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49" w:history="1">
        <w:r w:rsidRPr="00CA2975">
          <w:rPr>
            <w:rStyle w:val="Hyperlink"/>
            <w:noProof/>
            <w:color w:val="auto"/>
            <w:sz w:val="20"/>
            <w:szCs w:val="18"/>
          </w:rPr>
          <w:t>7.3.4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Province-specific application and species recommended</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_Toc233981349 \h </w:instrText>
        </w:r>
        <w:r w:rsidRPr="00CA2975">
          <w:rPr>
            <w:noProof/>
            <w:webHidden/>
            <w:sz w:val="20"/>
            <w:szCs w:val="18"/>
          </w:rPr>
        </w:r>
        <w:r w:rsidRPr="00CA2975">
          <w:rPr>
            <w:noProof/>
            <w:webHidden/>
            <w:sz w:val="20"/>
            <w:szCs w:val="18"/>
          </w:rPr>
          <w:fldChar w:fldCharType="separate"/>
        </w:r>
        <w:r w:rsidR="005B05A2">
          <w:rPr>
            <w:noProof/>
            <w:webHidden/>
            <w:sz w:val="20"/>
            <w:szCs w:val="18"/>
          </w:rPr>
          <w:t>81</w:t>
        </w:r>
        <w:r w:rsidRPr="00CA2975">
          <w:rPr>
            <w:noProof/>
            <w:webHidden/>
            <w:sz w:val="20"/>
            <w:szCs w:val="18"/>
          </w:rPr>
          <w:fldChar w:fldCharType="end"/>
        </w:r>
      </w:hyperlink>
    </w:p>
    <w:p w14:paraId="56BE9A8F" w14:textId="5E1CA8EC"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50" w:history="1">
        <w:r w:rsidRPr="00CA2975">
          <w:rPr>
            <w:rStyle w:val="Hyperlink"/>
            <w:noProof/>
            <w:color w:val="auto"/>
            <w:sz w:val="20"/>
            <w:szCs w:val="18"/>
            <w:lang w:val="en-US" w:eastAsia="zh-CN"/>
          </w:rPr>
          <w:t>7.3.5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lang w:val="en-US" w:eastAsia="zh-CN"/>
          </w:rPr>
          <w:t>Preliminary conclusions on agroforestry</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_Toc233981350 \h </w:instrText>
        </w:r>
        <w:r w:rsidRPr="00CA2975">
          <w:rPr>
            <w:noProof/>
            <w:webHidden/>
            <w:sz w:val="20"/>
            <w:szCs w:val="18"/>
          </w:rPr>
        </w:r>
        <w:r w:rsidRPr="00CA2975">
          <w:rPr>
            <w:noProof/>
            <w:webHidden/>
            <w:sz w:val="20"/>
            <w:szCs w:val="18"/>
          </w:rPr>
          <w:fldChar w:fldCharType="separate"/>
        </w:r>
        <w:r w:rsidR="005B05A2">
          <w:rPr>
            <w:noProof/>
            <w:webHidden/>
            <w:sz w:val="20"/>
            <w:szCs w:val="18"/>
          </w:rPr>
          <w:t>82</w:t>
        </w:r>
        <w:r w:rsidRPr="00CA2975">
          <w:rPr>
            <w:noProof/>
            <w:webHidden/>
            <w:sz w:val="20"/>
            <w:szCs w:val="18"/>
          </w:rPr>
          <w:fldChar w:fldCharType="end"/>
        </w:r>
      </w:hyperlink>
    </w:p>
    <w:p w14:paraId="693C4254" w14:textId="09DFAA7D"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51" w:history="1">
        <w:r w:rsidRPr="00CA2975">
          <w:rPr>
            <w:rStyle w:val="Hyperlink"/>
            <w:noProof/>
            <w:color w:val="auto"/>
            <w:sz w:val="22"/>
            <w:szCs w:val="18"/>
          </w:rPr>
          <w:t>7.4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Renewable energy</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_Toc233981351 \h </w:instrText>
        </w:r>
        <w:r w:rsidRPr="00CA2975">
          <w:rPr>
            <w:noProof/>
            <w:webHidden/>
            <w:sz w:val="22"/>
            <w:szCs w:val="18"/>
          </w:rPr>
        </w:r>
        <w:r w:rsidRPr="00CA2975">
          <w:rPr>
            <w:noProof/>
            <w:webHidden/>
            <w:sz w:val="22"/>
            <w:szCs w:val="18"/>
          </w:rPr>
          <w:fldChar w:fldCharType="separate"/>
        </w:r>
        <w:r w:rsidR="005B05A2">
          <w:rPr>
            <w:noProof/>
            <w:webHidden/>
            <w:sz w:val="22"/>
            <w:szCs w:val="18"/>
          </w:rPr>
          <w:t>83</w:t>
        </w:r>
        <w:r w:rsidRPr="00CA2975">
          <w:rPr>
            <w:noProof/>
            <w:webHidden/>
            <w:sz w:val="22"/>
            <w:szCs w:val="18"/>
          </w:rPr>
          <w:fldChar w:fldCharType="end"/>
        </w:r>
      </w:hyperlink>
    </w:p>
    <w:p w14:paraId="47C97D50" w14:textId="5939ED0C"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52" w:history="1">
        <w:r w:rsidRPr="00CA2975">
          <w:rPr>
            <w:rStyle w:val="Hyperlink"/>
            <w:noProof/>
            <w:color w:val="auto"/>
            <w:sz w:val="20"/>
            <w:szCs w:val="18"/>
          </w:rPr>
          <w:t>7.4.1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Solar photovoltaics and system configuration</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_Toc233981352 \h </w:instrText>
        </w:r>
        <w:r w:rsidRPr="00CA2975">
          <w:rPr>
            <w:noProof/>
            <w:webHidden/>
            <w:sz w:val="20"/>
            <w:szCs w:val="18"/>
          </w:rPr>
        </w:r>
        <w:r w:rsidRPr="00CA2975">
          <w:rPr>
            <w:noProof/>
            <w:webHidden/>
            <w:sz w:val="20"/>
            <w:szCs w:val="18"/>
          </w:rPr>
          <w:fldChar w:fldCharType="separate"/>
        </w:r>
        <w:r w:rsidR="005B05A2">
          <w:rPr>
            <w:noProof/>
            <w:webHidden/>
            <w:sz w:val="20"/>
            <w:szCs w:val="18"/>
          </w:rPr>
          <w:t>83</w:t>
        </w:r>
        <w:r w:rsidRPr="00CA2975">
          <w:rPr>
            <w:noProof/>
            <w:webHidden/>
            <w:sz w:val="20"/>
            <w:szCs w:val="18"/>
          </w:rPr>
          <w:fldChar w:fldCharType="end"/>
        </w:r>
      </w:hyperlink>
    </w:p>
    <w:p w14:paraId="17D93604" w14:textId="42594F5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53" w:history="1">
        <w:r w:rsidRPr="00CA2975">
          <w:rPr>
            <w:rStyle w:val="Hyperlink"/>
            <w:noProof/>
            <w:color w:val="auto"/>
            <w:sz w:val="20"/>
            <w:szCs w:val="18"/>
            <w:lang w:val="en-US"/>
          </w:rPr>
          <w:t>7.4.2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lang w:val="en-US"/>
          </w:rPr>
          <w:t>Overview of alternative renewable energy sources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_Toc233981353 \h </w:instrText>
        </w:r>
        <w:r w:rsidRPr="00CA2975">
          <w:rPr>
            <w:noProof/>
            <w:webHidden/>
            <w:sz w:val="20"/>
            <w:szCs w:val="18"/>
          </w:rPr>
        </w:r>
        <w:r w:rsidRPr="00CA2975">
          <w:rPr>
            <w:noProof/>
            <w:webHidden/>
            <w:sz w:val="20"/>
            <w:szCs w:val="18"/>
          </w:rPr>
          <w:fldChar w:fldCharType="separate"/>
        </w:r>
        <w:r w:rsidR="005B05A2">
          <w:rPr>
            <w:noProof/>
            <w:webHidden/>
            <w:sz w:val="20"/>
            <w:szCs w:val="18"/>
          </w:rPr>
          <w:t>84</w:t>
        </w:r>
        <w:r w:rsidRPr="00CA2975">
          <w:rPr>
            <w:noProof/>
            <w:webHidden/>
            <w:sz w:val="20"/>
            <w:szCs w:val="18"/>
          </w:rPr>
          <w:fldChar w:fldCharType="end"/>
        </w:r>
      </w:hyperlink>
    </w:p>
    <w:p w14:paraId="02F9E3AA" w14:textId="70A49F01"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54" w:history="1">
        <w:r w:rsidRPr="00CA2975">
          <w:rPr>
            <w:rStyle w:val="Hyperlink"/>
            <w:noProof/>
            <w:color w:val="auto"/>
            <w:sz w:val="20"/>
            <w:szCs w:val="18"/>
          </w:rPr>
          <w:t>7.4.3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Multi-criteria analysis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_Toc233981354 \h </w:instrText>
        </w:r>
        <w:r w:rsidRPr="00CA2975">
          <w:rPr>
            <w:noProof/>
            <w:webHidden/>
            <w:sz w:val="20"/>
            <w:szCs w:val="18"/>
          </w:rPr>
        </w:r>
        <w:r w:rsidRPr="00CA2975">
          <w:rPr>
            <w:noProof/>
            <w:webHidden/>
            <w:sz w:val="20"/>
            <w:szCs w:val="18"/>
          </w:rPr>
          <w:fldChar w:fldCharType="separate"/>
        </w:r>
        <w:r w:rsidR="005B05A2">
          <w:rPr>
            <w:noProof/>
            <w:webHidden/>
            <w:sz w:val="20"/>
            <w:szCs w:val="18"/>
          </w:rPr>
          <w:t>85</w:t>
        </w:r>
        <w:r w:rsidRPr="00CA2975">
          <w:rPr>
            <w:noProof/>
            <w:webHidden/>
            <w:sz w:val="20"/>
            <w:szCs w:val="18"/>
          </w:rPr>
          <w:fldChar w:fldCharType="end"/>
        </w:r>
      </w:hyperlink>
    </w:p>
    <w:p w14:paraId="479FAAAD" w14:textId="7C37482E"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55" w:history="1">
        <w:r w:rsidRPr="00CA2975">
          <w:rPr>
            <w:rStyle w:val="Hyperlink"/>
            <w:noProof/>
            <w:color w:val="auto"/>
            <w:sz w:val="22"/>
            <w:szCs w:val="18"/>
          </w:rPr>
          <w:t>7.5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Comparative screening and technology shortlisting</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_Toc233981355 \h </w:instrText>
        </w:r>
        <w:r w:rsidRPr="00CA2975">
          <w:rPr>
            <w:noProof/>
            <w:webHidden/>
            <w:sz w:val="22"/>
            <w:szCs w:val="18"/>
          </w:rPr>
        </w:r>
        <w:r w:rsidRPr="00CA2975">
          <w:rPr>
            <w:noProof/>
            <w:webHidden/>
            <w:sz w:val="22"/>
            <w:szCs w:val="18"/>
          </w:rPr>
          <w:fldChar w:fldCharType="separate"/>
        </w:r>
        <w:r w:rsidR="005B05A2">
          <w:rPr>
            <w:noProof/>
            <w:webHidden/>
            <w:sz w:val="22"/>
            <w:szCs w:val="18"/>
          </w:rPr>
          <w:t>86</w:t>
        </w:r>
        <w:r w:rsidRPr="00CA2975">
          <w:rPr>
            <w:noProof/>
            <w:webHidden/>
            <w:sz w:val="22"/>
            <w:szCs w:val="18"/>
          </w:rPr>
          <w:fldChar w:fldCharType="end"/>
        </w:r>
      </w:hyperlink>
    </w:p>
    <w:p w14:paraId="53639859" w14:textId="75443994"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56" w:history="1">
        <w:r w:rsidRPr="00CA2975">
          <w:rPr>
            <w:rStyle w:val="Hyperlink"/>
            <w:noProof/>
            <w:color w:val="auto"/>
            <w:sz w:val="20"/>
            <w:szCs w:val="18"/>
          </w:rPr>
          <w:t>7.5.1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Summary of comparative screening</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_Toc233981356 \h </w:instrText>
        </w:r>
        <w:r w:rsidRPr="00CA2975">
          <w:rPr>
            <w:noProof/>
            <w:webHidden/>
            <w:sz w:val="20"/>
            <w:szCs w:val="18"/>
          </w:rPr>
        </w:r>
        <w:r w:rsidRPr="00CA2975">
          <w:rPr>
            <w:noProof/>
            <w:webHidden/>
            <w:sz w:val="20"/>
            <w:szCs w:val="18"/>
          </w:rPr>
          <w:fldChar w:fldCharType="separate"/>
        </w:r>
        <w:r w:rsidR="005B05A2">
          <w:rPr>
            <w:noProof/>
            <w:webHidden/>
            <w:sz w:val="20"/>
            <w:szCs w:val="18"/>
          </w:rPr>
          <w:t>86</w:t>
        </w:r>
        <w:r w:rsidRPr="00CA2975">
          <w:rPr>
            <w:noProof/>
            <w:webHidden/>
            <w:sz w:val="20"/>
            <w:szCs w:val="18"/>
          </w:rPr>
          <w:fldChar w:fldCharType="end"/>
        </w:r>
      </w:hyperlink>
    </w:p>
    <w:p w14:paraId="2ED87596" w14:textId="26951E1F"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57" w:history="1">
        <w:r w:rsidRPr="00CA2975">
          <w:rPr>
            <w:rStyle w:val="Hyperlink"/>
            <w:noProof/>
            <w:color w:val="auto"/>
            <w:sz w:val="20"/>
            <w:szCs w:val="18"/>
          </w:rPr>
          <w:t>7.5.2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Shortlisted technologies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_Toc233981357 \h </w:instrText>
        </w:r>
        <w:r w:rsidRPr="00CA2975">
          <w:rPr>
            <w:noProof/>
            <w:webHidden/>
            <w:sz w:val="20"/>
            <w:szCs w:val="18"/>
          </w:rPr>
        </w:r>
        <w:r w:rsidRPr="00CA2975">
          <w:rPr>
            <w:noProof/>
            <w:webHidden/>
            <w:sz w:val="20"/>
            <w:szCs w:val="18"/>
          </w:rPr>
          <w:fldChar w:fldCharType="separate"/>
        </w:r>
        <w:r w:rsidR="005B05A2">
          <w:rPr>
            <w:noProof/>
            <w:webHidden/>
            <w:sz w:val="20"/>
            <w:szCs w:val="18"/>
          </w:rPr>
          <w:t>86</w:t>
        </w:r>
        <w:r w:rsidRPr="00CA2975">
          <w:rPr>
            <w:noProof/>
            <w:webHidden/>
            <w:sz w:val="20"/>
            <w:szCs w:val="18"/>
          </w:rPr>
          <w:fldChar w:fldCharType="end"/>
        </w:r>
      </w:hyperlink>
    </w:p>
    <w:p w14:paraId="4123BA82" w14:textId="4802C75B"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58" w:history="1">
        <w:r w:rsidRPr="00CA2975">
          <w:rPr>
            <w:rStyle w:val="Hyperlink"/>
            <w:noProof/>
            <w:color w:val="auto"/>
            <w:sz w:val="22"/>
            <w:szCs w:val="18"/>
          </w:rPr>
          <w:t>7.6</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Technologies not prioritised</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_Toc233981358 \h </w:instrText>
        </w:r>
        <w:r w:rsidRPr="00CA2975">
          <w:rPr>
            <w:noProof/>
            <w:webHidden/>
            <w:sz w:val="22"/>
            <w:szCs w:val="18"/>
          </w:rPr>
        </w:r>
        <w:r w:rsidRPr="00CA2975">
          <w:rPr>
            <w:noProof/>
            <w:webHidden/>
            <w:sz w:val="22"/>
            <w:szCs w:val="18"/>
          </w:rPr>
          <w:fldChar w:fldCharType="separate"/>
        </w:r>
        <w:r w:rsidR="005B05A2">
          <w:rPr>
            <w:noProof/>
            <w:webHidden/>
            <w:sz w:val="22"/>
            <w:szCs w:val="18"/>
          </w:rPr>
          <w:t>88</w:t>
        </w:r>
        <w:r w:rsidRPr="00CA2975">
          <w:rPr>
            <w:noProof/>
            <w:webHidden/>
            <w:sz w:val="22"/>
            <w:szCs w:val="18"/>
          </w:rPr>
          <w:fldChar w:fldCharType="end"/>
        </w:r>
      </w:hyperlink>
    </w:p>
    <w:p w14:paraId="12B6DDDA" w14:textId="754951F4"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359" w:history="1">
        <w:r w:rsidRPr="00CA2975">
          <w:rPr>
            <w:rStyle w:val="Hyperlink"/>
            <w:noProof/>
            <w:color w:val="auto"/>
            <w:sz w:val="28"/>
            <w:szCs w:val="18"/>
          </w:rPr>
          <w:t>8</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Province-Specific Recommended Technology Packages</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_Toc233981359 \h </w:instrText>
        </w:r>
        <w:r w:rsidRPr="00CA2975">
          <w:rPr>
            <w:noProof/>
            <w:webHidden/>
            <w:sz w:val="28"/>
            <w:szCs w:val="18"/>
          </w:rPr>
        </w:r>
        <w:r w:rsidRPr="00CA2975">
          <w:rPr>
            <w:noProof/>
            <w:webHidden/>
            <w:sz w:val="28"/>
            <w:szCs w:val="18"/>
          </w:rPr>
          <w:fldChar w:fldCharType="separate"/>
        </w:r>
        <w:r w:rsidR="005B05A2">
          <w:rPr>
            <w:noProof/>
            <w:webHidden/>
            <w:sz w:val="28"/>
            <w:szCs w:val="18"/>
          </w:rPr>
          <w:t>89</w:t>
        </w:r>
        <w:r w:rsidRPr="00CA2975">
          <w:rPr>
            <w:noProof/>
            <w:webHidden/>
            <w:sz w:val="28"/>
            <w:szCs w:val="18"/>
          </w:rPr>
          <w:fldChar w:fldCharType="end"/>
        </w:r>
      </w:hyperlink>
    </w:p>
    <w:p w14:paraId="0C69B8C2" w14:textId="7B2BD8F9"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60" w:history="1">
        <w:r w:rsidRPr="00CA2975">
          <w:rPr>
            <w:rStyle w:val="Hyperlink"/>
            <w:noProof/>
            <w:color w:val="auto"/>
            <w:sz w:val="22"/>
            <w:szCs w:val="18"/>
          </w:rPr>
          <w:t>8.1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From multi-criteria analysis to integrated technology packages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_Toc233981360 \h </w:instrText>
        </w:r>
        <w:r w:rsidRPr="00CA2975">
          <w:rPr>
            <w:noProof/>
            <w:webHidden/>
            <w:sz w:val="22"/>
            <w:szCs w:val="18"/>
          </w:rPr>
        </w:r>
        <w:r w:rsidRPr="00CA2975">
          <w:rPr>
            <w:noProof/>
            <w:webHidden/>
            <w:sz w:val="22"/>
            <w:szCs w:val="18"/>
          </w:rPr>
          <w:fldChar w:fldCharType="separate"/>
        </w:r>
        <w:r w:rsidR="005B05A2">
          <w:rPr>
            <w:noProof/>
            <w:webHidden/>
            <w:sz w:val="22"/>
            <w:szCs w:val="18"/>
          </w:rPr>
          <w:t>89</w:t>
        </w:r>
        <w:r w:rsidRPr="00CA2975">
          <w:rPr>
            <w:noProof/>
            <w:webHidden/>
            <w:sz w:val="22"/>
            <w:szCs w:val="18"/>
          </w:rPr>
          <w:fldChar w:fldCharType="end"/>
        </w:r>
      </w:hyperlink>
    </w:p>
    <w:p w14:paraId="4EE1A5AB" w14:textId="2E4C0313"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61" w:history="1">
        <w:r w:rsidRPr="00CA2975">
          <w:rPr>
            <w:rStyle w:val="Hyperlink"/>
            <w:noProof/>
            <w:color w:val="auto"/>
            <w:sz w:val="22"/>
            <w:szCs w:val="18"/>
          </w:rPr>
          <w:t>8.2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Recommended technology package for Uvurkhangai</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_Toc233981361 \h </w:instrText>
        </w:r>
        <w:r w:rsidRPr="00CA2975">
          <w:rPr>
            <w:noProof/>
            <w:webHidden/>
            <w:sz w:val="22"/>
            <w:szCs w:val="18"/>
          </w:rPr>
        </w:r>
        <w:r w:rsidRPr="00CA2975">
          <w:rPr>
            <w:noProof/>
            <w:webHidden/>
            <w:sz w:val="22"/>
            <w:szCs w:val="18"/>
          </w:rPr>
          <w:fldChar w:fldCharType="separate"/>
        </w:r>
        <w:r w:rsidR="005B05A2">
          <w:rPr>
            <w:noProof/>
            <w:webHidden/>
            <w:sz w:val="22"/>
            <w:szCs w:val="18"/>
          </w:rPr>
          <w:t>90</w:t>
        </w:r>
        <w:r w:rsidRPr="00CA2975">
          <w:rPr>
            <w:noProof/>
            <w:webHidden/>
            <w:sz w:val="22"/>
            <w:szCs w:val="18"/>
          </w:rPr>
          <w:fldChar w:fldCharType="end"/>
        </w:r>
      </w:hyperlink>
    </w:p>
    <w:p w14:paraId="419D7DFE" w14:textId="76571069"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62" w:history="1">
        <w:r w:rsidRPr="00CA2975">
          <w:rPr>
            <w:rStyle w:val="Hyperlink"/>
            <w:noProof/>
            <w:color w:val="auto"/>
            <w:sz w:val="22"/>
            <w:szCs w:val="18"/>
          </w:rPr>
          <w:t>8.3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Recommended technology package for Dundgovi</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_Toc233981362 \h </w:instrText>
        </w:r>
        <w:r w:rsidRPr="00CA2975">
          <w:rPr>
            <w:noProof/>
            <w:webHidden/>
            <w:sz w:val="22"/>
            <w:szCs w:val="18"/>
          </w:rPr>
        </w:r>
        <w:r w:rsidRPr="00CA2975">
          <w:rPr>
            <w:noProof/>
            <w:webHidden/>
            <w:sz w:val="22"/>
            <w:szCs w:val="18"/>
          </w:rPr>
          <w:fldChar w:fldCharType="separate"/>
        </w:r>
        <w:r w:rsidR="005B05A2">
          <w:rPr>
            <w:noProof/>
            <w:webHidden/>
            <w:sz w:val="22"/>
            <w:szCs w:val="18"/>
          </w:rPr>
          <w:t>91</w:t>
        </w:r>
        <w:r w:rsidRPr="00CA2975">
          <w:rPr>
            <w:noProof/>
            <w:webHidden/>
            <w:sz w:val="22"/>
            <w:szCs w:val="18"/>
          </w:rPr>
          <w:fldChar w:fldCharType="end"/>
        </w:r>
      </w:hyperlink>
    </w:p>
    <w:p w14:paraId="51F75031" w14:textId="5A925903"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63" w:history="1">
        <w:r w:rsidRPr="00CA2975">
          <w:rPr>
            <w:rStyle w:val="Hyperlink"/>
            <w:noProof/>
            <w:color w:val="auto"/>
            <w:sz w:val="22"/>
            <w:szCs w:val="18"/>
          </w:rPr>
          <w:t>8.4</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Province-specific agroforestry strategies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_Toc233981363 \h </w:instrText>
        </w:r>
        <w:r w:rsidRPr="00CA2975">
          <w:rPr>
            <w:noProof/>
            <w:webHidden/>
            <w:sz w:val="22"/>
            <w:szCs w:val="18"/>
          </w:rPr>
        </w:r>
        <w:r w:rsidRPr="00CA2975">
          <w:rPr>
            <w:noProof/>
            <w:webHidden/>
            <w:sz w:val="22"/>
            <w:szCs w:val="18"/>
          </w:rPr>
          <w:fldChar w:fldCharType="separate"/>
        </w:r>
        <w:r w:rsidR="005B05A2">
          <w:rPr>
            <w:noProof/>
            <w:webHidden/>
            <w:sz w:val="22"/>
            <w:szCs w:val="18"/>
          </w:rPr>
          <w:t>92</w:t>
        </w:r>
        <w:r w:rsidRPr="00CA2975">
          <w:rPr>
            <w:noProof/>
            <w:webHidden/>
            <w:sz w:val="22"/>
            <w:szCs w:val="18"/>
          </w:rPr>
          <w:fldChar w:fldCharType="end"/>
        </w:r>
      </w:hyperlink>
    </w:p>
    <w:p w14:paraId="17CC3641" w14:textId="7718229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64" w:history="1">
        <w:r w:rsidRPr="00CA2975">
          <w:rPr>
            <w:rStyle w:val="Hyperlink"/>
            <w:noProof/>
            <w:color w:val="auto"/>
            <w:sz w:val="20"/>
            <w:szCs w:val="18"/>
          </w:rPr>
          <w:t>8.4.1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Agroforestry strategies for Dundgovi</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_Toc233981364 \h </w:instrText>
        </w:r>
        <w:r w:rsidRPr="00CA2975">
          <w:rPr>
            <w:noProof/>
            <w:webHidden/>
            <w:sz w:val="20"/>
            <w:szCs w:val="18"/>
          </w:rPr>
        </w:r>
        <w:r w:rsidRPr="00CA2975">
          <w:rPr>
            <w:noProof/>
            <w:webHidden/>
            <w:sz w:val="20"/>
            <w:szCs w:val="18"/>
          </w:rPr>
          <w:fldChar w:fldCharType="separate"/>
        </w:r>
        <w:r w:rsidR="005B05A2">
          <w:rPr>
            <w:noProof/>
            <w:webHidden/>
            <w:sz w:val="20"/>
            <w:szCs w:val="18"/>
          </w:rPr>
          <w:t>92</w:t>
        </w:r>
        <w:r w:rsidRPr="00CA2975">
          <w:rPr>
            <w:noProof/>
            <w:webHidden/>
            <w:sz w:val="20"/>
            <w:szCs w:val="18"/>
          </w:rPr>
          <w:fldChar w:fldCharType="end"/>
        </w:r>
      </w:hyperlink>
    </w:p>
    <w:p w14:paraId="104A15E9" w14:textId="543A7672"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65" w:history="1">
        <w:r w:rsidRPr="00CA2975">
          <w:rPr>
            <w:rStyle w:val="Hyperlink"/>
            <w:noProof/>
            <w:color w:val="auto"/>
            <w:sz w:val="20"/>
            <w:szCs w:val="18"/>
          </w:rPr>
          <w:t>8.4.2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Agroforestry strategies for Uvurkhangai</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_Toc233981365 \h </w:instrText>
        </w:r>
        <w:r w:rsidRPr="00CA2975">
          <w:rPr>
            <w:noProof/>
            <w:webHidden/>
            <w:sz w:val="20"/>
            <w:szCs w:val="18"/>
          </w:rPr>
        </w:r>
        <w:r w:rsidRPr="00CA2975">
          <w:rPr>
            <w:noProof/>
            <w:webHidden/>
            <w:sz w:val="20"/>
            <w:szCs w:val="18"/>
          </w:rPr>
          <w:fldChar w:fldCharType="separate"/>
        </w:r>
        <w:r w:rsidR="005B05A2">
          <w:rPr>
            <w:noProof/>
            <w:webHidden/>
            <w:sz w:val="20"/>
            <w:szCs w:val="18"/>
          </w:rPr>
          <w:t>93</w:t>
        </w:r>
        <w:r w:rsidRPr="00CA2975">
          <w:rPr>
            <w:noProof/>
            <w:webHidden/>
            <w:sz w:val="20"/>
            <w:szCs w:val="18"/>
          </w:rPr>
          <w:fldChar w:fldCharType="end"/>
        </w:r>
      </w:hyperlink>
    </w:p>
    <w:p w14:paraId="05374B43" w14:textId="3D63720B"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66" w:history="1">
        <w:r w:rsidRPr="00CA2975">
          <w:rPr>
            <w:rStyle w:val="Hyperlink"/>
            <w:noProof/>
            <w:color w:val="auto"/>
            <w:sz w:val="22"/>
            <w:szCs w:val="18"/>
          </w:rPr>
          <w:t>Agroforestry Model A – Three-row multifunctional productive shelterbelt</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_Toc233981366 \h </w:instrText>
        </w:r>
        <w:r w:rsidRPr="00CA2975">
          <w:rPr>
            <w:noProof/>
            <w:webHidden/>
            <w:sz w:val="22"/>
            <w:szCs w:val="18"/>
          </w:rPr>
        </w:r>
        <w:r w:rsidRPr="00CA2975">
          <w:rPr>
            <w:noProof/>
            <w:webHidden/>
            <w:sz w:val="22"/>
            <w:szCs w:val="18"/>
          </w:rPr>
          <w:fldChar w:fldCharType="separate"/>
        </w:r>
        <w:r w:rsidR="005B05A2">
          <w:rPr>
            <w:noProof/>
            <w:webHidden/>
            <w:sz w:val="22"/>
            <w:szCs w:val="18"/>
          </w:rPr>
          <w:t>94</w:t>
        </w:r>
        <w:r w:rsidRPr="00CA2975">
          <w:rPr>
            <w:noProof/>
            <w:webHidden/>
            <w:sz w:val="22"/>
            <w:szCs w:val="18"/>
          </w:rPr>
          <w:fldChar w:fldCharType="end"/>
        </w:r>
      </w:hyperlink>
    </w:p>
    <w:p w14:paraId="354F04FC" w14:textId="3FBAE8BF"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67" w:history="1">
        <w:r w:rsidRPr="00CA2975">
          <w:rPr>
            <w:rStyle w:val="Hyperlink"/>
            <w:noProof/>
            <w:color w:val="auto"/>
            <w:sz w:val="22"/>
            <w:szCs w:val="18"/>
          </w:rPr>
          <w:t>Agroforestry Model B – Two-row compact productive shelterbelt</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_Toc233981367 \h </w:instrText>
        </w:r>
        <w:r w:rsidRPr="00CA2975">
          <w:rPr>
            <w:noProof/>
            <w:webHidden/>
            <w:sz w:val="22"/>
            <w:szCs w:val="18"/>
          </w:rPr>
        </w:r>
        <w:r w:rsidRPr="00CA2975">
          <w:rPr>
            <w:noProof/>
            <w:webHidden/>
            <w:sz w:val="22"/>
            <w:szCs w:val="18"/>
          </w:rPr>
          <w:fldChar w:fldCharType="separate"/>
        </w:r>
        <w:r w:rsidR="005B05A2">
          <w:rPr>
            <w:noProof/>
            <w:webHidden/>
            <w:sz w:val="22"/>
            <w:szCs w:val="18"/>
          </w:rPr>
          <w:t>95</w:t>
        </w:r>
        <w:r w:rsidRPr="00CA2975">
          <w:rPr>
            <w:noProof/>
            <w:webHidden/>
            <w:sz w:val="22"/>
            <w:szCs w:val="18"/>
          </w:rPr>
          <w:fldChar w:fldCharType="end"/>
        </w:r>
      </w:hyperlink>
    </w:p>
    <w:p w14:paraId="337F0181" w14:textId="3F3EAA17"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68" w:history="1">
        <w:r w:rsidRPr="00CA2975">
          <w:rPr>
            <w:rStyle w:val="Hyperlink"/>
            <w:noProof/>
            <w:color w:val="auto"/>
            <w:sz w:val="22"/>
            <w:szCs w:val="18"/>
          </w:rPr>
          <w:t>Agro-silvo system (orchard + horticulture)</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_Toc233981368 \h </w:instrText>
        </w:r>
        <w:r w:rsidRPr="00CA2975">
          <w:rPr>
            <w:noProof/>
            <w:webHidden/>
            <w:sz w:val="22"/>
            <w:szCs w:val="18"/>
          </w:rPr>
        </w:r>
        <w:r w:rsidRPr="00CA2975">
          <w:rPr>
            <w:noProof/>
            <w:webHidden/>
            <w:sz w:val="22"/>
            <w:szCs w:val="18"/>
          </w:rPr>
          <w:fldChar w:fldCharType="separate"/>
        </w:r>
        <w:r w:rsidR="005B05A2">
          <w:rPr>
            <w:noProof/>
            <w:webHidden/>
            <w:sz w:val="22"/>
            <w:szCs w:val="18"/>
          </w:rPr>
          <w:t>95</w:t>
        </w:r>
        <w:r w:rsidRPr="00CA2975">
          <w:rPr>
            <w:noProof/>
            <w:webHidden/>
            <w:sz w:val="22"/>
            <w:szCs w:val="18"/>
          </w:rPr>
          <w:fldChar w:fldCharType="end"/>
        </w:r>
      </w:hyperlink>
    </w:p>
    <w:p w14:paraId="2A69700E" w14:textId="1A964CFA" w:rsidR="00ED71A8" w:rsidRPr="00CA2975" w:rsidRDefault="00ED71A8" w:rsidP="00CA2975">
      <w:pPr>
        <w:pStyle w:val="TOC3"/>
        <w:tabs>
          <w:tab w:val="left" w:pos="1760"/>
        </w:tabs>
        <w:spacing w:before="0" w:after="0"/>
        <w:rPr>
          <w:rFonts w:asciiTheme="minorHAnsi" w:eastAsiaTheme="minorEastAsia" w:hAnsiTheme="minorHAnsi"/>
          <w:noProof/>
          <w:kern w:val="2"/>
          <w:sz w:val="20"/>
          <w:szCs w:val="20"/>
          <w:lang w:val="en-US"/>
          <w14:ligatures w14:val="standardContextual"/>
        </w:rPr>
      </w:pPr>
      <w:hyperlink w:anchor="_Toc233981369" w:history="1">
        <w:r w:rsidRPr="00CA2975">
          <w:rPr>
            <w:rStyle w:val="Hyperlink"/>
            <w:noProof/>
            <w:color w:val="auto"/>
            <w:sz w:val="20"/>
            <w:szCs w:val="18"/>
          </w:rPr>
          <w:t>8.4.3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0"/>
            <w:szCs w:val="18"/>
          </w:rPr>
          <w:t>Comparative summary of agroforestry recommendations</w:t>
        </w:r>
        <w:r w:rsidRPr="00CA2975">
          <w:rPr>
            <w:noProof/>
            <w:webHidden/>
            <w:sz w:val="20"/>
            <w:szCs w:val="18"/>
          </w:rPr>
          <w:tab/>
        </w:r>
        <w:r w:rsidRPr="00CA2975">
          <w:rPr>
            <w:noProof/>
            <w:webHidden/>
            <w:sz w:val="20"/>
            <w:szCs w:val="18"/>
          </w:rPr>
          <w:fldChar w:fldCharType="begin"/>
        </w:r>
        <w:r w:rsidRPr="00CA2975">
          <w:rPr>
            <w:noProof/>
            <w:webHidden/>
            <w:sz w:val="20"/>
            <w:szCs w:val="18"/>
          </w:rPr>
          <w:instrText xml:space="preserve"> PAGEREF _Toc233981369 \h </w:instrText>
        </w:r>
        <w:r w:rsidRPr="00CA2975">
          <w:rPr>
            <w:noProof/>
            <w:webHidden/>
            <w:sz w:val="20"/>
            <w:szCs w:val="18"/>
          </w:rPr>
        </w:r>
        <w:r w:rsidRPr="00CA2975">
          <w:rPr>
            <w:noProof/>
            <w:webHidden/>
            <w:sz w:val="20"/>
            <w:szCs w:val="18"/>
          </w:rPr>
          <w:fldChar w:fldCharType="separate"/>
        </w:r>
        <w:r w:rsidR="005B05A2">
          <w:rPr>
            <w:noProof/>
            <w:webHidden/>
            <w:sz w:val="20"/>
            <w:szCs w:val="18"/>
          </w:rPr>
          <w:t>97</w:t>
        </w:r>
        <w:r w:rsidRPr="00CA2975">
          <w:rPr>
            <w:noProof/>
            <w:webHidden/>
            <w:sz w:val="20"/>
            <w:szCs w:val="18"/>
          </w:rPr>
          <w:fldChar w:fldCharType="end"/>
        </w:r>
      </w:hyperlink>
    </w:p>
    <w:p w14:paraId="29FC99C9" w14:textId="7D14D074"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70" w:history="1">
        <w:r w:rsidRPr="00CA2975">
          <w:rPr>
            <w:rStyle w:val="Hyperlink"/>
            <w:noProof/>
            <w:color w:val="auto"/>
            <w:sz w:val="22"/>
            <w:szCs w:val="18"/>
          </w:rPr>
          <w:t>8.5</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Basis for the Cost-Benefit Analysis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_Toc233981370 \h </w:instrText>
        </w:r>
        <w:r w:rsidRPr="00CA2975">
          <w:rPr>
            <w:noProof/>
            <w:webHidden/>
            <w:sz w:val="22"/>
            <w:szCs w:val="18"/>
          </w:rPr>
        </w:r>
        <w:r w:rsidRPr="00CA2975">
          <w:rPr>
            <w:noProof/>
            <w:webHidden/>
            <w:sz w:val="22"/>
            <w:szCs w:val="18"/>
          </w:rPr>
          <w:fldChar w:fldCharType="separate"/>
        </w:r>
        <w:r w:rsidR="005B05A2">
          <w:rPr>
            <w:noProof/>
            <w:webHidden/>
            <w:sz w:val="22"/>
            <w:szCs w:val="18"/>
          </w:rPr>
          <w:t>97</w:t>
        </w:r>
        <w:r w:rsidRPr="00CA2975">
          <w:rPr>
            <w:noProof/>
            <w:webHidden/>
            <w:sz w:val="22"/>
            <w:szCs w:val="18"/>
          </w:rPr>
          <w:fldChar w:fldCharType="end"/>
        </w:r>
      </w:hyperlink>
    </w:p>
    <w:p w14:paraId="5AA47F8C" w14:textId="39469AEC" w:rsidR="00ED71A8" w:rsidRPr="00CA2975" w:rsidRDefault="00ED71A8" w:rsidP="00CA2975">
      <w:pPr>
        <w:pStyle w:val="TOC1"/>
        <w:tabs>
          <w:tab w:val="left" w:pos="567"/>
        </w:tabs>
        <w:spacing w:before="0" w:after="0"/>
        <w:rPr>
          <w:rFonts w:asciiTheme="minorHAnsi" w:eastAsiaTheme="minorEastAsia" w:hAnsiTheme="minorHAnsi"/>
          <w:noProof/>
          <w:kern w:val="2"/>
          <w:sz w:val="20"/>
          <w:szCs w:val="20"/>
          <w:lang w:val="en-US"/>
          <w14:ligatures w14:val="standardContextual"/>
        </w:rPr>
      </w:pPr>
      <w:hyperlink w:anchor="_Toc233981371" w:history="1">
        <w:r w:rsidRPr="00CA2975">
          <w:rPr>
            <w:rStyle w:val="Hyperlink"/>
            <w:noProof/>
            <w:color w:val="auto"/>
            <w:sz w:val="28"/>
            <w:szCs w:val="18"/>
          </w:rPr>
          <w:t>9</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Conclusion and Recommendations</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_Toc233981371 \h </w:instrText>
        </w:r>
        <w:r w:rsidRPr="00CA2975">
          <w:rPr>
            <w:noProof/>
            <w:webHidden/>
            <w:sz w:val="28"/>
            <w:szCs w:val="18"/>
          </w:rPr>
        </w:r>
        <w:r w:rsidRPr="00CA2975">
          <w:rPr>
            <w:noProof/>
            <w:webHidden/>
            <w:sz w:val="28"/>
            <w:szCs w:val="18"/>
          </w:rPr>
          <w:fldChar w:fldCharType="separate"/>
        </w:r>
        <w:r w:rsidR="005B05A2">
          <w:rPr>
            <w:noProof/>
            <w:webHidden/>
            <w:sz w:val="28"/>
            <w:szCs w:val="18"/>
          </w:rPr>
          <w:t>101</w:t>
        </w:r>
        <w:r w:rsidRPr="00CA2975">
          <w:rPr>
            <w:noProof/>
            <w:webHidden/>
            <w:sz w:val="28"/>
            <w:szCs w:val="18"/>
          </w:rPr>
          <w:fldChar w:fldCharType="end"/>
        </w:r>
      </w:hyperlink>
    </w:p>
    <w:p w14:paraId="73BDFB4B" w14:textId="217BE361"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72" w:history="1">
        <w:r w:rsidRPr="00CA2975">
          <w:rPr>
            <w:rStyle w:val="Hyperlink"/>
            <w:noProof/>
            <w:color w:val="auto"/>
            <w:sz w:val="22"/>
            <w:szCs w:val="18"/>
          </w:rPr>
          <w:t>9.1</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Conclusions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_Toc233981372 \h </w:instrText>
        </w:r>
        <w:r w:rsidRPr="00CA2975">
          <w:rPr>
            <w:noProof/>
            <w:webHidden/>
            <w:sz w:val="22"/>
            <w:szCs w:val="18"/>
          </w:rPr>
        </w:r>
        <w:r w:rsidRPr="00CA2975">
          <w:rPr>
            <w:noProof/>
            <w:webHidden/>
            <w:sz w:val="22"/>
            <w:szCs w:val="18"/>
          </w:rPr>
          <w:fldChar w:fldCharType="separate"/>
        </w:r>
        <w:r w:rsidR="005B05A2">
          <w:rPr>
            <w:noProof/>
            <w:webHidden/>
            <w:sz w:val="22"/>
            <w:szCs w:val="18"/>
          </w:rPr>
          <w:t>101</w:t>
        </w:r>
        <w:r w:rsidRPr="00CA2975">
          <w:rPr>
            <w:noProof/>
            <w:webHidden/>
            <w:sz w:val="22"/>
            <w:szCs w:val="18"/>
          </w:rPr>
          <w:fldChar w:fldCharType="end"/>
        </w:r>
      </w:hyperlink>
    </w:p>
    <w:p w14:paraId="5A5E597E" w14:textId="1F130B29"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73" w:history="1">
        <w:r w:rsidRPr="00CA2975">
          <w:rPr>
            <w:rStyle w:val="Hyperlink"/>
            <w:noProof/>
            <w:color w:val="auto"/>
            <w:sz w:val="22"/>
            <w:szCs w:val="18"/>
          </w:rPr>
          <w:t>9.2</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Recommendations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_Toc233981373 \h </w:instrText>
        </w:r>
        <w:r w:rsidRPr="00CA2975">
          <w:rPr>
            <w:noProof/>
            <w:webHidden/>
            <w:sz w:val="22"/>
            <w:szCs w:val="18"/>
          </w:rPr>
        </w:r>
        <w:r w:rsidRPr="00CA2975">
          <w:rPr>
            <w:noProof/>
            <w:webHidden/>
            <w:sz w:val="22"/>
            <w:szCs w:val="18"/>
          </w:rPr>
          <w:fldChar w:fldCharType="separate"/>
        </w:r>
        <w:r w:rsidR="005B05A2">
          <w:rPr>
            <w:noProof/>
            <w:webHidden/>
            <w:sz w:val="22"/>
            <w:szCs w:val="18"/>
          </w:rPr>
          <w:t>101</w:t>
        </w:r>
        <w:r w:rsidRPr="00CA2975">
          <w:rPr>
            <w:noProof/>
            <w:webHidden/>
            <w:sz w:val="22"/>
            <w:szCs w:val="18"/>
          </w:rPr>
          <w:fldChar w:fldCharType="end"/>
        </w:r>
      </w:hyperlink>
    </w:p>
    <w:p w14:paraId="709C0A51" w14:textId="695DAEEE" w:rsidR="00ED71A8" w:rsidRPr="00CA2975" w:rsidRDefault="00ED71A8" w:rsidP="00CA2975">
      <w:pPr>
        <w:pStyle w:val="TOC2"/>
        <w:tabs>
          <w:tab w:val="left" w:pos="1320"/>
        </w:tabs>
        <w:spacing w:before="0" w:after="0"/>
        <w:rPr>
          <w:rFonts w:asciiTheme="minorHAnsi" w:eastAsiaTheme="minorEastAsia" w:hAnsiTheme="minorHAnsi"/>
          <w:noProof/>
          <w:kern w:val="2"/>
          <w:sz w:val="20"/>
          <w:szCs w:val="20"/>
          <w:lang w:val="en-US"/>
          <w14:ligatures w14:val="standardContextual"/>
        </w:rPr>
      </w:pPr>
      <w:hyperlink w:anchor="_Toc233981374" w:history="1">
        <w:r w:rsidRPr="00CA2975">
          <w:rPr>
            <w:rStyle w:val="Hyperlink"/>
            <w:noProof/>
            <w:color w:val="auto"/>
            <w:sz w:val="22"/>
            <w:szCs w:val="18"/>
          </w:rPr>
          <w:t>9.3</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2"/>
            <w:szCs w:val="18"/>
          </w:rPr>
          <w:t>Next steps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_Toc233981374 \h </w:instrText>
        </w:r>
        <w:r w:rsidRPr="00CA2975">
          <w:rPr>
            <w:noProof/>
            <w:webHidden/>
            <w:sz w:val="22"/>
            <w:szCs w:val="18"/>
          </w:rPr>
        </w:r>
        <w:r w:rsidRPr="00CA2975">
          <w:rPr>
            <w:noProof/>
            <w:webHidden/>
            <w:sz w:val="22"/>
            <w:szCs w:val="18"/>
          </w:rPr>
          <w:fldChar w:fldCharType="separate"/>
        </w:r>
        <w:r w:rsidR="005B05A2">
          <w:rPr>
            <w:noProof/>
            <w:webHidden/>
            <w:sz w:val="22"/>
            <w:szCs w:val="18"/>
          </w:rPr>
          <w:t>102</w:t>
        </w:r>
        <w:r w:rsidRPr="00CA2975">
          <w:rPr>
            <w:noProof/>
            <w:webHidden/>
            <w:sz w:val="22"/>
            <w:szCs w:val="18"/>
          </w:rPr>
          <w:fldChar w:fldCharType="end"/>
        </w:r>
      </w:hyperlink>
    </w:p>
    <w:p w14:paraId="2D44B392" w14:textId="665F419D" w:rsidR="00ED71A8" w:rsidRPr="00CA2975" w:rsidRDefault="00ED71A8" w:rsidP="00CA2975">
      <w:pPr>
        <w:pStyle w:val="TOC1"/>
        <w:tabs>
          <w:tab w:val="left" w:pos="907"/>
        </w:tabs>
        <w:spacing w:before="0" w:after="0"/>
        <w:rPr>
          <w:rFonts w:asciiTheme="minorHAnsi" w:eastAsiaTheme="minorEastAsia" w:hAnsiTheme="minorHAnsi"/>
          <w:noProof/>
          <w:kern w:val="2"/>
          <w:sz w:val="20"/>
          <w:szCs w:val="20"/>
          <w:lang w:val="en-US"/>
          <w14:ligatures w14:val="standardContextual"/>
        </w:rPr>
      </w:pPr>
      <w:hyperlink w:anchor="_Toc233981375" w:history="1">
        <w:r w:rsidRPr="00CA2975">
          <w:rPr>
            <w:rStyle w:val="Hyperlink"/>
            <w:noProof/>
            <w:color w:val="auto"/>
            <w:sz w:val="28"/>
            <w:szCs w:val="18"/>
          </w:rPr>
          <w:t>10</w:t>
        </w:r>
        <w:r w:rsidRPr="00CA2975">
          <w:rPr>
            <w:rFonts w:asciiTheme="minorHAnsi" w:eastAsiaTheme="minorEastAsia" w:hAnsiTheme="minorHAnsi"/>
            <w:noProof/>
            <w:kern w:val="2"/>
            <w:sz w:val="20"/>
            <w:szCs w:val="20"/>
            <w:lang w:val="en-US"/>
            <w14:ligatures w14:val="standardContextual"/>
          </w:rPr>
          <w:tab/>
        </w:r>
        <w:r w:rsidRPr="00CA2975">
          <w:rPr>
            <w:rStyle w:val="Hyperlink"/>
            <w:noProof/>
            <w:color w:val="auto"/>
            <w:sz w:val="28"/>
            <w:szCs w:val="18"/>
          </w:rPr>
          <w:t>References</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_Toc233981375 \h </w:instrText>
        </w:r>
        <w:r w:rsidRPr="00CA2975">
          <w:rPr>
            <w:noProof/>
            <w:webHidden/>
            <w:sz w:val="28"/>
            <w:szCs w:val="18"/>
          </w:rPr>
        </w:r>
        <w:r w:rsidRPr="00CA2975">
          <w:rPr>
            <w:noProof/>
            <w:webHidden/>
            <w:sz w:val="28"/>
            <w:szCs w:val="18"/>
          </w:rPr>
          <w:fldChar w:fldCharType="separate"/>
        </w:r>
        <w:r w:rsidR="005B05A2">
          <w:rPr>
            <w:noProof/>
            <w:webHidden/>
            <w:sz w:val="28"/>
            <w:szCs w:val="18"/>
          </w:rPr>
          <w:t>103</w:t>
        </w:r>
        <w:r w:rsidRPr="00CA2975">
          <w:rPr>
            <w:noProof/>
            <w:webHidden/>
            <w:sz w:val="28"/>
            <w:szCs w:val="18"/>
          </w:rPr>
          <w:fldChar w:fldCharType="end"/>
        </w:r>
      </w:hyperlink>
    </w:p>
    <w:p w14:paraId="3FA9C27A" w14:textId="162929F7" w:rsidR="00ED71A8" w:rsidRPr="00CA2975" w:rsidRDefault="00ED71A8" w:rsidP="00CA2975">
      <w:pPr>
        <w:pStyle w:val="TOC1"/>
        <w:spacing w:before="0" w:after="0"/>
        <w:rPr>
          <w:rFonts w:asciiTheme="minorHAnsi" w:eastAsiaTheme="minorEastAsia" w:hAnsiTheme="minorHAnsi"/>
          <w:noProof/>
          <w:kern w:val="2"/>
          <w:sz w:val="20"/>
          <w:szCs w:val="20"/>
          <w:lang w:val="en-US"/>
          <w14:ligatures w14:val="standardContextual"/>
        </w:rPr>
      </w:pPr>
      <w:hyperlink w:anchor="_Toc233981376" w:history="1">
        <w:r w:rsidRPr="00CA2975">
          <w:rPr>
            <w:rStyle w:val="Hyperlink"/>
            <w:noProof/>
            <w:color w:val="auto"/>
            <w:sz w:val="28"/>
            <w:szCs w:val="18"/>
          </w:rPr>
          <w:t>Annex 1: Comparative technology matrices</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_Toc233981376 \h </w:instrText>
        </w:r>
        <w:r w:rsidRPr="00CA2975">
          <w:rPr>
            <w:noProof/>
            <w:webHidden/>
            <w:sz w:val="28"/>
            <w:szCs w:val="18"/>
          </w:rPr>
        </w:r>
        <w:r w:rsidRPr="00CA2975">
          <w:rPr>
            <w:noProof/>
            <w:webHidden/>
            <w:sz w:val="28"/>
            <w:szCs w:val="18"/>
          </w:rPr>
          <w:fldChar w:fldCharType="separate"/>
        </w:r>
        <w:r w:rsidR="005B05A2">
          <w:rPr>
            <w:noProof/>
            <w:webHidden/>
            <w:sz w:val="28"/>
            <w:szCs w:val="18"/>
          </w:rPr>
          <w:t>107</w:t>
        </w:r>
        <w:r w:rsidRPr="00CA2975">
          <w:rPr>
            <w:noProof/>
            <w:webHidden/>
            <w:sz w:val="28"/>
            <w:szCs w:val="18"/>
          </w:rPr>
          <w:fldChar w:fldCharType="end"/>
        </w:r>
      </w:hyperlink>
    </w:p>
    <w:p w14:paraId="6E96A55F" w14:textId="3E742876"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77" w:history="1">
        <w:r w:rsidRPr="00CA2975">
          <w:rPr>
            <w:rStyle w:val="Hyperlink"/>
            <w:noProof/>
            <w:color w:val="auto"/>
            <w:sz w:val="22"/>
            <w:szCs w:val="18"/>
          </w:rPr>
          <w:t>A1.1 Scoring method</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_Toc233981377 \h </w:instrText>
        </w:r>
        <w:r w:rsidRPr="00CA2975">
          <w:rPr>
            <w:noProof/>
            <w:webHidden/>
            <w:sz w:val="22"/>
            <w:szCs w:val="18"/>
          </w:rPr>
        </w:r>
        <w:r w:rsidRPr="00CA2975">
          <w:rPr>
            <w:noProof/>
            <w:webHidden/>
            <w:sz w:val="22"/>
            <w:szCs w:val="18"/>
          </w:rPr>
          <w:fldChar w:fldCharType="separate"/>
        </w:r>
        <w:r w:rsidR="005B05A2">
          <w:rPr>
            <w:noProof/>
            <w:webHidden/>
            <w:sz w:val="22"/>
            <w:szCs w:val="18"/>
          </w:rPr>
          <w:t>107</w:t>
        </w:r>
        <w:r w:rsidRPr="00CA2975">
          <w:rPr>
            <w:noProof/>
            <w:webHidden/>
            <w:sz w:val="22"/>
            <w:szCs w:val="18"/>
          </w:rPr>
          <w:fldChar w:fldCharType="end"/>
        </w:r>
      </w:hyperlink>
    </w:p>
    <w:p w14:paraId="245332A9" w14:textId="1DF75AC7"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78" w:history="1">
        <w:r w:rsidRPr="00CA2975">
          <w:rPr>
            <w:rStyle w:val="Hyperlink"/>
            <w:noProof/>
            <w:color w:val="auto"/>
            <w:sz w:val="22"/>
            <w:szCs w:val="18"/>
          </w:rPr>
          <w:t>A1.2 MCA weighted-score matrices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_Toc233981378 \h </w:instrText>
        </w:r>
        <w:r w:rsidRPr="00CA2975">
          <w:rPr>
            <w:noProof/>
            <w:webHidden/>
            <w:sz w:val="22"/>
            <w:szCs w:val="18"/>
          </w:rPr>
        </w:r>
        <w:r w:rsidRPr="00CA2975">
          <w:rPr>
            <w:noProof/>
            <w:webHidden/>
            <w:sz w:val="22"/>
            <w:szCs w:val="18"/>
          </w:rPr>
          <w:fldChar w:fldCharType="separate"/>
        </w:r>
        <w:r w:rsidR="005B05A2">
          <w:rPr>
            <w:noProof/>
            <w:webHidden/>
            <w:sz w:val="22"/>
            <w:szCs w:val="18"/>
          </w:rPr>
          <w:t>107</w:t>
        </w:r>
        <w:r w:rsidRPr="00CA2975">
          <w:rPr>
            <w:noProof/>
            <w:webHidden/>
            <w:sz w:val="22"/>
            <w:szCs w:val="18"/>
          </w:rPr>
          <w:fldChar w:fldCharType="end"/>
        </w:r>
      </w:hyperlink>
    </w:p>
    <w:p w14:paraId="26CB4EB2" w14:textId="14418F65"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79" w:history="1">
        <w:r w:rsidRPr="00CA2975">
          <w:rPr>
            <w:rStyle w:val="Hyperlink"/>
            <w:noProof/>
            <w:color w:val="auto"/>
            <w:sz w:val="22"/>
            <w:szCs w:val="18"/>
          </w:rPr>
          <w:t>A1.3 Province-specific rankings (simplified scoring tables)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_Toc233981379 \h </w:instrText>
        </w:r>
        <w:r w:rsidRPr="00CA2975">
          <w:rPr>
            <w:noProof/>
            <w:webHidden/>
            <w:sz w:val="22"/>
            <w:szCs w:val="18"/>
          </w:rPr>
        </w:r>
        <w:r w:rsidRPr="00CA2975">
          <w:rPr>
            <w:noProof/>
            <w:webHidden/>
            <w:sz w:val="22"/>
            <w:szCs w:val="18"/>
          </w:rPr>
          <w:fldChar w:fldCharType="separate"/>
        </w:r>
        <w:r w:rsidR="005B05A2">
          <w:rPr>
            <w:noProof/>
            <w:webHidden/>
            <w:sz w:val="22"/>
            <w:szCs w:val="18"/>
          </w:rPr>
          <w:t>109</w:t>
        </w:r>
        <w:r w:rsidRPr="00CA2975">
          <w:rPr>
            <w:noProof/>
            <w:webHidden/>
            <w:sz w:val="22"/>
            <w:szCs w:val="18"/>
          </w:rPr>
          <w:fldChar w:fldCharType="end"/>
        </w:r>
      </w:hyperlink>
    </w:p>
    <w:p w14:paraId="6096B936" w14:textId="18981EE9"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80" w:history="1">
        <w:r w:rsidRPr="00CA2975">
          <w:rPr>
            <w:rStyle w:val="Hyperlink"/>
            <w:noProof/>
            <w:color w:val="auto"/>
            <w:sz w:val="22"/>
            <w:szCs w:val="18"/>
          </w:rPr>
          <w:t>A1.4 Cross-family comparative screening matrix</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_Toc233981380 \h </w:instrText>
        </w:r>
        <w:r w:rsidRPr="00CA2975">
          <w:rPr>
            <w:noProof/>
            <w:webHidden/>
            <w:sz w:val="22"/>
            <w:szCs w:val="18"/>
          </w:rPr>
        </w:r>
        <w:r w:rsidRPr="00CA2975">
          <w:rPr>
            <w:noProof/>
            <w:webHidden/>
            <w:sz w:val="22"/>
            <w:szCs w:val="18"/>
          </w:rPr>
          <w:fldChar w:fldCharType="separate"/>
        </w:r>
        <w:r w:rsidR="005B05A2">
          <w:rPr>
            <w:noProof/>
            <w:webHidden/>
            <w:sz w:val="22"/>
            <w:szCs w:val="18"/>
          </w:rPr>
          <w:t>109</w:t>
        </w:r>
        <w:r w:rsidRPr="00CA2975">
          <w:rPr>
            <w:noProof/>
            <w:webHidden/>
            <w:sz w:val="22"/>
            <w:szCs w:val="18"/>
          </w:rPr>
          <w:fldChar w:fldCharType="end"/>
        </w:r>
      </w:hyperlink>
    </w:p>
    <w:p w14:paraId="114C2F73" w14:textId="0FEE0254"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81" w:history="1">
        <w:r w:rsidRPr="00CA2975">
          <w:rPr>
            <w:rStyle w:val="Hyperlink"/>
            <w:noProof/>
            <w:color w:val="auto"/>
            <w:sz w:val="22"/>
            <w:szCs w:val="18"/>
          </w:rPr>
          <w:t>A1.5 Technology suitability by farmer type (simplified matrix)</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_Toc233981381 \h </w:instrText>
        </w:r>
        <w:r w:rsidRPr="00CA2975">
          <w:rPr>
            <w:noProof/>
            <w:webHidden/>
            <w:sz w:val="22"/>
            <w:szCs w:val="18"/>
          </w:rPr>
        </w:r>
        <w:r w:rsidRPr="00CA2975">
          <w:rPr>
            <w:noProof/>
            <w:webHidden/>
            <w:sz w:val="22"/>
            <w:szCs w:val="18"/>
          </w:rPr>
          <w:fldChar w:fldCharType="separate"/>
        </w:r>
        <w:r w:rsidR="005B05A2">
          <w:rPr>
            <w:noProof/>
            <w:webHidden/>
            <w:sz w:val="22"/>
            <w:szCs w:val="18"/>
          </w:rPr>
          <w:t>110</w:t>
        </w:r>
        <w:r w:rsidRPr="00CA2975">
          <w:rPr>
            <w:noProof/>
            <w:webHidden/>
            <w:sz w:val="22"/>
            <w:szCs w:val="18"/>
          </w:rPr>
          <w:fldChar w:fldCharType="end"/>
        </w:r>
      </w:hyperlink>
    </w:p>
    <w:p w14:paraId="32C518A8" w14:textId="6D0D67DF" w:rsidR="00ED71A8" w:rsidRPr="00CA2975" w:rsidRDefault="00ED71A8" w:rsidP="00CA2975">
      <w:pPr>
        <w:pStyle w:val="TOC2"/>
        <w:spacing w:before="0" w:after="0"/>
        <w:rPr>
          <w:rFonts w:asciiTheme="minorHAnsi" w:eastAsiaTheme="minorEastAsia" w:hAnsiTheme="minorHAnsi"/>
          <w:noProof/>
          <w:kern w:val="2"/>
          <w:sz w:val="20"/>
          <w:szCs w:val="20"/>
          <w:lang w:val="en-US"/>
          <w14:ligatures w14:val="standardContextual"/>
        </w:rPr>
      </w:pPr>
      <w:hyperlink w:anchor="_Toc233981382" w:history="1">
        <w:r w:rsidRPr="00CA2975">
          <w:rPr>
            <w:rStyle w:val="Hyperlink"/>
            <w:noProof/>
            <w:color w:val="auto"/>
            <w:sz w:val="22"/>
            <w:szCs w:val="18"/>
          </w:rPr>
          <w:t>A1.6 Correspondence between the Technology Menu packages and the CBA scenarios</w:t>
        </w:r>
        <w:r w:rsidRPr="00CA2975">
          <w:rPr>
            <w:noProof/>
            <w:webHidden/>
            <w:sz w:val="22"/>
            <w:szCs w:val="18"/>
          </w:rPr>
          <w:tab/>
        </w:r>
        <w:r w:rsidRPr="00CA2975">
          <w:rPr>
            <w:noProof/>
            <w:webHidden/>
            <w:sz w:val="22"/>
            <w:szCs w:val="18"/>
          </w:rPr>
          <w:fldChar w:fldCharType="begin"/>
        </w:r>
        <w:r w:rsidRPr="00CA2975">
          <w:rPr>
            <w:noProof/>
            <w:webHidden/>
            <w:sz w:val="22"/>
            <w:szCs w:val="18"/>
          </w:rPr>
          <w:instrText xml:space="preserve"> PAGEREF _Toc233981382 \h </w:instrText>
        </w:r>
        <w:r w:rsidRPr="00CA2975">
          <w:rPr>
            <w:noProof/>
            <w:webHidden/>
            <w:sz w:val="22"/>
            <w:szCs w:val="18"/>
          </w:rPr>
        </w:r>
        <w:r w:rsidRPr="00CA2975">
          <w:rPr>
            <w:noProof/>
            <w:webHidden/>
            <w:sz w:val="22"/>
            <w:szCs w:val="18"/>
          </w:rPr>
          <w:fldChar w:fldCharType="separate"/>
        </w:r>
        <w:r w:rsidR="005B05A2">
          <w:rPr>
            <w:noProof/>
            <w:webHidden/>
            <w:sz w:val="22"/>
            <w:szCs w:val="18"/>
          </w:rPr>
          <w:t>111</w:t>
        </w:r>
        <w:r w:rsidRPr="00CA2975">
          <w:rPr>
            <w:noProof/>
            <w:webHidden/>
            <w:sz w:val="22"/>
            <w:szCs w:val="18"/>
          </w:rPr>
          <w:fldChar w:fldCharType="end"/>
        </w:r>
      </w:hyperlink>
    </w:p>
    <w:p w14:paraId="4E4FC29E" w14:textId="3B4B1A67" w:rsidR="00ED71A8" w:rsidRPr="00CA2975" w:rsidRDefault="00ED71A8" w:rsidP="00CA2975">
      <w:pPr>
        <w:pStyle w:val="TOC1"/>
        <w:spacing w:before="0" w:after="0"/>
        <w:rPr>
          <w:rFonts w:asciiTheme="minorHAnsi" w:eastAsiaTheme="minorEastAsia" w:hAnsiTheme="minorHAnsi"/>
          <w:noProof/>
          <w:kern w:val="2"/>
          <w:sz w:val="20"/>
          <w:szCs w:val="20"/>
          <w:lang w:val="en-US"/>
          <w14:ligatures w14:val="standardContextual"/>
        </w:rPr>
      </w:pPr>
      <w:hyperlink w:anchor="_Toc233981383" w:history="1">
        <w:r w:rsidRPr="00CA2975">
          <w:rPr>
            <w:rStyle w:val="Hyperlink"/>
            <w:noProof/>
            <w:color w:val="auto"/>
            <w:sz w:val="28"/>
            <w:szCs w:val="18"/>
          </w:rPr>
          <w:t>Annex 2: SWOT analysis of greenhouse vegetable production</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_Toc233981383 \h </w:instrText>
        </w:r>
        <w:r w:rsidRPr="00CA2975">
          <w:rPr>
            <w:noProof/>
            <w:webHidden/>
            <w:sz w:val="28"/>
            <w:szCs w:val="18"/>
          </w:rPr>
        </w:r>
        <w:r w:rsidRPr="00CA2975">
          <w:rPr>
            <w:noProof/>
            <w:webHidden/>
            <w:sz w:val="28"/>
            <w:szCs w:val="18"/>
          </w:rPr>
          <w:fldChar w:fldCharType="separate"/>
        </w:r>
        <w:r w:rsidR="005B05A2">
          <w:rPr>
            <w:noProof/>
            <w:webHidden/>
            <w:sz w:val="28"/>
            <w:szCs w:val="18"/>
          </w:rPr>
          <w:t>112</w:t>
        </w:r>
        <w:r w:rsidRPr="00CA2975">
          <w:rPr>
            <w:noProof/>
            <w:webHidden/>
            <w:sz w:val="28"/>
            <w:szCs w:val="18"/>
          </w:rPr>
          <w:fldChar w:fldCharType="end"/>
        </w:r>
      </w:hyperlink>
    </w:p>
    <w:p w14:paraId="64E9FC37" w14:textId="0B9F18B3" w:rsidR="00ED71A8" w:rsidRPr="00CA2975" w:rsidRDefault="00ED71A8" w:rsidP="00CA2975">
      <w:pPr>
        <w:pStyle w:val="TOC1"/>
        <w:spacing w:before="0" w:after="0"/>
        <w:rPr>
          <w:rFonts w:asciiTheme="minorHAnsi" w:eastAsiaTheme="minorEastAsia" w:hAnsiTheme="minorHAnsi"/>
          <w:noProof/>
          <w:kern w:val="2"/>
          <w:sz w:val="20"/>
          <w:szCs w:val="20"/>
          <w:lang w:val="en-US"/>
          <w14:ligatures w14:val="standardContextual"/>
        </w:rPr>
      </w:pPr>
      <w:hyperlink w:anchor="_Toc233981384" w:history="1">
        <w:r w:rsidRPr="00CA2975">
          <w:rPr>
            <w:rStyle w:val="Hyperlink"/>
            <w:noProof/>
            <w:color w:val="auto"/>
            <w:sz w:val="28"/>
            <w:szCs w:val="18"/>
          </w:rPr>
          <w:t>Annex 3: Mongolian classification of greenhouses</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_Toc233981384 \h </w:instrText>
        </w:r>
        <w:r w:rsidRPr="00CA2975">
          <w:rPr>
            <w:noProof/>
            <w:webHidden/>
            <w:sz w:val="28"/>
            <w:szCs w:val="18"/>
          </w:rPr>
        </w:r>
        <w:r w:rsidRPr="00CA2975">
          <w:rPr>
            <w:noProof/>
            <w:webHidden/>
            <w:sz w:val="28"/>
            <w:szCs w:val="18"/>
          </w:rPr>
          <w:fldChar w:fldCharType="separate"/>
        </w:r>
        <w:r w:rsidR="005B05A2">
          <w:rPr>
            <w:noProof/>
            <w:webHidden/>
            <w:sz w:val="28"/>
            <w:szCs w:val="18"/>
          </w:rPr>
          <w:t>113</w:t>
        </w:r>
        <w:r w:rsidRPr="00CA2975">
          <w:rPr>
            <w:noProof/>
            <w:webHidden/>
            <w:sz w:val="28"/>
            <w:szCs w:val="18"/>
          </w:rPr>
          <w:fldChar w:fldCharType="end"/>
        </w:r>
      </w:hyperlink>
    </w:p>
    <w:p w14:paraId="7F7DBB7E" w14:textId="50EDE476" w:rsidR="00ED71A8" w:rsidRPr="00CA2975" w:rsidRDefault="00ED71A8" w:rsidP="00CA2975">
      <w:pPr>
        <w:pStyle w:val="TOC1"/>
        <w:spacing w:before="0" w:after="0"/>
        <w:rPr>
          <w:rFonts w:asciiTheme="minorHAnsi" w:eastAsiaTheme="minorEastAsia" w:hAnsiTheme="minorHAnsi"/>
          <w:noProof/>
          <w:kern w:val="2"/>
          <w:sz w:val="20"/>
          <w:szCs w:val="20"/>
          <w:lang w:val="en-US"/>
          <w14:ligatures w14:val="standardContextual"/>
        </w:rPr>
      </w:pPr>
      <w:hyperlink w:anchor="_Toc233981385" w:history="1">
        <w:r w:rsidRPr="00CA2975">
          <w:rPr>
            <w:rStyle w:val="Hyperlink"/>
            <w:noProof/>
            <w:color w:val="auto"/>
            <w:sz w:val="28"/>
            <w:szCs w:val="18"/>
          </w:rPr>
          <w:t>Annex 4: Simple heating tools for extending the growing season</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_Toc233981385 \h </w:instrText>
        </w:r>
        <w:r w:rsidRPr="00CA2975">
          <w:rPr>
            <w:noProof/>
            <w:webHidden/>
            <w:sz w:val="28"/>
            <w:szCs w:val="18"/>
          </w:rPr>
        </w:r>
        <w:r w:rsidRPr="00CA2975">
          <w:rPr>
            <w:noProof/>
            <w:webHidden/>
            <w:sz w:val="28"/>
            <w:szCs w:val="18"/>
          </w:rPr>
          <w:fldChar w:fldCharType="separate"/>
        </w:r>
        <w:r w:rsidR="005B05A2">
          <w:rPr>
            <w:noProof/>
            <w:webHidden/>
            <w:sz w:val="28"/>
            <w:szCs w:val="18"/>
          </w:rPr>
          <w:t>116</w:t>
        </w:r>
        <w:r w:rsidRPr="00CA2975">
          <w:rPr>
            <w:noProof/>
            <w:webHidden/>
            <w:sz w:val="28"/>
            <w:szCs w:val="18"/>
          </w:rPr>
          <w:fldChar w:fldCharType="end"/>
        </w:r>
      </w:hyperlink>
    </w:p>
    <w:p w14:paraId="158ED819" w14:textId="44C2267B" w:rsidR="00ED71A8" w:rsidRPr="00CA2975" w:rsidRDefault="00ED71A8" w:rsidP="00CA2975">
      <w:pPr>
        <w:pStyle w:val="TOC1"/>
        <w:spacing w:before="0" w:after="0"/>
        <w:rPr>
          <w:rFonts w:asciiTheme="minorHAnsi" w:eastAsiaTheme="minorEastAsia" w:hAnsiTheme="minorHAnsi"/>
          <w:noProof/>
          <w:kern w:val="2"/>
          <w:sz w:val="20"/>
          <w:szCs w:val="20"/>
          <w:lang w:val="en-US"/>
          <w14:ligatures w14:val="standardContextual"/>
        </w:rPr>
      </w:pPr>
      <w:hyperlink w:anchor="_Toc233981386" w:history="1">
        <w:r w:rsidRPr="00CA2975">
          <w:rPr>
            <w:rStyle w:val="Hyperlink"/>
            <w:noProof/>
            <w:color w:val="auto"/>
            <w:sz w:val="28"/>
            <w:szCs w:val="18"/>
          </w:rPr>
          <w:t>Annex 5: Examples of artificial windbreaks for wind, hail and snow protection</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_Toc233981386 \h </w:instrText>
        </w:r>
        <w:r w:rsidRPr="00CA2975">
          <w:rPr>
            <w:noProof/>
            <w:webHidden/>
            <w:sz w:val="28"/>
            <w:szCs w:val="18"/>
          </w:rPr>
        </w:r>
        <w:r w:rsidRPr="00CA2975">
          <w:rPr>
            <w:noProof/>
            <w:webHidden/>
            <w:sz w:val="28"/>
            <w:szCs w:val="18"/>
          </w:rPr>
          <w:fldChar w:fldCharType="separate"/>
        </w:r>
        <w:r w:rsidR="005B05A2">
          <w:rPr>
            <w:noProof/>
            <w:webHidden/>
            <w:sz w:val="28"/>
            <w:szCs w:val="18"/>
          </w:rPr>
          <w:t>117</w:t>
        </w:r>
        <w:r w:rsidRPr="00CA2975">
          <w:rPr>
            <w:noProof/>
            <w:webHidden/>
            <w:sz w:val="28"/>
            <w:szCs w:val="18"/>
          </w:rPr>
          <w:fldChar w:fldCharType="end"/>
        </w:r>
      </w:hyperlink>
    </w:p>
    <w:p w14:paraId="2404EC5C" w14:textId="43D784F1" w:rsidR="00ED71A8" w:rsidRPr="00CA2975" w:rsidRDefault="00ED71A8" w:rsidP="00CA2975">
      <w:pPr>
        <w:pStyle w:val="TOC1"/>
        <w:spacing w:before="0" w:after="0"/>
        <w:rPr>
          <w:rFonts w:asciiTheme="minorHAnsi" w:eastAsiaTheme="minorEastAsia" w:hAnsiTheme="minorHAnsi"/>
          <w:noProof/>
          <w:kern w:val="2"/>
          <w:sz w:val="20"/>
          <w:szCs w:val="20"/>
          <w:lang w:val="en-US"/>
          <w14:ligatures w14:val="standardContextual"/>
        </w:rPr>
      </w:pPr>
      <w:hyperlink w:anchor="_Toc233981387" w:history="1">
        <w:r w:rsidRPr="00CA2975">
          <w:rPr>
            <w:rStyle w:val="Hyperlink"/>
            <w:noProof/>
            <w:color w:val="auto"/>
            <w:sz w:val="28"/>
            <w:szCs w:val="18"/>
          </w:rPr>
          <w:t>Annex 6: Application of solar energy in agriculture</w:t>
        </w:r>
        <w:r w:rsidRPr="00CA2975">
          <w:rPr>
            <w:noProof/>
            <w:webHidden/>
            <w:sz w:val="28"/>
            <w:szCs w:val="18"/>
          </w:rPr>
          <w:tab/>
        </w:r>
        <w:r w:rsidRPr="00CA2975">
          <w:rPr>
            <w:noProof/>
            <w:webHidden/>
            <w:sz w:val="28"/>
            <w:szCs w:val="18"/>
          </w:rPr>
          <w:fldChar w:fldCharType="begin"/>
        </w:r>
        <w:r w:rsidRPr="00CA2975">
          <w:rPr>
            <w:noProof/>
            <w:webHidden/>
            <w:sz w:val="28"/>
            <w:szCs w:val="18"/>
          </w:rPr>
          <w:instrText xml:space="preserve"> PAGEREF _Toc233981387 \h </w:instrText>
        </w:r>
        <w:r w:rsidRPr="00CA2975">
          <w:rPr>
            <w:noProof/>
            <w:webHidden/>
            <w:sz w:val="28"/>
            <w:szCs w:val="18"/>
          </w:rPr>
        </w:r>
        <w:r w:rsidRPr="00CA2975">
          <w:rPr>
            <w:noProof/>
            <w:webHidden/>
            <w:sz w:val="28"/>
            <w:szCs w:val="18"/>
          </w:rPr>
          <w:fldChar w:fldCharType="separate"/>
        </w:r>
        <w:r w:rsidR="005B05A2">
          <w:rPr>
            <w:noProof/>
            <w:webHidden/>
            <w:sz w:val="28"/>
            <w:szCs w:val="18"/>
          </w:rPr>
          <w:t>118</w:t>
        </w:r>
        <w:r w:rsidRPr="00CA2975">
          <w:rPr>
            <w:noProof/>
            <w:webHidden/>
            <w:sz w:val="28"/>
            <w:szCs w:val="18"/>
          </w:rPr>
          <w:fldChar w:fldCharType="end"/>
        </w:r>
      </w:hyperlink>
    </w:p>
    <w:p w14:paraId="2A12A591" w14:textId="6BEC3E84" w:rsidR="0010058D" w:rsidRPr="00E35798" w:rsidRDefault="0010058D" w:rsidP="00EB489E">
      <w:r w:rsidRPr="00CA2975">
        <w:rPr>
          <w:sz w:val="28"/>
          <w:szCs w:val="18"/>
        </w:rPr>
        <w:fldChar w:fldCharType="end"/>
      </w:r>
      <w:r>
        <w:br w:type="page"/>
      </w:r>
    </w:p>
    <w:p w14:paraId="326476E6" w14:textId="47EA5E83" w:rsidR="008041E6" w:rsidRPr="00E35798" w:rsidRDefault="008041E6" w:rsidP="00D16E24">
      <w:pPr>
        <w:pStyle w:val="OikoSectionHeading1"/>
        <w:spacing w:line="240" w:lineRule="auto"/>
        <w:contextualSpacing w:val="0"/>
      </w:pPr>
      <w:bookmarkStart w:id="0" w:name="_Toc233981229"/>
      <w:r>
        <w:lastRenderedPageBreak/>
        <w:t>Executive Summary</w:t>
      </w:r>
      <w:bookmarkEnd w:id="0"/>
    </w:p>
    <w:p w14:paraId="03C3AEFA" w14:textId="77777777" w:rsidR="00F26EB8" w:rsidRPr="00F26EB8" w:rsidRDefault="00F26EB8" w:rsidP="00EB489E">
      <w:r>
        <w:t xml:space="preserve">Mongolia is among the countries most exposed to climate change, and its smallholder vegetable producers are among the most vulnerable to the resulting water scarcity, wind erosion and compression of an already short growing season. This report is the feasibility and technology assessment prepared under Output 1.2 of a Technical Assistance delivered through the Climate Technology Centre and Network and implemented by OIKO LOGICA S.L., which aims to reduce that vulnerability in Dundgovi and Uvurkhangai </w:t>
      </w:r>
      <w:proofErr w:type="spellStart"/>
      <w:r>
        <w:t>aimags</w:t>
      </w:r>
      <w:proofErr w:type="spellEnd"/>
      <w:r>
        <w:t xml:space="preserve"> by combining ecosystem-based adaptation with digitalised crop insurance. Its task is to identify the technologies that are technically suitable and operationally realistic for these farmers, and to define the packages and assumptions for the cost-benefit analysis presented in the companion report under Output 1.3.</w:t>
      </w:r>
    </w:p>
    <w:p w14:paraId="4CD9ACEA" w14:textId="77777777" w:rsidR="00CA2975" w:rsidRDefault="00CA2975" w:rsidP="00EB489E"/>
    <w:p w14:paraId="051C622C" w14:textId="78075876" w:rsidR="00F26EB8" w:rsidRPr="00F26EB8" w:rsidRDefault="00F26EB8" w:rsidP="00EB489E">
      <w:r w:rsidRPr="008901F1">
        <w:rPr>
          <w:b/>
          <w:bCs/>
        </w:rPr>
        <w:t>Four technology families were assessed — greenhouses, irrigation, agroforestry and enabling energy</w:t>
      </w:r>
      <w:r>
        <w:t xml:space="preserve"> — each screened through a multi-criteria assessment against climate suitability, water efficiency, technical feasibility, affordability, resilience and scalability, and then filtered against the realities of extreme aridity and smallholder capacity. The analysis draws on a desk review of national data, a field mission to both </w:t>
      </w:r>
      <w:proofErr w:type="spellStart"/>
      <w:r>
        <w:t>aimags</w:t>
      </w:r>
      <w:proofErr w:type="spellEnd"/>
      <w:r>
        <w:t>, and consultation with national and international stakeholders.</w:t>
      </w:r>
    </w:p>
    <w:p w14:paraId="74142970" w14:textId="77777777" w:rsidR="00926DAA" w:rsidRDefault="00CF1518">
      <w:pPr>
        <w:spacing w:before="120" w:after="120" w:line="240" w:lineRule="auto"/>
        <w:contextualSpacing w:val="0"/>
      </w:pPr>
      <w:r>
        <w:t xml:space="preserve">The enabling context supports these investments. Mongolia’s policy architecture — from Vision 2050 and the New Recovery Policy to the Nationally Determined Contribution, the National Adaptation Plan and the food-security programmes — explicitly promotes protected horticulture, efficient irrigation, renewable energy and afforestation, although solar-powered irrigation is not yet treated as an integrated concept in any policy document and gaps remain in technical standards and insurance regulation. The market rationale is equally strong: national demand is growing, an import gap of roughly 125 thousand tonnes of fresh vegetables a year offers a clear substitution target, and the collapse of domestic supply outside the short summer season creates an off-season price premium that protected cultivation is uniquely placed to capture. </w:t>
      </w:r>
      <w:r w:rsidRPr="00A74BF4">
        <w:rPr>
          <w:b/>
          <w:bCs/>
        </w:rPr>
        <w:t>The beneficiary analysis differentiates the target smallholders into three investment-capacity tiers</w:t>
      </w:r>
      <w:r>
        <w:t xml:space="preserve"> and matches each tier to an affordable entry point, from low-cost drip kits to cooperative greenhouse clusters, so that the recommendations remain implementable across the range of farm households the project is meant to serve.</w:t>
      </w:r>
    </w:p>
    <w:p w14:paraId="2CEEF20D" w14:textId="77777777" w:rsidR="00F26EB8" w:rsidRPr="00F26EB8" w:rsidRDefault="00F26EB8" w:rsidP="00EB489E">
      <w:r>
        <w:t xml:space="preserve">The assessment converges on a compact, mutually reinforcing shortlist. Protected production is best delivered by earth-sheltered passive-solar greenhouses, upgraded to third-generation designs that permit two harvests a season. Water is supplied by solar-powered pumping with drip irrigation, managed collectively through water-users’ associations. Nature-based protection is provided by multifunctional shelterbelts, identified as the foundational, first-priority intervention in both provinces; oasis-type </w:t>
      </w:r>
      <w:proofErr w:type="spellStart"/>
      <w:r>
        <w:t>agro-silvo</w:t>
      </w:r>
      <w:proofErr w:type="spellEnd"/>
      <w:r>
        <w:t xml:space="preserve"> systems integrating fruit trees and berries are recommended as a second, higher-value layer where water and capacity allow. Solar photovoltaics is the enabling energy source, and digitalised index-based insurance provides a complementary financial risk-transfer layer — although the analysis is clear that insurance alone, without the underlying productivity and resilience investments, is not sufficient.</w:t>
      </w:r>
    </w:p>
    <w:p w14:paraId="76F62759" w14:textId="77777777" w:rsidR="00CA2975" w:rsidRDefault="00CA2975" w:rsidP="00EB489E"/>
    <w:p w14:paraId="65C89BCF" w14:textId="55CB6533" w:rsidR="00F26EB8" w:rsidRPr="00F26EB8" w:rsidRDefault="00F26EB8" w:rsidP="00EB489E">
      <w:r w:rsidRPr="00195D7B">
        <w:rPr>
          <w:b/>
          <w:bCs/>
        </w:rPr>
        <w:t>A central conclusion is that these technologies deliver most as an integrated package rather than in isolation</w:t>
      </w:r>
      <w:r>
        <w:t xml:space="preserve">: shelterbelts protect greenhouses and reduce irrigation demand, and solar pumping secures the water that establishes the agroforestry. </w:t>
      </w:r>
      <w:r w:rsidRPr="00207B01">
        <w:rPr>
          <w:b/>
          <w:bCs/>
        </w:rPr>
        <w:t>The two provinces require different emphases</w:t>
      </w:r>
      <w:r>
        <w:t>. Dundgovi, in the semi-desert Gobi belt, calls for a protection-first package built around wind and water; Uvurkhangai, with better soils and greater water availability, supports a “protect and diversify” package that adds fruit-tree and berry production.</w:t>
      </w:r>
    </w:p>
    <w:p w14:paraId="13CBE175" w14:textId="77777777" w:rsidR="00CA2975" w:rsidRDefault="00CA2975" w:rsidP="00EB489E"/>
    <w:p w14:paraId="5C0E5227" w14:textId="41C0FC06" w:rsidR="00F26EB8" w:rsidRPr="00F26EB8" w:rsidRDefault="00F26EB8" w:rsidP="00EB489E">
      <w:r>
        <w:t>The economic analysis in the companion report shows that the greenhouse is the decisive value driver: only packages that contain it are financially attractive. The integrated package is robustly viable in Uvurkhangai (with a net present value of roughly USD 15,600 and an internal rate of return near 43</w:t>
      </w:r>
      <w:r w:rsidR="00CA0C4B">
        <w:t>%</w:t>
      </w:r>
      <w:r>
        <w:t xml:space="preserve">), and viable in Dundgovi provided the low-cost passive-solar greenhouse is used — the higher-specification polycarbonate structure makes the Dundgovi package unviable on financial grounds alone and is justified only with public co-financing. Because the shelterbelts supply the wind protection, the lower-cost greenhouse is technically adequate, which is precisely what makes the Dundgovi package work. </w:t>
      </w:r>
      <w:r w:rsidRPr="00096AFF">
        <w:rPr>
          <w:b/>
          <w:bCs/>
        </w:rPr>
        <w:t>Across both provinces, economic returns exceed financial returns once import-parity valuation and carbon co-benefits are counted, providing a clear rationale for public co-financing</w:t>
      </w:r>
      <w:r>
        <w:t>.</w:t>
      </w:r>
    </w:p>
    <w:p w14:paraId="602C31D9" w14:textId="77777777" w:rsidR="00CA2975" w:rsidRDefault="00CA2975" w:rsidP="00EB489E"/>
    <w:p w14:paraId="2464FC5C" w14:textId="0F74A461" w:rsidR="00ED71A8" w:rsidRDefault="00F26EB8" w:rsidP="00EB489E">
      <w:r>
        <w:t xml:space="preserve">The report therefore recommends deploying integrated, province-specific packages rather than stand-alone technologies; establishing shelterbelts as the foundational layer first; adopting the passive-solar greenhouse and solar-powered drip irrigation as the core productive investments; and using public co-financing to capture the economic and adaptation co-benefits, particularly in Dundgovi. Key parameters — greenhouse capital costs </w:t>
      </w:r>
      <w:r>
        <w:lastRenderedPageBreak/>
        <w:t>and yields, agroforestry establishment and survival rates, and the insurance structure — should be confirmed through field verification before scale-up. The shortlisted packages are carried forward to the full cost-benefit analysis in the companion report.</w:t>
      </w:r>
    </w:p>
    <w:p w14:paraId="3B66C493" w14:textId="77777777" w:rsidR="00ED71A8" w:rsidRDefault="00ED71A8">
      <w:pPr>
        <w:spacing w:after="160" w:line="259" w:lineRule="auto"/>
        <w:contextualSpacing w:val="0"/>
        <w:jc w:val="left"/>
      </w:pPr>
      <w:r>
        <w:br w:type="page"/>
      </w:r>
    </w:p>
    <w:p w14:paraId="77107E10" w14:textId="6B5757A5" w:rsidR="006343FD" w:rsidRPr="00E35798" w:rsidRDefault="00CC1067" w:rsidP="00D16E24">
      <w:pPr>
        <w:pStyle w:val="Heading1"/>
        <w:spacing w:line="240" w:lineRule="auto"/>
        <w:contextualSpacing w:val="0"/>
      </w:pPr>
      <w:bookmarkStart w:id="1" w:name="_Toc233981230"/>
      <w:r>
        <w:lastRenderedPageBreak/>
        <w:t>Introduction</w:t>
      </w:r>
      <w:bookmarkEnd w:id="1"/>
    </w:p>
    <w:p w14:paraId="4F271015" w14:textId="2F532C25" w:rsidR="00F26EB8" w:rsidRDefault="00F26EB8" w:rsidP="00F26EB8">
      <w:pPr>
        <w:pStyle w:val="Heading2"/>
      </w:pPr>
      <w:bookmarkStart w:id="2" w:name="_Toc233981231"/>
      <w:bookmarkStart w:id="3" w:name="_Toc207369717"/>
      <w:r>
        <w:t>Background and rationale</w:t>
      </w:r>
      <w:bookmarkEnd w:id="2"/>
    </w:p>
    <w:p w14:paraId="261AC09E" w14:textId="4AEC4B0C" w:rsidR="00F26EB8" w:rsidRPr="00F26EB8" w:rsidRDefault="00F26EB8" w:rsidP="00F26EB8">
      <w:pPr>
        <w:spacing w:before="120" w:after="120" w:line="240" w:lineRule="auto"/>
        <w:contextualSpacing w:val="0"/>
        <w:rPr>
          <w:rFonts w:eastAsia="Times New Roman" w:cs="Times New Roman"/>
        </w:rPr>
      </w:pPr>
      <w:r>
        <w:rPr>
          <w:rFonts w:eastAsia="Times New Roman" w:cs="Times New Roman"/>
        </w:rPr>
        <w:t xml:space="preserve">Mongolia is among the countries most exposed to climate change. Mean annual air temperature has risen by well over two degrees Celsius since the middle of the twentieth century — appreciably faster than the global average — and the warming is accompanied by more frequent droughts, </w:t>
      </w:r>
      <w:proofErr w:type="spellStart"/>
      <w:r>
        <w:rPr>
          <w:rFonts w:eastAsia="Times New Roman" w:cs="Times New Roman"/>
        </w:rPr>
        <w:t>dzuds</w:t>
      </w:r>
      <w:proofErr w:type="spellEnd"/>
      <w:r>
        <w:rPr>
          <w:rFonts w:eastAsia="Times New Roman" w:cs="Times New Roman"/>
        </w:rPr>
        <w:t xml:space="preserve"> (extreme winters), heatwaves, dust storms and erratic precipitation. These trends act on a landscape already marked by aridity, fragile soils and advancing desertification, the greater part of the national territory being affected by land degradation to some degree.</w:t>
      </w:r>
      <w:r>
        <w:rPr>
          <w:rFonts w:eastAsia="Times New Roman" w:cs="Times New Roman"/>
          <w:vertAlign w:val="superscript"/>
        </w:rPr>
        <w:t xml:space="preserve">[28] </w:t>
      </w:r>
    </w:p>
    <w:p w14:paraId="6B5C3361" w14:textId="77777777" w:rsidR="00F26EB8" w:rsidRPr="00F26EB8" w:rsidRDefault="00F26EB8" w:rsidP="00F26EB8">
      <w:pPr>
        <w:spacing w:before="120" w:after="120" w:line="240" w:lineRule="auto"/>
        <w:contextualSpacing w:val="0"/>
        <w:rPr>
          <w:rFonts w:eastAsia="Times New Roman" w:cs="Times New Roman"/>
        </w:rPr>
      </w:pPr>
      <w:r>
        <w:rPr>
          <w:rFonts w:eastAsia="Times New Roman" w:cs="Times New Roman"/>
        </w:rPr>
        <w:t xml:space="preserve">Agriculture is highly sensitive to these pressures, and smallholder vegetable producers are among the most exposed. In the two target </w:t>
      </w:r>
      <w:proofErr w:type="spellStart"/>
      <w:r>
        <w:rPr>
          <w:rFonts w:eastAsia="Times New Roman" w:cs="Times New Roman"/>
        </w:rPr>
        <w:t>aimags</w:t>
      </w:r>
      <w:proofErr w:type="spellEnd"/>
      <w:r>
        <w:rPr>
          <w:rFonts w:eastAsia="Times New Roman" w:cs="Times New Roman"/>
        </w:rPr>
        <w:t xml:space="preserve"> — Dundgovi, in the semi-desert Gobi belt, and Uvurkhangai, in the forest-steppe and steppe transition — vegetable cultivation is constrained by short growing seasons, water scarcity, strong winds and wind erosion, and limited protective infrastructure. Yields are volatile and incomes precarious, and the sector remains marginal despite a persistent national supply gap: Mongolia still imports a substantial share of the vegetables it consumes, so strengthening domestic smallholder production carries food-security as well as livelihood benefits. Chapter 6 quantifies this market and supply gap in detail.</w:t>
      </w:r>
    </w:p>
    <w:p w14:paraId="614E4350" w14:textId="4B2C0E9B" w:rsidR="00F26EB8" w:rsidRDefault="00F26EB8" w:rsidP="00F26EB8">
      <w:pPr>
        <w:spacing w:before="120" w:after="120" w:line="240" w:lineRule="auto"/>
        <w:contextualSpacing w:val="0"/>
        <w:rPr>
          <w:rFonts w:eastAsia="Times New Roman" w:cs="Times New Roman"/>
        </w:rPr>
      </w:pPr>
      <w:r>
        <w:rPr>
          <w:rFonts w:eastAsia="Times New Roman" w:cs="Times New Roman"/>
        </w:rPr>
        <w:t xml:space="preserve">Improving the climate resilience of these systems is therefore both an adaptation priority and a development opportunity. It is an explicit commitment under Mongolia’s Nationally Determined </w:t>
      </w:r>
      <w:proofErr w:type="gramStart"/>
      <w:r>
        <w:rPr>
          <w:rFonts w:eastAsia="Times New Roman" w:cs="Times New Roman"/>
        </w:rPr>
        <w:t>Contribution</w:t>
      </w:r>
      <w:r>
        <w:rPr>
          <w:rFonts w:eastAsia="Times New Roman" w:cs="Times New Roman"/>
          <w:vertAlign w:val="superscript"/>
        </w:rPr>
        <w:t>[</w:t>
      </w:r>
      <w:proofErr w:type="gramEnd"/>
      <w:r>
        <w:rPr>
          <w:rFonts w:eastAsia="Times New Roman" w:cs="Times New Roman"/>
          <w:vertAlign w:val="superscript"/>
        </w:rPr>
        <w:t>33]</w:t>
      </w:r>
      <w:r>
        <w:rPr>
          <w:rFonts w:eastAsia="Times New Roman" w:cs="Times New Roman"/>
        </w:rPr>
        <w:t xml:space="preserve"> and National Adaptation </w:t>
      </w:r>
      <w:proofErr w:type="gramStart"/>
      <w:r>
        <w:rPr>
          <w:rFonts w:eastAsia="Times New Roman" w:cs="Times New Roman"/>
        </w:rPr>
        <w:t>Plan</w:t>
      </w:r>
      <w:r>
        <w:rPr>
          <w:rFonts w:eastAsia="Times New Roman" w:cs="Times New Roman"/>
          <w:vertAlign w:val="superscript"/>
        </w:rPr>
        <w:t>[</w:t>
      </w:r>
      <w:proofErr w:type="gramEnd"/>
      <w:r>
        <w:rPr>
          <w:rFonts w:eastAsia="Times New Roman" w:cs="Times New Roman"/>
          <w:vertAlign w:val="superscript"/>
        </w:rPr>
        <w:t>32]</w:t>
      </w:r>
      <w:r>
        <w:rPr>
          <w:rFonts w:eastAsia="Times New Roman" w:cs="Times New Roman"/>
        </w:rPr>
        <w:t xml:space="preserve">, and it aligns with the global goal on adaptation under the Paris </w:t>
      </w:r>
      <w:proofErr w:type="gramStart"/>
      <w:r>
        <w:rPr>
          <w:rFonts w:eastAsia="Times New Roman" w:cs="Times New Roman"/>
        </w:rPr>
        <w:t>Agreement</w:t>
      </w:r>
      <w:r>
        <w:rPr>
          <w:rFonts w:eastAsia="Times New Roman" w:cs="Times New Roman"/>
          <w:vertAlign w:val="superscript"/>
        </w:rPr>
        <w:t>[</w:t>
      </w:r>
      <w:proofErr w:type="gramEnd"/>
      <w:r>
        <w:rPr>
          <w:rFonts w:eastAsia="Times New Roman" w:cs="Times New Roman"/>
          <w:vertAlign w:val="superscript"/>
        </w:rPr>
        <w:t>67]</w:t>
      </w:r>
      <w:r>
        <w:rPr>
          <w:rFonts w:eastAsia="Times New Roman" w:cs="Times New Roman"/>
        </w:rPr>
        <w:t xml:space="preserve"> and with several Sustainable Development </w:t>
      </w:r>
      <w:proofErr w:type="gramStart"/>
      <w:r>
        <w:rPr>
          <w:rFonts w:eastAsia="Times New Roman" w:cs="Times New Roman"/>
        </w:rPr>
        <w:t>Goals</w:t>
      </w:r>
      <w:r>
        <w:rPr>
          <w:rFonts w:eastAsia="Times New Roman" w:cs="Times New Roman"/>
          <w:vertAlign w:val="superscript"/>
        </w:rPr>
        <w:t>[</w:t>
      </w:r>
      <w:proofErr w:type="gramEnd"/>
      <w:r>
        <w:rPr>
          <w:rFonts w:eastAsia="Times New Roman" w:cs="Times New Roman"/>
          <w:vertAlign w:val="superscript"/>
        </w:rPr>
        <w:t>65]</w:t>
      </w:r>
      <w:r>
        <w:rPr>
          <w:rFonts w:eastAsia="Times New Roman" w:cs="Times New Roman"/>
        </w:rPr>
        <w:t>.</w:t>
      </w:r>
    </w:p>
    <w:p w14:paraId="596096A5" w14:textId="44AC835A" w:rsidR="00F26EB8" w:rsidRDefault="00F26EB8" w:rsidP="00F26EB8">
      <w:pPr>
        <w:pStyle w:val="Heading2"/>
        <w:spacing w:before="360"/>
      </w:pPr>
      <w:bookmarkStart w:id="4" w:name="_Toc233981232"/>
      <w:r>
        <w:t>The technical assistance and its approach</w:t>
      </w:r>
      <w:bookmarkEnd w:id="4"/>
    </w:p>
    <w:p w14:paraId="12E8DD7A" w14:textId="77777777" w:rsidR="00F26EB8" w:rsidRPr="00F26EB8" w:rsidRDefault="00F26EB8" w:rsidP="00F26EB8">
      <w:pPr>
        <w:spacing w:before="120" w:after="120" w:line="240" w:lineRule="auto"/>
        <w:contextualSpacing w:val="0"/>
        <w:rPr>
          <w:rFonts w:eastAsia="Times New Roman" w:cs="Times New Roman"/>
        </w:rPr>
      </w:pPr>
      <w:r>
        <w:rPr>
          <w:rFonts w:eastAsia="Times New Roman" w:cs="Times New Roman"/>
        </w:rPr>
        <w:t xml:space="preserve">This report is prepared under a Technical Assistance provided to Mongolia through the Climate Technology Centre and Network (CTCN) — the operational arm of the UNFCCC Technology Mechanism, hosted by the UN Environment Programme — in response to a request submitted through the country’s National Designated Entity, and implemented by OIKO LOGICA S.L. Its goal is to reduce the vulnerability of smallholder vegetable farmers to climate change, and in particular to water scarcity, in Dundgovi and Uvurkhangai </w:t>
      </w:r>
      <w:proofErr w:type="spellStart"/>
      <w:r>
        <w:rPr>
          <w:rFonts w:eastAsia="Times New Roman" w:cs="Times New Roman"/>
        </w:rPr>
        <w:t>aimags</w:t>
      </w:r>
      <w:proofErr w:type="spellEnd"/>
      <w:r>
        <w:rPr>
          <w:rFonts w:eastAsia="Times New Roman" w:cs="Times New Roman"/>
        </w:rPr>
        <w:t>, by combining ecosystem-based adaptation with digitalised climate-risk insurance.</w:t>
      </w:r>
    </w:p>
    <w:p w14:paraId="17F11D18" w14:textId="5940FEED" w:rsidR="00F26EB8" w:rsidRDefault="00F26EB8" w:rsidP="00F26EB8">
      <w:pPr>
        <w:spacing w:before="120" w:after="120" w:line="240" w:lineRule="auto"/>
        <w:contextualSpacing w:val="0"/>
        <w:rPr>
          <w:rFonts w:eastAsia="Times New Roman" w:cs="Times New Roman"/>
        </w:rPr>
      </w:pPr>
      <w:r>
        <w:rPr>
          <w:rFonts w:eastAsia="Times New Roman" w:cs="Times New Roman"/>
        </w:rPr>
        <w:t>The Technical Assistance promotes four complementary, climate-resilient technologies: solar-powered water pumping and irrigation; climate-resilient greenhouse systems for season extension and protected production; agroforestry, principally multifunctional shelterbelts; and digitalised, index-based crop insurance as a financial risk-transfer layer. A premise developed throughout the report is that these technologies deliver most when deployed as an integrated package rather than in isolation — shelterbelts that protect greenhouses and reduce irrigation demand, and solar pumping that also secures the water needed to establish agroforestry.</w:t>
      </w:r>
    </w:p>
    <w:p w14:paraId="48E02F94" w14:textId="3BF24B56" w:rsidR="00F26EB8" w:rsidRDefault="00F26EB8" w:rsidP="00F26EB8">
      <w:pPr>
        <w:pStyle w:val="Heading2"/>
        <w:spacing w:before="360"/>
      </w:pPr>
      <w:bookmarkStart w:id="5" w:name="_Toc233981233"/>
      <w:r>
        <w:t>Objectives and scope of this report</w:t>
      </w:r>
      <w:bookmarkEnd w:id="5"/>
    </w:p>
    <w:p w14:paraId="4BBC0841" w14:textId="77777777" w:rsidR="00F26EB8" w:rsidRPr="00F26EB8" w:rsidRDefault="00F26EB8" w:rsidP="00F26EB8">
      <w:pPr>
        <w:spacing w:before="120" w:after="120" w:line="240" w:lineRule="auto"/>
        <w:contextualSpacing w:val="0"/>
        <w:rPr>
          <w:rFonts w:eastAsia="Times New Roman" w:cs="Times New Roman"/>
        </w:rPr>
      </w:pPr>
      <w:r>
        <w:rPr>
          <w:rFonts w:eastAsia="Times New Roman" w:cs="Times New Roman"/>
        </w:rPr>
        <w:t xml:space="preserve">This report is the feasibility and technology assessment delivered under Output 1.2 of the Technical Assistance. Its purpose is to identify the technology options that are technically suitable and operationally realistic for the target smallholders, and to define the technology packages and assumptions that the Cost-Benefit Analysis (CBA) under Output 1.3 will evaluate. It is organised around four guiding questions: which technologies are technically suitable for smallholder vegetable farmers in the two </w:t>
      </w:r>
      <w:proofErr w:type="spellStart"/>
      <w:r>
        <w:rPr>
          <w:rFonts w:eastAsia="Times New Roman" w:cs="Times New Roman"/>
        </w:rPr>
        <w:t>aimags</w:t>
      </w:r>
      <w:proofErr w:type="spellEnd"/>
      <w:r>
        <w:rPr>
          <w:rFonts w:eastAsia="Times New Roman" w:cs="Times New Roman"/>
        </w:rPr>
        <w:t>, and under what conditions each works; what the main design parameters, risks and enabling conditions are; which options should proceed to the CBA; and what assumptions that analysis should test.</w:t>
      </w:r>
    </w:p>
    <w:p w14:paraId="079587C6" w14:textId="77777777" w:rsidR="00F26EB8" w:rsidRPr="00F26EB8" w:rsidRDefault="00F26EB8" w:rsidP="00F26EB8">
      <w:pPr>
        <w:spacing w:before="120" w:after="120" w:line="240" w:lineRule="auto"/>
        <w:contextualSpacing w:val="0"/>
        <w:rPr>
          <w:rFonts w:eastAsia="Times New Roman" w:cs="Times New Roman"/>
        </w:rPr>
      </w:pPr>
      <w:r>
        <w:rPr>
          <w:rFonts w:eastAsia="Times New Roman" w:cs="Times New Roman"/>
        </w:rPr>
        <w:t>To answer them, the assignment establishes the biophysical, institutional and socio-economic baseline for the target systems; defines the target beneficiaries and farming systems; assesses the technical suitability of greenhouse, irrigation, agroforestry and enabling-energy options; applies a multi-criteria assessment to shortlist the most relevant options; defines province-specific technology packages; and provides the technical and preliminary economic basis for the CBA.</w:t>
      </w:r>
    </w:p>
    <w:p w14:paraId="4D232F49" w14:textId="23E95D6A" w:rsidR="00F26EB8" w:rsidRDefault="00F26EB8" w:rsidP="00F26EB8">
      <w:pPr>
        <w:spacing w:before="120" w:after="120" w:line="240" w:lineRule="auto"/>
        <w:contextualSpacing w:val="0"/>
        <w:rPr>
          <w:rFonts w:eastAsia="Times New Roman" w:cs="Times New Roman"/>
        </w:rPr>
      </w:pPr>
      <w:r>
        <w:rPr>
          <w:rFonts w:eastAsia="Times New Roman" w:cs="Times New Roman"/>
        </w:rPr>
        <w:lastRenderedPageBreak/>
        <w:t>The report deliberately stops short of the full financial and economic appraisal. The CBA itself — with calculations of net present value (NPV), internal rate of return (IRR), benefit–cost ratios (BCR), sensitivity analysis and economic valuation — is presented in a separate companion report under Output 1.3, to which this study hands off in Chapter 8.</w:t>
      </w:r>
    </w:p>
    <w:p w14:paraId="322A2939" w14:textId="3D0177A2" w:rsidR="00F26EB8" w:rsidRDefault="00F26EB8" w:rsidP="00F26EB8">
      <w:pPr>
        <w:pStyle w:val="Heading2"/>
        <w:spacing w:before="360"/>
      </w:pPr>
      <w:bookmarkStart w:id="6" w:name="_Toc233981234"/>
      <w:r>
        <w:t>Policy alignment</w:t>
      </w:r>
      <w:bookmarkEnd w:id="6"/>
    </w:p>
    <w:p w14:paraId="7593D73C" w14:textId="5B8452F1" w:rsidR="00F26EB8" w:rsidRDefault="00F26EB8" w:rsidP="00F26EB8">
      <w:pPr>
        <w:spacing w:before="120" w:after="120" w:line="240" w:lineRule="auto"/>
        <w:contextualSpacing w:val="0"/>
        <w:rPr>
          <w:rFonts w:eastAsia="Times New Roman" w:cs="Times New Roman"/>
        </w:rPr>
      </w:pPr>
      <w:r>
        <w:rPr>
          <w:rFonts w:eastAsia="Times New Roman" w:cs="Times New Roman"/>
        </w:rPr>
        <w:t>The interventions assessed here are consistent with Mongolia’s principal climate and development frameworks — including Vision 2050, the New Recovery Policy, the Nationally Determined Contribution and the National Adaptation Plan — and with international commitments under the Paris Agreement, the Convention on Biological Diversity, the UN Convention to Combat Desertification and the Sustainable Development Goals. Because the policy and institutional environment is central to the feasibility of these technologies, it is examined in detail in Chapter 3 and is not repeated here.</w:t>
      </w:r>
    </w:p>
    <w:p w14:paraId="4257400C" w14:textId="636FE767" w:rsidR="00F26EB8" w:rsidRDefault="00F26EB8" w:rsidP="00F26EB8">
      <w:pPr>
        <w:pStyle w:val="Heading2"/>
        <w:spacing w:before="360"/>
      </w:pPr>
      <w:bookmarkStart w:id="7" w:name="_Toc233981235"/>
      <w:r>
        <w:t>Structure of the report</w:t>
      </w:r>
      <w:bookmarkEnd w:id="7"/>
    </w:p>
    <w:p w14:paraId="31F949DF" w14:textId="7D0DDAB7" w:rsidR="00ED71A8" w:rsidRDefault="00601209" w:rsidP="00F26EB8">
      <w:pPr>
        <w:spacing w:before="120" w:after="120" w:line="240" w:lineRule="auto"/>
        <w:contextualSpacing w:val="0"/>
        <w:rPr>
          <w:rFonts w:eastAsia="Times New Roman" w:cs="Times New Roman"/>
        </w:rPr>
      </w:pPr>
      <w:r>
        <w:rPr>
          <w:rFonts w:eastAsia="Times New Roman" w:cs="Times New Roman"/>
        </w:rPr>
        <w:t xml:space="preserve">The report proceeds from framing and context to assessment and recommendations. Chapter 2 sets out the methodology and assessment framework. Chapter 3 analyses the policy and institutional context. Chapters 4 and 5 establish the biophysical baseline and </w:t>
      </w:r>
      <w:proofErr w:type="spellStart"/>
      <w:r>
        <w:rPr>
          <w:rFonts w:eastAsia="Times New Roman" w:cs="Times New Roman"/>
        </w:rPr>
        <w:t>agro</w:t>
      </w:r>
      <w:proofErr w:type="spellEnd"/>
      <w:r>
        <w:rPr>
          <w:rFonts w:eastAsia="Times New Roman" w:cs="Times New Roman"/>
        </w:rPr>
        <w:t>-ecological zonation, and the target beneficiaries and farming systems. Chapter 6 assesses the vegetable market and the domestic supply gap. Chapter 7 presents the technology-by-technology feasibility assessment, together with the comparative screening and shortlisting; Chapter 8 combines the shortlisted technologies into province-specific packages and defines the basis for the cost-benefit analysis; and Chapter 9 draws the conclusions and recommendations. The companion Output 1.3 report then carries the shortlisted packages through the full cost-benefit analysis.</w:t>
      </w:r>
    </w:p>
    <w:p w14:paraId="178C8968" w14:textId="77777777" w:rsidR="00ED71A8" w:rsidRDefault="00ED71A8">
      <w:pPr>
        <w:spacing w:after="160" w:line="259" w:lineRule="auto"/>
        <w:contextualSpacing w:val="0"/>
        <w:jc w:val="left"/>
        <w:rPr>
          <w:rFonts w:eastAsia="Times New Roman" w:cs="Times New Roman"/>
        </w:rPr>
      </w:pPr>
      <w:r>
        <w:rPr>
          <w:rFonts w:eastAsia="Times New Roman" w:cs="Times New Roman"/>
        </w:rPr>
        <w:br w:type="page"/>
      </w:r>
    </w:p>
    <w:p w14:paraId="0D083F54" w14:textId="01B79478" w:rsidR="00D21A13" w:rsidRPr="00E35798" w:rsidRDefault="0060365C" w:rsidP="00D16E24">
      <w:pPr>
        <w:pStyle w:val="Heading1"/>
        <w:spacing w:line="240" w:lineRule="auto"/>
        <w:contextualSpacing w:val="0"/>
      </w:pPr>
      <w:bookmarkStart w:id="8" w:name="_Toc224899667"/>
      <w:bookmarkStart w:id="9" w:name="_Toc233981236"/>
      <w:bookmarkEnd w:id="3"/>
      <w:bookmarkEnd w:id="8"/>
      <w:r>
        <w:lastRenderedPageBreak/>
        <w:t>Methodology and Assessment Framework</w:t>
      </w:r>
      <w:bookmarkEnd w:id="9"/>
    </w:p>
    <w:p w14:paraId="79BE2082" w14:textId="77674124" w:rsidR="00317BEA" w:rsidRPr="00E35798" w:rsidRDefault="00317BEA" w:rsidP="00601209">
      <w:pPr>
        <w:pStyle w:val="Heading2"/>
        <w:spacing w:before="240" w:line="240" w:lineRule="auto"/>
        <w:contextualSpacing w:val="0"/>
      </w:pPr>
      <w:bookmarkStart w:id="10" w:name="_Toc233981237"/>
      <w:r>
        <w:t>Overall assessment approach</w:t>
      </w:r>
      <w:bookmarkEnd w:id="10"/>
    </w:p>
    <w:p w14:paraId="17883692" w14:textId="77777777" w:rsidR="00601209" w:rsidRDefault="00601209" w:rsidP="00EB489E">
      <w:r>
        <w:t xml:space="preserve">The assessment follows a mixed-methods approach that combines a structured desk review, a field mission to the two target </w:t>
      </w:r>
      <w:proofErr w:type="spellStart"/>
      <w:r>
        <w:t>aimags</w:t>
      </w:r>
      <w:proofErr w:type="spellEnd"/>
      <w:r>
        <w:t xml:space="preserve">, stakeholder consultation, a multi-criteria technology screening, and a preliminary production-economics analysis. These elements feed a single decision logic: </w:t>
      </w:r>
      <w:proofErr w:type="gramStart"/>
      <w:r>
        <w:t>from a broad set of candidate technologies,</w:t>
      </w:r>
      <w:proofErr w:type="gramEnd"/>
      <w:r>
        <w:t xml:space="preserve"> to a shortlist established by multi-criteria assessment, to integrated province packages, to the assumptions required for the subsequent cost-benefit analysis.</w:t>
      </w:r>
    </w:p>
    <w:p w14:paraId="4A6AD89E" w14:textId="77777777" w:rsidR="00C920A7" w:rsidRDefault="00C920A7" w:rsidP="00EB489E"/>
    <w:p w14:paraId="695695CC" w14:textId="6CF9E8F4" w:rsidR="00A71886" w:rsidRDefault="00601209" w:rsidP="00EB489E">
      <w:r>
        <w:t>Across all technology categories, feasibility is judged through four analytical lenses — technical and production feasibility, economic feasibility, environmental and climate-resilience performance, and operational feasibility. Within each category, more specific criteria are applied to reflect the particular characteristics of greenhouse, irrigation, agroforestry and enabling-energy systems (Table 1). The analysis draws on expert judgement, published performance evidence, comparative analysis of cultivation systems, and preliminary cost and resource-efficiency considerations; more detailed monitoring-based indicators, such as yield tracking and resource-use recording, are left to the pilot-implementation phase.</w:t>
      </w:r>
    </w:p>
    <w:p w14:paraId="71BF82C0" w14:textId="77777777" w:rsidR="00ED71A8" w:rsidRDefault="00ED71A8" w:rsidP="00EB489E"/>
    <w:p w14:paraId="720FA166" w14:textId="4F3D78EC" w:rsidR="00601209" w:rsidRPr="00601209" w:rsidRDefault="00601209" w:rsidP="00ED71A8">
      <w:pPr>
        <w:pStyle w:val="Caption"/>
        <w:framePr w:wrap="notBeside"/>
      </w:pPr>
      <w:r>
        <w:t>Table 1. Key analytical lenses</w:t>
      </w:r>
    </w:p>
    <w:tbl>
      <w:tblPr>
        <w:tblStyle w:val="TableGrid"/>
        <w:tblW w:w="5000" w:type="pct"/>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1982"/>
        <w:gridCol w:w="2980"/>
        <w:gridCol w:w="4676"/>
      </w:tblGrid>
      <w:tr w:rsidR="00682B65" w:rsidRPr="00601209" w14:paraId="36349135" w14:textId="77777777" w:rsidTr="00ED71A8">
        <w:tc>
          <w:tcPr>
            <w:tcW w:w="1028" w:type="pct"/>
            <w:shd w:val="clear" w:color="auto" w:fill="E99E6D" w:themeFill="accent3"/>
            <w:vAlign w:val="center"/>
          </w:tcPr>
          <w:p w14:paraId="23B44DF3" w14:textId="35263E08" w:rsidR="00682B65" w:rsidRPr="00601209" w:rsidRDefault="00601209" w:rsidP="00ED71A8">
            <w:pPr>
              <w:pStyle w:val="OikoTables02"/>
            </w:pPr>
            <w:r w:rsidRPr="7E00F032">
              <w:rPr>
                <w:lang w:val="en-GB"/>
              </w:rPr>
              <w:t xml:space="preserve">Analytical </w:t>
            </w:r>
            <w:proofErr w:type="spellStart"/>
            <w:r w:rsidRPr="7E00F032">
              <w:rPr>
                <w:lang w:val="en-GB"/>
              </w:rPr>
              <w:t>lense</w:t>
            </w:r>
            <w:proofErr w:type="spellEnd"/>
          </w:p>
        </w:tc>
        <w:tc>
          <w:tcPr>
            <w:tcW w:w="1546" w:type="pct"/>
            <w:shd w:val="clear" w:color="auto" w:fill="E99E6D" w:themeFill="accent3"/>
            <w:vAlign w:val="center"/>
          </w:tcPr>
          <w:p w14:paraId="571F33AD" w14:textId="28DE911E" w:rsidR="00682B65" w:rsidRPr="00601209" w:rsidRDefault="00DF337F" w:rsidP="00ED71A8">
            <w:pPr>
              <w:pStyle w:val="OikoTables02"/>
            </w:pPr>
            <w:r>
              <w:t>Description</w:t>
            </w:r>
          </w:p>
        </w:tc>
        <w:tc>
          <w:tcPr>
            <w:tcW w:w="2426" w:type="pct"/>
            <w:shd w:val="clear" w:color="auto" w:fill="E99E6D" w:themeFill="accent3"/>
            <w:vAlign w:val="center"/>
          </w:tcPr>
          <w:p w14:paraId="630E49DD" w14:textId="0F8D8B6A" w:rsidR="00682B65" w:rsidRPr="00601209" w:rsidRDefault="007A7323" w:rsidP="00ED71A8">
            <w:pPr>
              <w:pStyle w:val="OikoTables02"/>
            </w:pPr>
            <w:r w:rsidRPr="7E00F032">
              <w:rPr>
                <w:lang w:val="en-GB"/>
              </w:rPr>
              <w:t xml:space="preserve">Technology-specific Criteria </w:t>
            </w:r>
            <w:proofErr w:type="gramStart"/>
            <w:r w:rsidRPr="7E00F032">
              <w:rPr>
                <w:lang w:val="en-GB"/>
              </w:rPr>
              <w:t>for  MCA</w:t>
            </w:r>
            <w:proofErr w:type="gramEnd"/>
          </w:p>
        </w:tc>
      </w:tr>
      <w:tr w:rsidR="00682B65" w:rsidRPr="00601209" w14:paraId="23E7CCB7" w14:textId="77777777" w:rsidTr="00ED71A8">
        <w:tc>
          <w:tcPr>
            <w:tcW w:w="1028" w:type="pct"/>
            <w:vAlign w:val="center"/>
          </w:tcPr>
          <w:p w14:paraId="19B363A4" w14:textId="236B7BA8" w:rsidR="00682B65" w:rsidRPr="00ED71A8" w:rsidRDefault="00682B65" w:rsidP="00ED71A8">
            <w:pPr>
              <w:pStyle w:val="OikoTables03Content"/>
            </w:pPr>
            <w:r w:rsidRPr="00ED71A8">
              <w:t xml:space="preserve">Technical and production feasibility </w:t>
            </w:r>
          </w:p>
        </w:tc>
        <w:tc>
          <w:tcPr>
            <w:tcW w:w="1546" w:type="pct"/>
            <w:vAlign w:val="center"/>
          </w:tcPr>
          <w:p w14:paraId="120245B3" w14:textId="04ED7AC8" w:rsidR="00682B65" w:rsidRPr="00ED71A8" w:rsidRDefault="00682B65" w:rsidP="00ED71A8">
            <w:pPr>
              <w:pStyle w:val="OikoTables03Content"/>
            </w:pPr>
            <w:r w:rsidRPr="00ED71A8">
              <w:t>Assess whether each technology can function effectively under local climatic, soil, wind, and water conditions.</w:t>
            </w:r>
          </w:p>
        </w:tc>
        <w:tc>
          <w:tcPr>
            <w:tcW w:w="2426" w:type="pct"/>
            <w:vAlign w:val="center"/>
          </w:tcPr>
          <w:p w14:paraId="5E89263F" w14:textId="60F9F01F" w:rsidR="009456B5" w:rsidRPr="00ED71A8" w:rsidRDefault="009456B5" w:rsidP="00ED71A8">
            <w:pPr>
              <w:pStyle w:val="OikoTables07"/>
            </w:pPr>
            <w:r w:rsidRPr="00ED71A8">
              <w:t>review of expected yield production performance under local conditions (kg/m²)</w:t>
            </w:r>
          </w:p>
          <w:p w14:paraId="5E7377F1" w14:textId="226A2E91" w:rsidR="004A147F" w:rsidRPr="00ED71A8" w:rsidRDefault="004A147F" w:rsidP="00ED71A8">
            <w:pPr>
              <w:pStyle w:val="OikoTables07"/>
            </w:pPr>
            <w:r w:rsidRPr="00ED71A8">
              <w:t>climate suitability</w:t>
            </w:r>
          </w:p>
          <w:p w14:paraId="0ECD5216" w14:textId="77777777" w:rsidR="004A147F" w:rsidRPr="00ED71A8" w:rsidRDefault="004A147F" w:rsidP="00ED71A8">
            <w:pPr>
              <w:pStyle w:val="OikoTables07"/>
            </w:pPr>
            <w:r w:rsidRPr="00ED71A8">
              <w:t>resource efficiency</w:t>
            </w:r>
          </w:p>
          <w:p w14:paraId="75D2E14B" w14:textId="77777777" w:rsidR="004A147F" w:rsidRPr="00ED71A8" w:rsidRDefault="004A147F" w:rsidP="00ED71A8">
            <w:pPr>
              <w:pStyle w:val="OikoTables07"/>
            </w:pPr>
            <w:r w:rsidRPr="00ED71A8">
              <w:t>comparison of cultivation systems</w:t>
            </w:r>
          </w:p>
          <w:p w14:paraId="7C38A390" w14:textId="35A3F31F" w:rsidR="00522C46" w:rsidRPr="00ED71A8" w:rsidRDefault="274B7260" w:rsidP="00ED71A8">
            <w:pPr>
              <w:pStyle w:val="OikoTables07"/>
            </w:pPr>
            <w:r w:rsidRPr="00ED71A8">
              <w:t>indicative resource-use efficiency</w:t>
            </w:r>
          </w:p>
        </w:tc>
      </w:tr>
      <w:tr w:rsidR="008865CA" w:rsidRPr="00601209" w14:paraId="4523E1ED" w14:textId="77777777" w:rsidTr="00ED71A8">
        <w:tc>
          <w:tcPr>
            <w:tcW w:w="1028" w:type="pct"/>
            <w:vAlign w:val="center"/>
          </w:tcPr>
          <w:p w14:paraId="4A6DBFC9" w14:textId="16BDFA72" w:rsidR="008865CA" w:rsidRPr="00ED71A8" w:rsidRDefault="00D735CF" w:rsidP="00ED71A8">
            <w:pPr>
              <w:pStyle w:val="OikoTables03Content"/>
            </w:pPr>
            <w:r w:rsidRPr="00ED71A8">
              <w:t>Environmental and resilience performance</w:t>
            </w:r>
          </w:p>
        </w:tc>
        <w:tc>
          <w:tcPr>
            <w:tcW w:w="1546" w:type="pct"/>
            <w:vAlign w:val="center"/>
          </w:tcPr>
          <w:p w14:paraId="6F636F90" w14:textId="4B475258" w:rsidR="008865CA" w:rsidRPr="00ED71A8" w:rsidRDefault="503E8362" w:rsidP="00ED71A8">
            <w:pPr>
              <w:pStyle w:val="OikoTables03Content"/>
            </w:pPr>
            <w:r w:rsidRPr="00ED71A8">
              <w:t xml:space="preserve">Assessment of water quality </w:t>
            </w:r>
          </w:p>
        </w:tc>
        <w:tc>
          <w:tcPr>
            <w:tcW w:w="2426" w:type="pct"/>
            <w:vAlign w:val="center"/>
          </w:tcPr>
          <w:p w14:paraId="0E657100" w14:textId="77777777" w:rsidR="00D735CF" w:rsidRPr="00ED71A8" w:rsidRDefault="00D735CF" w:rsidP="00ED71A8">
            <w:pPr>
              <w:pStyle w:val="OikoTables07"/>
            </w:pPr>
            <w:r w:rsidRPr="00ED71A8">
              <w:t>water sustainability considerations</w:t>
            </w:r>
          </w:p>
          <w:p w14:paraId="64ACCEC9" w14:textId="77777777" w:rsidR="00D735CF" w:rsidRPr="00ED71A8" w:rsidRDefault="00D735CF" w:rsidP="00ED71A8">
            <w:pPr>
              <w:pStyle w:val="OikoTables07"/>
            </w:pPr>
            <w:r w:rsidRPr="00ED71A8">
              <w:t>resilience to drought, frost, and wind</w:t>
            </w:r>
          </w:p>
          <w:p w14:paraId="5485E14A" w14:textId="77777777" w:rsidR="00D735CF" w:rsidRPr="00ED71A8" w:rsidRDefault="00D735CF" w:rsidP="00ED71A8">
            <w:pPr>
              <w:pStyle w:val="OikoTables07"/>
            </w:pPr>
            <w:r w:rsidRPr="00ED71A8">
              <w:t>high-level environmental screening</w:t>
            </w:r>
          </w:p>
          <w:p w14:paraId="54BBD695" w14:textId="2F20BFC8" w:rsidR="008865CA" w:rsidRPr="00ED71A8" w:rsidRDefault="00D735CF" w:rsidP="00ED71A8">
            <w:pPr>
              <w:pStyle w:val="OikoTables07"/>
            </w:pPr>
            <w:r w:rsidRPr="00ED71A8">
              <w:t>soil and moisture conservation considerations</w:t>
            </w:r>
          </w:p>
        </w:tc>
      </w:tr>
      <w:tr w:rsidR="00682B65" w:rsidRPr="00601209" w14:paraId="334D57A5" w14:textId="77777777" w:rsidTr="00ED71A8">
        <w:tc>
          <w:tcPr>
            <w:tcW w:w="1028" w:type="pct"/>
            <w:vAlign w:val="center"/>
          </w:tcPr>
          <w:p w14:paraId="0EA556A2" w14:textId="3DAD01EC" w:rsidR="00682B65" w:rsidRPr="00ED71A8" w:rsidRDefault="00682B65" w:rsidP="00ED71A8">
            <w:pPr>
              <w:pStyle w:val="OikoTables03Content"/>
            </w:pPr>
            <w:r w:rsidRPr="00ED71A8">
              <w:t xml:space="preserve">Operational feasibility </w:t>
            </w:r>
          </w:p>
        </w:tc>
        <w:tc>
          <w:tcPr>
            <w:tcW w:w="1546" w:type="pct"/>
            <w:vAlign w:val="center"/>
          </w:tcPr>
          <w:p w14:paraId="77F949A2" w14:textId="6E3AB6C7" w:rsidR="00682B65" w:rsidRPr="00ED71A8" w:rsidRDefault="0033545B" w:rsidP="00ED71A8">
            <w:pPr>
              <w:pStyle w:val="OikoTables03Content"/>
            </w:pPr>
            <w:r w:rsidRPr="7E00F032">
              <w:rPr>
                <w:lang w:val="en-GB"/>
              </w:rPr>
              <w:t>Assess whether the technology can realistically be adopted, operated, and maintained by smallholder farmers and local institutions.</w:t>
            </w:r>
          </w:p>
        </w:tc>
        <w:tc>
          <w:tcPr>
            <w:tcW w:w="2426" w:type="pct"/>
            <w:vAlign w:val="center"/>
          </w:tcPr>
          <w:p w14:paraId="670195FE" w14:textId="77777777" w:rsidR="00D735CF" w:rsidRPr="00ED71A8" w:rsidRDefault="00D735CF" w:rsidP="00ED71A8">
            <w:pPr>
              <w:pStyle w:val="OikoTables07"/>
            </w:pPr>
            <w:r w:rsidRPr="00ED71A8">
              <w:t>technical simplicity</w:t>
            </w:r>
          </w:p>
          <w:p w14:paraId="42E42A5C" w14:textId="77777777" w:rsidR="00D735CF" w:rsidRPr="00ED71A8" w:rsidRDefault="00D735CF" w:rsidP="00ED71A8">
            <w:pPr>
              <w:pStyle w:val="OikoTables07"/>
            </w:pPr>
            <w:r w:rsidRPr="00ED71A8">
              <w:t>operation and maintenance requirements</w:t>
            </w:r>
          </w:p>
          <w:p w14:paraId="4639D347" w14:textId="77777777" w:rsidR="00D735CF" w:rsidRPr="00ED71A8" w:rsidRDefault="00D735CF" w:rsidP="00ED71A8">
            <w:pPr>
              <w:pStyle w:val="OikoTables07"/>
            </w:pPr>
            <w:r w:rsidRPr="00ED71A8">
              <w:t>smallholder manageability</w:t>
            </w:r>
          </w:p>
          <w:p w14:paraId="318AC250" w14:textId="18C5E01E" w:rsidR="00682B65" w:rsidRPr="00ED71A8" w:rsidRDefault="00D735CF" w:rsidP="00ED71A8">
            <w:pPr>
              <w:pStyle w:val="OikoTables07"/>
            </w:pPr>
            <w:r w:rsidRPr="00ED71A8">
              <w:t>institutional / service support needs</w:t>
            </w:r>
          </w:p>
        </w:tc>
      </w:tr>
      <w:tr w:rsidR="00682B65" w:rsidRPr="00601209" w14:paraId="2AEC0380" w14:textId="77777777" w:rsidTr="00ED71A8">
        <w:tc>
          <w:tcPr>
            <w:tcW w:w="1028" w:type="pct"/>
            <w:vAlign w:val="center"/>
          </w:tcPr>
          <w:p w14:paraId="392833F4" w14:textId="25940A2E" w:rsidR="00682B65" w:rsidRPr="00ED71A8" w:rsidRDefault="00ED71A8" w:rsidP="00ED71A8">
            <w:pPr>
              <w:pStyle w:val="OikoTables03Content"/>
            </w:pPr>
            <w:r w:rsidRPr="00ED71A8">
              <w:t>E</w:t>
            </w:r>
            <w:r w:rsidR="00682B65" w:rsidRPr="00ED71A8">
              <w:t xml:space="preserve">conomic feasibility </w:t>
            </w:r>
          </w:p>
        </w:tc>
        <w:tc>
          <w:tcPr>
            <w:tcW w:w="1546" w:type="pct"/>
            <w:vAlign w:val="center"/>
          </w:tcPr>
          <w:p w14:paraId="565DD767" w14:textId="13A4E9DB" w:rsidR="00682B65" w:rsidRPr="00ED71A8" w:rsidRDefault="0033545B" w:rsidP="00ED71A8">
            <w:pPr>
              <w:pStyle w:val="OikoTables03Content"/>
            </w:pPr>
            <w:r w:rsidRPr="00ED71A8">
              <w:t>Assess whether the technology is likely to improve production performance through better yields, lower variable costs, greater efficiency in the use of limiting resources, and improved gross margins.</w:t>
            </w:r>
          </w:p>
        </w:tc>
        <w:tc>
          <w:tcPr>
            <w:tcW w:w="2426" w:type="pct"/>
            <w:vAlign w:val="center"/>
          </w:tcPr>
          <w:p w14:paraId="20BA21A5" w14:textId="77777777" w:rsidR="009456B5" w:rsidRPr="00ED71A8" w:rsidRDefault="009456B5" w:rsidP="00ED71A8">
            <w:pPr>
              <w:pStyle w:val="OikoTables07"/>
            </w:pPr>
            <w:r w:rsidRPr="00ED71A8">
              <w:t>indicative cost ranges</w:t>
            </w:r>
          </w:p>
          <w:p w14:paraId="1FA98458" w14:textId="77777777" w:rsidR="009456B5" w:rsidRPr="00ED71A8" w:rsidRDefault="009456B5" w:rsidP="00ED71A8">
            <w:pPr>
              <w:pStyle w:val="OikoTables07"/>
            </w:pPr>
            <w:r w:rsidRPr="00ED71A8">
              <w:t>preliminary production economics framing</w:t>
            </w:r>
          </w:p>
          <w:p w14:paraId="4546EFCC" w14:textId="77777777" w:rsidR="009456B5" w:rsidRPr="00ED71A8" w:rsidRDefault="009456B5" w:rsidP="00ED71A8">
            <w:pPr>
              <w:pStyle w:val="OikoTables07"/>
            </w:pPr>
            <w:r w:rsidRPr="00ED71A8">
              <w:t>gross margin logic where relevant</w:t>
            </w:r>
          </w:p>
          <w:p w14:paraId="691D7A5C" w14:textId="3528D46B" w:rsidR="00682B65" w:rsidRPr="00ED71A8" w:rsidRDefault="009456B5" w:rsidP="00ED71A8">
            <w:pPr>
              <w:pStyle w:val="OikoTables07"/>
            </w:pPr>
            <w:r w:rsidRPr="00ED71A8">
              <w:t>identification of variables for CBA</w:t>
            </w:r>
          </w:p>
        </w:tc>
      </w:tr>
      <w:tr w:rsidR="00682B65" w:rsidRPr="00601209" w14:paraId="17E55782" w14:textId="77777777" w:rsidTr="00ED71A8">
        <w:tc>
          <w:tcPr>
            <w:tcW w:w="1028" w:type="pct"/>
            <w:vAlign w:val="center"/>
          </w:tcPr>
          <w:p w14:paraId="3B4F0471" w14:textId="3D33DAAF" w:rsidR="00682B65" w:rsidRPr="00ED71A8" w:rsidRDefault="00682B65" w:rsidP="00ED71A8">
            <w:pPr>
              <w:pStyle w:val="OikoTables03Content"/>
              <w:rPr>
                <w:highlight w:val="yellow"/>
              </w:rPr>
            </w:pPr>
            <w:r w:rsidRPr="00ED71A8">
              <w:t>Province-specific contextualization</w:t>
            </w:r>
          </w:p>
        </w:tc>
        <w:tc>
          <w:tcPr>
            <w:tcW w:w="1546" w:type="pct"/>
            <w:vAlign w:val="center"/>
          </w:tcPr>
          <w:p w14:paraId="616A2CB4" w14:textId="6384D626" w:rsidR="00682B65" w:rsidRPr="00ED71A8" w:rsidRDefault="1C0D339E" w:rsidP="00ED71A8">
            <w:pPr>
              <w:pStyle w:val="OikoTables03Content"/>
            </w:pPr>
            <w:r w:rsidRPr="7E00F032">
              <w:rPr>
                <w:lang w:val="en-GB"/>
              </w:rPr>
              <w:t>Administrative, technical and financial support by local governmental structures</w:t>
            </w:r>
          </w:p>
        </w:tc>
        <w:tc>
          <w:tcPr>
            <w:tcW w:w="2426" w:type="pct"/>
            <w:vAlign w:val="center"/>
          </w:tcPr>
          <w:p w14:paraId="41B317DA" w14:textId="48DF7924" w:rsidR="22D85C40" w:rsidRPr="00ED71A8" w:rsidRDefault="22D85C40" w:rsidP="00ED71A8">
            <w:pPr>
              <w:pStyle w:val="OikoTables07"/>
            </w:pPr>
            <w:r w:rsidRPr="00ED71A8">
              <w:t>Actual support situation</w:t>
            </w:r>
          </w:p>
          <w:p w14:paraId="1D31BFEB" w14:textId="18DC04DE" w:rsidR="22D85C40" w:rsidRPr="00ED71A8" w:rsidRDefault="22D85C40" w:rsidP="00ED71A8">
            <w:pPr>
              <w:pStyle w:val="OikoTables07"/>
            </w:pPr>
            <w:proofErr w:type="spellStart"/>
            <w:r w:rsidRPr="7E00F032">
              <w:rPr>
                <w:lang w:val="en-GB"/>
              </w:rPr>
              <w:t>Agro</w:t>
            </w:r>
            <w:proofErr w:type="spellEnd"/>
            <w:r w:rsidRPr="7E00F032">
              <w:rPr>
                <w:lang w:val="en-GB"/>
              </w:rPr>
              <w:t xml:space="preserve"> parc support</w:t>
            </w:r>
          </w:p>
          <w:p w14:paraId="4CBBD710" w14:textId="140E42A3" w:rsidR="22D85C40" w:rsidRPr="00ED71A8" w:rsidRDefault="22D85C40" w:rsidP="00ED71A8">
            <w:pPr>
              <w:pStyle w:val="OikoTables07"/>
            </w:pPr>
            <w:r w:rsidRPr="00ED71A8">
              <w:t>Agroforestry, nursery support</w:t>
            </w:r>
          </w:p>
          <w:p w14:paraId="4141E46F" w14:textId="0090F530" w:rsidR="00682B65" w:rsidRPr="00ED71A8" w:rsidRDefault="1DA2E3F0" w:rsidP="00ED71A8">
            <w:pPr>
              <w:pStyle w:val="OikoTables07"/>
            </w:pPr>
            <w:r w:rsidRPr="00ED71A8">
              <w:t>Community plantation, afforestation support</w:t>
            </w:r>
          </w:p>
        </w:tc>
      </w:tr>
      <w:tr w:rsidR="00A80C14" w:rsidRPr="00601209" w14:paraId="3725B250" w14:textId="77777777" w:rsidTr="00A80C14">
        <w:tc>
          <w:tcPr>
            <w:tcW w:w="5000" w:type="pct"/>
            <w:gridSpan w:val="3"/>
            <w:vAlign w:val="center"/>
          </w:tcPr>
          <w:p w14:paraId="2AF5EA2E" w14:textId="7887DD85" w:rsidR="00A80C14" w:rsidRPr="00B70A29" w:rsidRDefault="00B70A29" w:rsidP="00A80C14">
            <w:pPr>
              <w:rPr>
                <w:rFonts w:ascii="Aptos" w:hAnsi="Aptos"/>
                <w:i/>
                <w:iCs/>
              </w:rPr>
            </w:pPr>
            <w:r w:rsidRPr="00B70A29">
              <w:rPr>
                <w:rFonts w:ascii="Aptos" w:hAnsi="Aptos"/>
                <w:i/>
                <w:iCs/>
                <w:sz w:val="18"/>
                <w:szCs w:val="18"/>
              </w:rPr>
              <w:t>Source: Created by author</w:t>
            </w:r>
          </w:p>
        </w:tc>
      </w:tr>
    </w:tbl>
    <w:p w14:paraId="7E9E046A" w14:textId="51FEBC1D" w:rsidR="00601209" w:rsidRDefault="00601209" w:rsidP="00D16E24">
      <w:pPr>
        <w:pStyle w:val="Heading2"/>
        <w:spacing w:line="240" w:lineRule="auto"/>
        <w:contextualSpacing w:val="0"/>
      </w:pPr>
      <w:bookmarkStart w:id="11" w:name="_Toc233981238"/>
      <w:r>
        <w:t>Data sources and evidence base</w:t>
      </w:r>
      <w:bookmarkEnd w:id="11"/>
    </w:p>
    <w:p w14:paraId="7057FE68" w14:textId="04713AAA" w:rsidR="00601209" w:rsidRPr="00601209" w:rsidRDefault="00601209" w:rsidP="00601209">
      <w:pPr>
        <w:spacing w:before="120" w:after="120"/>
      </w:pPr>
      <w:r>
        <w:t xml:space="preserve">The assessment rests on three complementary evidence streams. First, a desk review of national statistics and sectoral data — including the National Statistical Office and its 1212.mn portal, customs trade data, the Agriculture Sector Yearbook and prior technical studies by FAO, ADB and others — provides the quantitative baseline for the climate, land, production and market analysis. Second, a field mission to Dundgovi and Uvurkhangai, comprising site visits and semi-structured interviews with farmers and, with the support of two agronomists from the provincial agriculture and environment departments, on-site observation and yield measurement, grounds the assessment in local conditions. Third, consultation with national and international stakeholders — line ministries and agencies, development partners and the insurance sector — informs the </w:t>
      </w:r>
      <w:r>
        <w:lastRenderedPageBreak/>
        <w:t>institutional and financial dimensions of feasibility. A participatory farm-household questionnaire was used to collect primary data on cropped area, enterprise mix, constraints and input sources.</w:t>
      </w:r>
    </w:p>
    <w:p w14:paraId="4EA7454F" w14:textId="4DDCDBC9" w:rsidR="00601209" w:rsidRDefault="00601209" w:rsidP="00601209">
      <w:pPr>
        <w:pStyle w:val="Heading2"/>
        <w:spacing w:before="360" w:line="240" w:lineRule="auto"/>
        <w:contextualSpacing w:val="0"/>
      </w:pPr>
      <w:bookmarkStart w:id="12" w:name="_Toc233981239"/>
      <w:r>
        <w:t>Ecosystem-based adaptation framework</w:t>
      </w:r>
      <w:bookmarkEnd w:id="12"/>
    </w:p>
    <w:p w14:paraId="5131B742" w14:textId="77777777" w:rsidR="00601209" w:rsidRDefault="00601209" w:rsidP="00601209">
      <w:pPr>
        <w:spacing w:before="120" w:after="120" w:line="240" w:lineRule="auto"/>
        <w:contextualSpacing w:val="0"/>
      </w:pPr>
      <w:r>
        <w:t>The technology packages are framed as ecosystem-based adaptation (</w:t>
      </w:r>
      <w:proofErr w:type="spellStart"/>
      <w:r>
        <w:t>EbA</w:t>
      </w:r>
      <w:proofErr w:type="spellEnd"/>
      <w:r>
        <w:t>), defined as the use of biodiversity and ecosystem services as part of an overall strategy to help people adapt to the adverse effects of climate change.</w:t>
      </w:r>
      <w:r>
        <w:rPr>
          <w:vertAlign w:val="superscript"/>
        </w:rPr>
        <w:t>[64]</w:t>
      </w:r>
      <w:r>
        <w:t xml:space="preserve"> In this project </w:t>
      </w:r>
      <w:proofErr w:type="spellStart"/>
      <w:r>
        <w:t>EbA</w:t>
      </w:r>
      <w:proofErr w:type="spellEnd"/>
      <w:r>
        <w:t xml:space="preserve"> is expressed principally through multifunctional shelterbelts and agroforestry, which reduce wind speed and evapotranspiration, stabilise soils and improve the microclimate for crops and infrastructure, complemented by water- and energy-efficient technologies.</w:t>
      </w:r>
    </w:p>
    <w:p w14:paraId="76374369" w14:textId="678DD75F" w:rsidR="00601209" w:rsidRPr="00601209" w:rsidRDefault="00601209" w:rsidP="00601209">
      <w:pPr>
        <w:spacing w:before="120" w:after="120" w:line="240" w:lineRule="auto"/>
        <w:contextualSpacing w:val="0"/>
      </w:pPr>
      <w:r>
        <w:t xml:space="preserve">Consistent with the IUCN Global Standard for Nature-based </w:t>
      </w:r>
      <w:proofErr w:type="gramStart"/>
      <w:r>
        <w:t>Solutions</w:t>
      </w:r>
      <w:r>
        <w:rPr>
          <w:vertAlign w:val="superscript"/>
        </w:rPr>
        <w:t>[</w:t>
      </w:r>
      <w:proofErr w:type="gramEnd"/>
      <w:r>
        <w:rPr>
          <w:vertAlign w:val="superscript"/>
        </w:rPr>
        <w:t>29]</w:t>
      </w:r>
      <w:r>
        <w:t xml:space="preserve">, the assessment treats </w:t>
      </w:r>
      <w:proofErr w:type="spellStart"/>
      <w:r>
        <w:t>EbA</w:t>
      </w:r>
      <w:proofErr w:type="spellEnd"/>
      <w:r>
        <w:t xml:space="preserve"> measures as part of a broader, people-centred adaptation strategy rather than as stand-alone engineering. It also applies a maladaptation screen: interventions are tested against the risk of adaptation actions that increase vulnerability or shift it elsewhere — for example, the over-extraction of groundwater — in line with the IPCC’s treatment of maladaptation.</w:t>
      </w:r>
      <w:r>
        <w:rPr>
          <w:vertAlign w:val="superscript"/>
        </w:rPr>
        <w:t>[28]</w:t>
      </w:r>
      <w:r>
        <w:t xml:space="preserve"> The detailed maladaptation risk register is presented in the companion CBA report.</w:t>
      </w:r>
    </w:p>
    <w:p w14:paraId="59E9A100" w14:textId="55461D47" w:rsidR="00601209" w:rsidRDefault="00601209" w:rsidP="00D16E24">
      <w:pPr>
        <w:pStyle w:val="Heading2"/>
        <w:spacing w:line="240" w:lineRule="auto"/>
        <w:contextualSpacing w:val="0"/>
      </w:pPr>
      <w:bookmarkStart w:id="13" w:name="_Toc233981240"/>
      <w:r>
        <w:t>Technology screening: multi-criteria analysis</w:t>
      </w:r>
      <w:bookmarkEnd w:id="13"/>
    </w:p>
    <w:p w14:paraId="64F777B1" w14:textId="0105B6B0" w:rsidR="00601209" w:rsidRDefault="00601209" w:rsidP="00EB489E">
      <w:r>
        <w:t>Because the candidate technologies are heterogeneous and their benefits are only partly monetary, they are screened using a multi-criteria analysis (MCA) — a transparent decision-support method that scores options against a common set of weighted criteria and is widely used where financial metrics alone cannot capture environmental and social performance.</w:t>
      </w:r>
      <w:r>
        <w:rPr>
          <w:vertAlign w:val="superscript"/>
        </w:rPr>
        <w:t>[8, 15]</w:t>
      </w:r>
      <w:r>
        <w:t xml:space="preserve"> A common criteria set is applied across families: climate suitability, water efficiency, technical feasibility, affordability and investment intensity, operation-and-maintenance complexity, resilience to wind, frost and heat, scalability for smallholders, compatibility with insurance and finance, and maladaptation risk.</w:t>
      </w:r>
    </w:p>
    <w:p w14:paraId="06569801" w14:textId="77777777" w:rsidR="00ED71A8" w:rsidRDefault="00ED71A8" w:rsidP="00EB489E"/>
    <w:p w14:paraId="176AE593" w14:textId="429918BB" w:rsidR="00601209" w:rsidRPr="00601209" w:rsidRDefault="00601209" w:rsidP="00EB489E">
      <w:r>
        <w:t>The screening proceeds in two stages. In the first, comparative scoring, each option is rated on a common one-to-five scale (1 = very low or disqualifying, 3 = moderate, 5 = very high or best-in-class) and a weighted score is computed as the sum of score multiplied by weight. In the second, strategic filtering, the highest-scoring options are further tested against deployment realities — alignment with the smallholder horticultural focus, feasibility under extreme aridity, and scalability under institutional and financial constraints — so that the shortlist reflects not only performance but practicality. The criteria weights and scores specific to each technology category are set out in Chapter 7 and consolidated in Annex 1.</w:t>
      </w:r>
    </w:p>
    <w:p w14:paraId="29F16F7A" w14:textId="65EC7269" w:rsidR="008D220F" w:rsidRPr="00E35798" w:rsidRDefault="00601209" w:rsidP="00601209">
      <w:pPr>
        <w:pStyle w:val="Heading2"/>
        <w:spacing w:before="360" w:line="240" w:lineRule="auto"/>
        <w:contextualSpacing w:val="0"/>
      </w:pPr>
      <w:bookmarkStart w:id="14" w:name="_Toc233981241"/>
      <w:r>
        <w:t>Production economics</w:t>
      </w:r>
      <w:bookmarkEnd w:id="14"/>
    </w:p>
    <w:p w14:paraId="1EA59A7E" w14:textId="2E02B581" w:rsidR="00601209" w:rsidRDefault="00601209" w:rsidP="00EB489E">
      <w:r>
        <w:t xml:space="preserve">Production economics enter the assessment in two ways. Conceptually, the treatment of costs and returns is grounded in enterprise-budget and gross-margin logic — gross margin being gross output </w:t>
      </w:r>
      <w:proofErr w:type="gramStart"/>
      <w:r>
        <w:t>less</w:t>
      </w:r>
      <w:proofErr w:type="gramEnd"/>
      <w:r>
        <w:t xml:space="preserve"> variable costs, a standard farm-management measure of crop-level profitability that highlights the main drivers of returns, such as yield, input intensity and price exposure. This logic is used qualitatively here, to reason about the relative attractiveness of crops and options; it is not, however, the basis for the technology comparison, because gross margin excludes fixed and capital costs and ignores differing asset lives and cash-flow profiles, and so cannot compare technologies with different investment requirements. That is precisely why this report screens technologies with the multi-criteria assessment and leaves the full appraisal to the cost-benefit analysis. The detailed enterprise budgets and gross-margin calculations for individual vegetable crops are developed in the companion CBA report (Output 1.3), where they are used to construct the annual benefit streams; they are not reproduced here.</w:t>
      </w:r>
    </w:p>
    <w:p w14:paraId="0CCF9FAD" w14:textId="47B915A8" w:rsidR="00601209" w:rsidRPr="00E35798" w:rsidRDefault="00601209" w:rsidP="00601209">
      <w:pPr>
        <w:pStyle w:val="Heading2"/>
        <w:spacing w:before="360" w:line="240" w:lineRule="auto"/>
        <w:contextualSpacing w:val="0"/>
      </w:pPr>
      <w:bookmarkStart w:id="15" w:name="_Toc233981242"/>
      <w:r>
        <w:t>Interface with the Cost-Benefit Analysis</w:t>
      </w:r>
      <w:bookmarkEnd w:id="15"/>
    </w:p>
    <w:p w14:paraId="79EF3284" w14:textId="15441144" w:rsidR="00601209" w:rsidRDefault="00601209" w:rsidP="00EB489E">
      <w:r>
        <w:t>The full financial and economic appraisal of the shortlisted packages is undertaken in the companion report under Output 1.3, following standard practice for the economic analysis of projects.</w:t>
      </w:r>
      <w:r>
        <w:rPr>
          <w:vertAlign w:val="superscript"/>
        </w:rPr>
        <w:t>[1]</w:t>
      </w:r>
      <w:r>
        <w:t xml:space="preserve"> That analysis evaluates each package against a baseline using net present value, internal rate of return, the benefit–cost ratio and the payback period, and complements the financial analysis with an economic analysis using import-parity valuation and carbon co-benefits. The present report defines the packages, scenarios and assumptions that the CBA requires; the two documents are designed to be read together.</w:t>
      </w:r>
    </w:p>
    <w:p w14:paraId="4584CDEC" w14:textId="4F503EA8" w:rsidR="00D11961" w:rsidRPr="00E35798" w:rsidRDefault="00D11961" w:rsidP="00601209">
      <w:pPr>
        <w:pStyle w:val="Heading2"/>
        <w:spacing w:before="360"/>
      </w:pPr>
      <w:bookmarkStart w:id="16" w:name="_Toc233981243"/>
      <w:r>
        <w:lastRenderedPageBreak/>
        <w:t>Limitations</w:t>
      </w:r>
      <w:bookmarkEnd w:id="16"/>
    </w:p>
    <w:p w14:paraId="2180F77E" w14:textId="1C319CA6" w:rsidR="699341F5" w:rsidRDefault="2001E9DA" w:rsidP="00EB489E">
      <w:r>
        <w:t>The study is primarily an outcome of a literature review and consultation with a limited number of national key informants. The consultants were able to gain an understanding of the national and, in particular, regional structures within just a few days. The information gathered in this study through consultation with the narrow sphere of ‘</w:t>
      </w:r>
      <w:proofErr w:type="gramStart"/>
      <w:r>
        <w:t>stakeholders’</w:t>
      </w:r>
      <w:proofErr w:type="gramEnd"/>
      <w:r>
        <w:t xml:space="preserve"> may not truly reflect the view of primary growers or the national and rural decision makers/traders/administrative staff, as the circle of stakeholders is large and complex, which may be approached through more rigorous and time-consuming processes.</w:t>
      </w:r>
    </w:p>
    <w:p w14:paraId="59C550BF" w14:textId="77777777" w:rsidR="000665C2" w:rsidRPr="00E35798" w:rsidRDefault="000665C2" w:rsidP="00D16E24">
      <w:pPr>
        <w:spacing w:after="120" w:line="240" w:lineRule="auto"/>
        <w:contextualSpacing w:val="0"/>
        <w:jc w:val="left"/>
        <w:rPr>
          <w:rFonts w:eastAsiaTheme="majorEastAsia" w:cstheme="majorBidi"/>
          <w:color w:val="DD6B22" w:themeColor="accent3" w:themeShade="BF"/>
          <w:sz w:val="52"/>
          <w:szCs w:val="32"/>
        </w:rPr>
      </w:pPr>
      <w:r>
        <w:br w:type="page"/>
      </w:r>
    </w:p>
    <w:p w14:paraId="0B95076D" w14:textId="77777777" w:rsidR="00675511" w:rsidRPr="00E35798" w:rsidRDefault="00675511" w:rsidP="00D16E24">
      <w:pPr>
        <w:pStyle w:val="Heading1"/>
        <w:spacing w:line="240" w:lineRule="auto"/>
        <w:contextualSpacing w:val="0"/>
      </w:pPr>
      <w:bookmarkStart w:id="17" w:name="_Toc732765750"/>
      <w:bookmarkStart w:id="18" w:name="_Toc233981244"/>
      <w:r>
        <w:rPr>
          <w:lang w:eastAsia="zh-CN"/>
        </w:rPr>
        <w:lastRenderedPageBreak/>
        <w:t>Policy and Institutional Context</w:t>
      </w:r>
      <w:bookmarkEnd w:id="17"/>
      <w:bookmarkEnd w:id="18"/>
    </w:p>
    <w:p w14:paraId="6F847B0A" w14:textId="79036F50" w:rsidR="00BD6CE4" w:rsidRPr="00E35798" w:rsidRDefault="00BD6CE4" w:rsidP="00EB489E">
      <w:pPr>
        <w:rPr>
          <w:lang w:eastAsia="zh-CN"/>
        </w:rPr>
      </w:pPr>
      <w:r>
        <w:rPr>
          <w:lang w:eastAsia="zh-CN"/>
        </w:rPr>
        <w:t>This chapter provides a synthesis of the policy, institutional, and regulatory environment relevant to the deployment of the three core technology areas assessed in this feasibility study: solar-powered irrigation, greenhouse infrastructure, and agroforestry. The analysis draws on the comprehensive policy mapping and gap analysis conducted under Output 2 of this technical assistance, supplemented by stakeholder consultations, field mission inputs, and international literature. A thorough understanding of the enabling environment is a prerequisite for any credible feasibility assessment: policy support determines the availability of financing and incentives; institutional capacity governs the delivery and sustainability of interventions; and regulatory and standards frameworks determine the quality assurance, safety, and long-term viability of deployed technologies.</w:t>
      </w:r>
    </w:p>
    <w:p w14:paraId="6F4AA77A" w14:textId="166A8658" w:rsidR="00675511" w:rsidRPr="00E35798" w:rsidRDefault="00675511" w:rsidP="00D16E24">
      <w:pPr>
        <w:pStyle w:val="Heading2"/>
        <w:spacing w:line="240" w:lineRule="auto"/>
        <w:contextualSpacing w:val="0"/>
        <w:rPr>
          <w:lang w:eastAsia="zh-CN"/>
        </w:rPr>
      </w:pPr>
      <w:bookmarkStart w:id="19" w:name="_Toc233981245"/>
      <w:r>
        <w:rPr>
          <w:lang w:eastAsia="zh-CN"/>
        </w:rPr>
        <w:t>National policy and strategic framework</w:t>
      </w:r>
      <w:bookmarkEnd w:id="19"/>
    </w:p>
    <w:p w14:paraId="12D9B0D2" w14:textId="5C8A8A7B" w:rsidR="007A693D" w:rsidRDefault="007A693D" w:rsidP="00EB489E">
      <w:r>
        <w:t xml:space="preserve">Mongolia’s development policy architecture follows a hierarchical structure established by the Law on </w:t>
      </w:r>
      <w:bookmarkStart w:id="20" w:name="_Hlk233745751"/>
      <w:r>
        <w:t xml:space="preserve">Development Policy, Planning and its Management </w:t>
      </w:r>
      <w:bookmarkEnd w:id="20"/>
      <w:r>
        <w:t xml:space="preserve">(2020): the long-term </w:t>
      </w:r>
      <w:bookmarkStart w:id="21" w:name="_Hlk233745810"/>
      <w:r>
        <w:t xml:space="preserve">Vision-2050 </w:t>
      </w:r>
      <w:bookmarkEnd w:id="21"/>
      <w:r>
        <w:t>at the apex, followed by medium-term strategies (the New Recovery Policy, Five-Year Development Guidelines), and sector-specific programmes and campaigns (Atar-4, Billion Trees). This architecture is complemented by Mongolia’s international climate commitments under the Paris Agreement (NDC 3.0) and the UNFCCC (National Adaptation Plan). All four focal areas of this assignment — solar-powered irrigation, water management, greenhouse infrastructure, and agroforestry — are addressed within this framework, demonstrating strong vertical coherence from national vision to operational targets. Table 2 provides a summary mapping of the key policy instruments to the focal topics of this assignment.</w:t>
      </w:r>
    </w:p>
    <w:p w14:paraId="00406CC3" w14:textId="77777777" w:rsidR="00ED71A8" w:rsidRPr="00E35798" w:rsidRDefault="00ED71A8" w:rsidP="00EB489E"/>
    <w:p w14:paraId="6F75DFD0" w14:textId="71F0E7C1" w:rsidR="00B358DA" w:rsidRPr="00E35798" w:rsidRDefault="00B358DA" w:rsidP="00D16E24">
      <w:pPr>
        <w:pStyle w:val="Caption"/>
        <w:keepNext/>
        <w:framePr w:wrap="notBeside"/>
        <w:spacing w:after="120"/>
        <w:contextualSpacing w:val="0"/>
      </w:pPr>
      <w:r>
        <w:t>Table 2. Key policy instruments and their relevance to focal technology areas</w:t>
      </w:r>
    </w:p>
    <w:tbl>
      <w:tblPr>
        <w:tblStyle w:val="PlainTable2"/>
        <w:tblW w:w="5000" w:type="pct"/>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1993"/>
        <w:gridCol w:w="702"/>
        <w:gridCol w:w="1706"/>
        <w:gridCol w:w="1567"/>
        <w:gridCol w:w="1478"/>
        <w:gridCol w:w="2192"/>
      </w:tblGrid>
      <w:tr w:rsidR="00687E93" w:rsidRPr="00E35798" w14:paraId="2FDEC069" w14:textId="77777777" w:rsidTr="00ED71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4" w:type="pct"/>
            <w:tcBorders>
              <w:bottom w:val="none" w:sz="0" w:space="0" w:color="auto"/>
            </w:tcBorders>
            <w:shd w:val="clear" w:color="auto" w:fill="E99E6D" w:themeFill="accent3"/>
          </w:tcPr>
          <w:p w14:paraId="0372566A" w14:textId="4DF3D969" w:rsidR="00687E93" w:rsidRPr="00E35798" w:rsidRDefault="00687E93" w:rsidP="00ED71A8">
            <w:pPr>
              <w:pStyle w:val="OikoTables02"/>
            </w:pPr>
            <w:r>
              <w:t>Policy instrument</w:t>
            </w:r>
          </w:p>
        </w:tc>
        <w:tc>
          <w:tcPr>
            <w:tcW w:w="364" w:type="pct"/>
            <w:tcBorders>
              <w:bottom w:val="none" w:sz="0" w:space="0" w:color="auto"/>
            </w:tcBorders>
            <w:shd w:val="clear" w:color="auto" w:fill="E99E6D" w:themeFill="accent3"/>
          </w:tcPr>
          <w:p w14:paraId="5469D901" w14:textId="53888C4C" w:rsidR="00687E93" w:rsidRPr="00E35798" w:rsidRDefault="00687E93" w:rsidP="00ED71A8">
            <w:pPr>
              <w:pStyle w:val="OikoTables02"/>
              <w:cnfStyle w:val="100000000000" w:firstRow="1" w:lastRow="0" w:firstColumn="0" w:lastColumn="0" w:oddVBand="0" w:evenVBand="0" w:oddHBand="0" w:evenHBand="0" w:firstRowFirstColumn="0" w:firstRowLastColumn="0" w:lastRowFirstColumn="0" w:lastRowLastColumn="0"/>
            </w:pPr>
            <w:r>
              <w:t>Year</w:t>
            </w:r>
          </w:p>
        </w:tc>
        <w:tc>
          <w:tcPr>
            <w:tcW w:w="885" w:type="pct"/>
            <w:tcBorders>
              <w:bottom w:val="none" w:sz="0" w:space="0" w:color="auto"/>
            </w:tcBorders>
            <w:shd w:val="clear" w:color="auto" w:fill="E99E6D" w:themeFill="accent3"/>
          </w:tcPr>
          <w:p w14:paraId="43933144" w14:textId="387B2C8E" w:rsidR="00687E93" w:rsidRPr="00E35798" w:rsidRDefault="00687E93" w:rsidP="00ED71A8">
            <w:pPr>
              <w:pStyle w:val="OikoTables02"/>
              <w:cnfStyle w:val="100000000000" w:firstRow="1" w:lastRow="0" w:firstColumn="0" w:lastColumn="0" w:oddVBand="0" w:evenVBand="0" w:oddHBand="0" w:evenHBand="0" w:firstRowFirstColumn="0" w:firstRowLastColumn="0" w:lastRowFirstColumn="0" w:lastRowLastColumn="0"/>
            </w:pPr>
            <w:r>
              <w:t>Solar irrigation</w:t>
            </w:r>
          </w:p>
        </w:tc>
        <w:tc>
          <w:tcPr>
            <w:tcW w:w="813" w:type="pct"/>
            <w:tcBorders>
              <w:bottom w:val="none" w:sz="0" w:space="0" w:color="auto"/>
            </w:tcBorders>
            <w:shd w:val="clear" w:color="auto" w:fill="E99E6D" w:themeFill="accent3"/>
          </w:tcPr>
          <w:p w14:paraId="2FA39055" w14:textId="68692178" w:rsidR="00687E93" w:rsidRPr="00E35798" w:rsidRDefault="00687E93" w:rsidP="00ED71A8">
            <w:pPr>
              <w:pStyle w:val="OikoTables02"/>
              <w:cnfStyle w:val="100000000000" w:firstRow="1" w:lastRow="0" w:firstColumn="0" w:lastColumn="0" w:oddVBand="0" w:evenVBand="0" w:oddHBand="0" w:evenHBand="0" w:firstRowFirstColumn="0" w:firstRowLastColumn="0" w:lastRowFirstColumn="0" w:lastRowLastColumn="0"/>
            </w:pPr>
            <w:r>
              <w:t>Greenhouses</w:t>
            </w:r>
          </w:p>
        </w:tc>
        <w:tc>
          <w:tcPr>
            <w:tcW w:w="767" w:type="pct"/>
            <w:tcBorders>
              <w:bottom w:val="none" w:sz="0" w:space="0" w:color="auto"/>
            </w:tcBorders>
            <w:shd w:val="clear" w:color="auto" w:fill="E99E6D" w:themeFill="accent3"/>
          </w:tcPr>
          <w:p w14:paraId="5D682924" w14:textId="2435E94A" w:rsidR="00687E93" w:rsidRPr="00E35798" w:rsidRDefault="00687E93" w:rsidP="00ED71A8">
            <w:pPr>
              <w:pStyle w:val="OikoTables02"/>
              <w:cnfStyle w:val="100000000000" w:firstRow="1" w:lastRow="0" w:firstColumn="0" w:lastColumn="0" w:oddVBand="0" w:evenVBand="0" w:oddHBand="0" w:evenHBand="0" w:firstRowFirstColumn="0" w:firstRowLastColumn="0" w:lastRowFirstColumn="0" w:lastRowLastColumn="0"/>
            </w:pPr>
            <w:r>
              <w:t>Agroforestry</w:t>
            </w:r>
          </w:p>
        </w:tc>
        <w:tc>
          <w:tcPr>
            <w:tcW w:w="1137" w:type="pct"/>
            <w:tcBorders>
              <w:bottom w:val="none" w:sz="0" w:space="0" w:color="auto"/>
            </w:tcBorders>
            <w:shd w:val="clear" w:color="auto" w:fill="E99E6D" w:themeFill="accent3"/>
          </w:tcPr>
          <w:p w14:paraId="7BB6D38D" w14:textId="0E27E1AF" w:rsidR="00687E93" w:rsidRPr="00E35798" w:rsidRDefault="00687E93" w:rsidP="00ED71A8">
            <w:pPr>
              <w:pStyle w:val="OikoTables02"/>
              <w:cnfStyle w:val="100000000000" w:firstRow="1" w:lastRow="0" w:firstColumn="0" w:lastColumn="0" w:oddVBand="0" w:evenVBand="0" w:oddHBand="0" w:evenHBand="0" w:firstRowFirstColumn="0" w:firstRowLastColumn="0" w:lastRowFirstColumn="0" w:lastRowLastColumn="0"/>
            </w:pPr>
            <w:r>
              <w:t>Water management</w:t>
            </w:r>
          </w:p>
        </w:tc>
      </w:tr>
      <w:tr w:rsidR="004F54F6" w:rsidRPr="00E35798" w14:paraId="0EBFC648" w14:textId="77777777" w:rsidTr="00EE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bottom w:val="none" w:sz="0" w:space="0" w:color="auto"/>
            </w:tcBorders>
          </w:tcPr>
          <w:p w14:paraId="0F883D1C" w14:textId="1BE4B60D" w:rsidR="004F54F6" w:rsidRPr="00E35798" w:rsidRDefault="004F54F6" w:rsidP="00D16E24">
            <w:pPr>
              <w:pStyle w:val="OikoTables03Content"/>
              <w:spacing w:after="120" w:line="240" w:lineRule="auto"/>
              <w:rPr>
                <w:lang w:val="en-GB"/>
              </w:rPr>
            </w:pPr>
            <w:r>
              <w:rPr>
                <w:lang w:val="en-GB"/>
              </w:rPr>
              <w:t>Vision-2050</w:t>
            </w:r>
          </w:p>
        </w:tc>
        <w:tc>
          <w:tcPr>
            <w:tcW w:w="364" w:type="pct"/>
            <w:tcBorders>
              <w:top w:val="none" w:sz="0" w:space="0" w:color="auto"/>
              <w:bottom w:val="none" w:sz="0" w:space="0" w:color="auto"/>
            </w:tcBorders>
          </w:tcPr>
          <w:p w14:paraId="789D2127" w14:textId="2BC1533D"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2020</w:t>
            </w:r>
          </w:p>
        </w:tc>
        <w:tc>
          <w:tcPr>
            <w:tcW w:w="885" w:type="pct"/>
            <w:tcBorders>
              <w:top w:val="none" w:sz="0" w:space="0" w:color="auto"/>
              <w:bottom w:val="none" w:sz="0" w:space="0" w:color="auto"/>
            </w:tcBorders>
          </w:tcPr>
          <w:p w14:paraId="0993D341" w14:textId="33FB0EC6"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Target 9.2.5: RE for rural households</w:t>
            </w:r>
          </w:p>
        </w:tc>
        <w:tc>
          <w:tcPr>
            <w:tcW w:w="813" w:type="pct"/>
            <w:tcBorders>
              <w:top w:val="none" w:sz="0" w:space="0" w:color="auto"/>
              <w:bottom w:val="none" w:sz="0" w:space="0" w:color="auto"/>
            </w:tcBorders>
          </w:tcPr>
          <w:p w14:paraId="78C147A0" w14:textId="629E1F74"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Target 8.3: Sustainable agriculture</w:t>
            </w:r>
          </w:p>
        </w:tc>
        <w:tc>
          <w:tcPr>
            <w:tcW w:w="767" w:type="pct"/>
            <w:tcBorders>
              <w:top w:val="none" w:sz="0" w:space="0" w:color="auto"/>
              <w:bottom w:val="none" w:sz="0" w:space="0" w:color="auto"/>
            </w:tcBorders>
          </w:tcPr>
          <w:p w14:paraId="3F7995E7" w14:textId="435A16E9"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Target 6.2.1: Agroforestry parks</w:t>
            </w:r>
          </w:p>
        </w:tc>
        <w:tc>
          <w:tcPr>
            <w:tcW w:w="1137" w:type="pct"/>
            <w:tcBorders>
              <w:top w:val="none" w:sz="0" w:space="0" w:color="auto"/>
              <w:bottom w:val="none" w:sz="0" w:space="0" w:color="auto"/>
            </w:tcBorders>
          </w:tcPr>
          <w:p w14:paraId="3F0DC809" w14:textId="5DDBDFA0"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Target 6.3: Water security</w:t>
            </w:r>
          </w:p>
        </w:tc>
      </w:tr>
      <w:tr w:rsidR="004F54F6" w:rsidRPr="00E35798" w14:paraId="3AF773D9" w14:textId="77777777" w:rsidTr="00EE76EE">
        <w:tc>
          <w:tcPr>
            <w:cnfStyle w:val="001000000000" w:firstRow="0" w:lastRow="0" w:firstColumn="1" w:lastColumn="0" w:oddVBand="0" w:evenVBand="0" w:oddHBand="0" w:evenHBand="0" w:firstRowFirstColumn="0" w:firstRowLastColumn="0" w:lastRowFirstColumn="0" w:lastRowLastColumn="0"/>
            <w:tcW w:w="1034" w:type="pct"/>
          </w:tcPr>
          <w:p w14:paraId="6E2676CB" w14:textId="58FAE76E" w:rsidR="004F54F6" w:rsidRPr="00E35798" w:rsidRDefault="004F54F6" w:rsidP="00D16E24">
            <w:pPr>
              <w:pStyle w:val="OikoTables03Content"/>
              <w:spacing w:after="120" w:line="240" w:lineRule="auto"/>
              <w:rPr>
                <w:lang w:val="en-GB"/>
              </w:rPr>
            </w:pPr>
            <w:r>
              <w:rPr>
                <w:lang w:val="en-GB"/>
              </w:rPr>
              <w:t>Vision-2050 Action Plan 2021–2030</w:t>
            </w:r>
          </w:p>
        </w:tc>
        <w:tc>
          <w:tcPr>
            <w:tcW w:w="364" w:type="pct"/>
          </w:tcPr>
          <w:p w14:paraId="54A84441" w14:textId="44A7EB5D"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2020</w:t>
            </w:r>
          </w:p>
        </w:tc>
        <w:tc>
          <w:tcPr>
            <w:tcW w:w="885" w:type="pct"/>
          </w:tcPr>
          <w:p w14:paraId="0FF5934E" w14:textId="257937DD"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30% RE installed capacity by 2030</w:t>
            </w:r>
          </w:p>
        </w:tc>
        <w:tc>
          <w:tcPr>
            <w:tcW w:w="813" w:type="pct"/>
          </w:tcPr>
          <w:p w14:paraId="06593ED8" w14:textId="3F257244"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767" w:type="pct"/>
          </w:tcPr>
          <w:p w14:paraId="2529D85E" w14:textId="23312554"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1137" w:type="pct"/>
          </w:tcPr>
          <w:p w14:paraId="564F4ADA" w14:textId="3C444FBC"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Tiered water pricing</w:t>
            </w:r>
          </w:p>
        </w:tc>
      </w:tr>
      <w:tr w:rsidR="004F54F6" w:rsidRPr="00E35798" w14:paraId="79D3E837" w14:textId="77777777" w:rsidTr="00EE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bottom w:val="none" w:sz="0" w:space="0" w:color="auto"/>
            </w:tcBorders>
          </w:tcPr>
          <w:p w14:paraId="42241FD4" w14:textId="404E0B56" w:rsidR="004F54F6" w:rsidRPr="00E35798" w:rsidRDefault="004F54F6" w:rsidP="00D16E24">
            <w:pPr>
              <w:pStyle w:val="OikoTables03Content"/>
              <w:spacing w:after="120" w:line="240" w:lineRule="auto"/>
              <w:rPr>
                <w:lang w:val="en-GB"/>
              </w:rPr>
            </w:pPr>
            <w:r>
              <w:rPr>
                <w:lang w:val="en-GB"/>
              </w:rPr>
              <w:t xml:space="preserve">New Recovery Policy </w:t>
            </w:r>
          </w:p>
        </w:tc>
        <w:tc>
          <w:tcPr>
            <w:tcW w:w="364" w:type="pct"/>
            <w:tcBorders>
              <w:top w:val="none" w:sz="0" w:space="0" w:color="auto"/>
              <w:bottom w:val="none" w:sz="0" w:space="0" w:color="auto"/>
            </w:tcBorders>
          </w:tcPr>
          <w:p w14:paraId="7EE5D33D" w14:textId="1575C7F6"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2021</w:t>
            </w:r>
          </w:p>
        </w:tc>
        <w:tc>
          <w:tcPr>
            <w:tcW w:w="885" w:type="pct"/>
            <w:tcBorders>
              <w:top w:val="none" w:sz="0" w:space="0" w:color="auto"/>
              <w:bottom w:val="none" w:sz="0" w:space="0" w:color="auto"/>
            </w:tcBorders>
          </w:tcPr>
          <w:p w14:paraId="0B25F761" w14:textId="1D1E08B7"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Section 4.4: Irrigated farming</w:t>
            </w:r>
          </w:p>
        </w:tc>
        <w:tc>
          <w:tcPr>
            <w:tcW w:w="813" w:type="pct"/>
            <w:tcBorders>
              <w:top w:val="none" w:sz="0" w:space="0" w:color="auto"/>
              <w:bottom w:val="none" w:sz="0" w:space="0" w:color="auto"/>
            </w:tcBorders>
          </w:tcPr>
          <w:p w14:paraId="610B8836" w14:textId="6D7F17D0"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Section 3.4: Crop production</w:t>
            </w:r>
          </w:p>
        </w:tc>
        <w:tc>
          <w:tcPr>
            <w:tcW w:w="767" w:type="pct"/>
            <w:tcBorders>
              <w:top w:val="none" w:sz="0" w:space="0" w:color="auto"/>
              <w:bottom w:val="none" w:sz="0" w:space="0" w:color="auto"/>
            </w:tcBorders>
          </w:tcPr>
          <w:p w14:paraId="22E68A4A" w14:textId="7B0EC4F8"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Section 5: Billion Trees</w:t>
            </w:r>
          </w:p>
        </w:tc>
        <w:tc>
          <w:tcPr>
            <w:tcW w:w="1137" w:type="pct"/>
            <w:tcBorders>
              <w:top w:val="none" w:sz="0" w:space="0" w:color="auto"/>
              <w:bottom w:val="none" w:sz="0" w:space="0" w:color="auto"/>
            </w:tcBorders>
          </w:tcPr>
          <w:p w14:paraId="51E5D973" w14:textId="2E6C4BB5"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Section 4.4: Reservoirs</w:t>
            </w:r>
          </w:p>
        </w:tc>
      </w:tr>
      <w:tr w:rsidR="004F54F6" w:rsidRPr="00E35798" w14:paraId="54EE53AA" w14:textId="77777777" w:rsidTr="00EE76EE">
        <w:tc>
          <w:tcPr>
            <w:cnfStyle w:val="001000000000" w:firstRow="0" w:lastRow="0" w:firstColumn="1" w:lastColumn="0" w:oddVBand="0" w:evenVBand="0" w:oddHBand="0" w:evenHBand="0" w:firstRowFirstColumn="0" w:firstRowLastColumn="0" w:lastRowFirstColumn="0" w:lastRowLastColumn="0"/>
            <w:tcW w:w="1034" w:type="pct"/>
          </w:tcPr>
          <w:p w14:paraId="51808535" w14:textId="40E5B4D6" w:rsidR="004F54F6" w:rsidRPr="00E35798" w:rsidRDefault="004F54F6" w:rsidP="00D16E24">
            <w:pPr>
              <w:pStyle w:val="OikoTables03Content"/>
              <w:spacing w:after="120" w:line="240" w:lineRule="auto"/>
              <w:rPr>
                <w:lang w:val="en-GB"/>
              </w:rPr>
            </w:pPr>
            <w:r>
              <w:rPr>
                <w:lang w:val="en-GB"/>
              </w:rPr>
              <w:t>Gov. Action Plan 2024–2028</w:t>
            </w:r>
          </w:p>
        </w:tc>
        <w:tc>
          <w:tcPr>
            <w:tcW w:w="364" w:type="pct"/>
          </w:tcPr>
          <w:p w14:paraId="4A832C94" w14:textId="79B35E6C"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2024</w:t>
            </w:r>
          </w:p>
        </w:tc>
        <w:tc>
          <w:tcPr>
            <w:tcW w:w="885" w:type="pct"/>
          </w:tcPr>
          <w:p w14:paraId="339AA42B" w14:textId="654B82AD"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3.3.3.8: Citizen RE generation; 3.3.3.12: 10,000 Solar Rooftops</w:t>
            </w:r>
          </w:p>
        </w:tc>
        <w:tc>
          <w:tcPr>
            <w:tcW w:w="813" w:type="pct"/>
          </w:tcPr>
          <w:p w14:paraId="43EAE556" w14:textId="7FF82531"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3.3.4.20: 50 ha greenhouse park; 1.2.2.6: 45,000 t </w:t>
            </w:r>
            <w:proofErr w:type="spellStart"/>
            <w:r>
              <w:rPr>
                <w:lang w:val="en-GB"/>
              </w:rPr>
              <w:t>Agro</w:t>
            </w:r>
            <w:proofErr w:type="spellEnd"/>
            <w:r>
              <w:rPr>
                <w:lang w:val="en-GB"/>
              </w:rPr>
              <w:t>-City</w:t>
            </w:r>
          </w:p>
        </w:tc>
        <w:tc>
          <w:tcPr>
            <w:tcW w:w="767" w:type="pct"/>
          </w:tcPr>
          <w:p w14:paraId="163B0C46" w14:textId="3CC9D294"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3.4.2.3: Windbreaks</w:t>
            </w:r>
          </w:p>
        </w:tc>
        <w:tc>
          <w:tcPr>
            <w:tcW w:w="1137" w:type="pct"/>
          </w:tcPr>
          <w:p w14:paraId="2551F9F1" w14:textId="126D38BA"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3.3.4.22: Irrigated farmland, reservoirs</w:t>
            </w:r>
          </w:p>
        </w:tc>
      </w:tr>
      <w:tr w:rsidR="004F54F6" w:rsidRPr="00E35798" w14:paraId="77C16891" w14:textId="77777777" w:rsidTr="00EE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bottom w:val="none" w:sz="0" w:space="0" w:color="auto"/>
            </w:tcBorders>
          </w:tcPr>
          <w:p w14:paraId="560C74AD" w14:textId="5F698C08" w:rsidR="004F54F6" w:rsidRPr="00E35798" w:rsidRDefault="004F54F6" w:rsidP="00D16E24">
            <w:pPr>
              <w:pStyle w:val="OikoTables03Content"/>
              <w:spacing w:after="120" w:line="240" w:lineRule="auto"/>
              <w:rPr>
                <w:lang w:val="en-GB"/>
              </w:rPr>
            </w:pPr>
            <w:r>
              <w:rPr>
                <w:lang w:val="en-GB"/>
              </w:rPr>
              <w:t>Atar-4 Campaign</w:t>
            </w:r>
          </w:p>
        </w:tc>
        <w:tc>
          <w:tcPr>
            <w:tcW w:w="364" w:type="pct"/>
            <w:tcBorders>
              <w:top w:val="none" w:sz="0" w:space="0" w:color="auto"/>
              <w:bottom w:val="none" w:sz="0" w:space="0" w:color="auto"/>
            </w:tcBorders>
          </w:tcPr>
          <w:p w14:paraId="36E4FB79" w14:textId="51DBF251"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2025</w:t>
            </w:r>
          </w:p>
        </w:tc>
        <w:tc>
          <w:tcPr>
            <w:tcW w:w="885" w:type="pct"/>
            <w:tcBorders>
              <w:top w:val="none" w:sz="0" w:space="0" w:color="auto"/>
              <w:bottom w:val="none" w:sz="0" w:space="0" w:color="auto"/>
            </w:tcBorders>
          </w:tcPr>
          <w:p w14:paraId="6B34286C" w14:textId="5E58EA45"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1.1.4: Smart sensor technologies</w:t>
            </w:r>
          </w:p>
        </w:tc>
        <w:tc>
          <w:tcPr>
            <w:tcW w:w="813" w:type="pct"/>
            <w:tcBorders>
              <w:top w:val="none" w:sz="0" w:space="0" w:color="auto"/>
              <w:bottom w:val="none" w:sz="0" w:space="0" w:color="auto"/>
            </w:tcBorders>
          </w:tcPr>
          <w:p w14:paraId="3A3E1702" w14:textId="34AF2489"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4.1.5: Greenhouse area 39→89 ha</w:t>
            </w:r>
          </w:p>
        </w:tc>
        <w:tc>
          <w:tcPr>
            <w:tcW w:w="767" w:type="pct"/>
            <w:tcBorders>
              <w:top w:val="none" w:sz="0" w:space="0" w:color="auto"/>
              <w:bottom w:val="none" w:sz="0" w:space="0" w:color="auto"/>
            </w:tcBorders>
          </w:tcPr>
          <w:p w14:paraId="74C34CF5" w14:textId="72FDE51D"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1.1.6: 10,000 km forest strips; 3.1.8: 75 ha nurseries</w:t>
            </w:r>
          </w:p>
        </w:tc>
        <w:tc>
          <w:tcPr>
            <w:tcW w:w="1137" w:type="pct"/>
            <w:tcBorders>
              <w:top w:val="none" w:sz="0" w:space="0" w:color="auto"/>
              <w:bottom w:val="none" w:sz="0" w:space="0" w:color="auto"/>
            </w:tcBorders>
          </w:tcPr>
          <w:p w14:paraId="099016A5" w14:textId="1AECDE07"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1.1.4: Water-efficient tech</w:t>
            </w:r>
          </w:p>
        </w:tc>
      </w:tr>
      <w:tr w:rsidR="004F54F6" w:rsidRPr="00E35798" w14:paraId="66751608" w14:textId="77777777" w:rsidTr="00EE76EE">
        <w:tc>
          <w:tcPr>
            <w:cnfStyle w:val="001000000000" w:firstRow="0" w:lastRow="0" w:firstColumn="1" w:lastColumn="0" w:oddVBand="0" w:evenVBand="0" w:oddHBand="0" w:evenHBand="0" w:firstRowFirstColumn="0" w:firstRowLastColumn="0" w:lastRowFirstColumn="0" w:lastRowLastColumn="0"/>
            <w:tcW w:w="1034" w:type="pct"/>
          </w:tcPr>
          <w:p w14:paraId="51D57E75" w14:textId="238B9007" w:rsidR="004F54F6" w:rsidRPr="00E35798" w:rsidRDefault="004F54F6" w:rsidP="00D16E24">
            <w:pPr>
              <w:pStyle w:val="OikoTables03Content"/>
              <w:spacing w:after="120" w:line="240" w:lineRule="auto"/>
              <w:rPr>
                <w:lang w:val="en-GB"/>
              </w:rPr>
            </w:pPr>
            <w:r>
              <w:rPr>
                <w:lang w:val="en-GB"/>
              </w:rPr>
              <w:t>Resolution No. 36 (Food security)</w:t>
            </w:r>
          </w:p>
        </w:tc>
        <w:tc>
          <w:tcPr>
            <w:tcW w:w="364" w:type="pct"/>
          </w:tcPr>
          <w:p w14:paraId="06612B0B" w14:textId="5EAF1C1D"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2022</w:t>
            </w:r>
          </w:p>
        </w:tc>
        <w:tc>
          <w:tcPr>
            <w:tcW w:w="885" w:type="pct"/>
          </w:tcPr>
          <w:p w14:paraId="51D628D6" w14:textId="009BFE4D"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813" w:type="pct"/>
          </w:tcPr>
          <w:p w14:paraId="5E9CA800" w14:textId="3395DD78" w:rsidR="004F54F6" w:rsidRPr="002F7CA0"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it-IT"/>
              </w:rPr>
            </w:pPr>
            <w:r w:rsidRPr="002F7CA0">
              <w:rPr>
                <w:lang w:val="it-IT"/>
              </w:rPr>
              <w:t>3.e: 270 ha incl. 50 ha solar cluster</w:t>
            </w:r>
          </w:p>
        </w:tc>
        <w:tc>
          <w:tcPr>
            <w:tcW w:w="767" w:type="pct"/>
          </w:tcPr>
          <w:p w14:paraId="0B2E35CA" w14:textId="0DD13BE2"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3.k: Agroforestry in aimag/soum centres</w:t>
            </w:r>
          </w:p>
        </w:tc>
        <w:tc>
          <w:tcPr>
            <w:tcW w:w="1137" w:type="pct"/>
          </w:tcPr>
          <w:p w14:paraId="58BD04FC" w14:textId="3C2D76A5"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3.a: +50,000 ha irrigated; 3.i: Runoff harvesting</w:t>
            </w:r>
          </w:p>
        </w:tc>
      </w:tr>
      <w:tr w:rsidR="004F54F6" w:rsidRPr="00E35798" w14:paraId="20BA7E67" w14:textId="77777777" w:rsidTr="00EE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bottom w:val="none" w:sz="0" w:space="0" w:color="auto"/>
            </w:tcBorders>
          </w:tcPr>
          <w:p w14:paraId="34DB0C9F" w14:textId="63A12C47" w:rsidR="004F54F6" w:rsidRPr="00E35798" w:rsidRDefault="004F54F6" w:rsidP="00D16E24">
            <w:pPr>
              <w:pStyle w:val="OikoTables03Content"/>
              <w:spacing w:after="120" w:line="240" w:lineRule="auto"/>
              <w:rPr>
                <w:lang w:val="en-GB"/>
              </w:rPr>
            </w:pPr>
            <w:r>
              <w:rPr>
                <w:lang w:val="en-GB"/>
              </w:rPr>
              <w:t>NDC 3.0</w:t>
            </w:r>
          </w:p>
        </w:tc>
        <w:tc>
          <w:tcPr>
            <w:tcW w:w="364" w:type="pct"/>
            <w:tcBorders>
              <w:top w:val="none" w:sz="0" w:space="0" w:color="auto"/>
              <w:bottom w:val="none" w:sz="0" w:space="0" w:color="auto"/>
            </w:tcBorders>
          </w:tcPr>
          <w:p w14:paraId="527FEFD3" w14:textId="7C81F3A8"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2024</w:t>
            </w:r>
          </w:p>
        </w:tc>
        <w:tc>
          <w:tcPr>
            <w:tcW w:w="885" w:type="pct"/>
            <w:tcBorders>
              <w:top w:val="none" w:sz="0" w:space="0" w:color="auto"/>
              <w:bottom w:val="none" w:sz="0" w:space="0" w:color="auto"/>
            </w:tcBorders>
          </w:tcPr>
          <w:p w14:paraId="40371884" w14:textId="1F36D465"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Drip irrigation</w:t>
            </w:r>
          </w:p>
        </w:tc>
        <w:tc>
          <w:tcPr>
            <w:tcW w:w="813" w:type="pct"/>
            <w:tcBorders>
              <w:top w:val="none" w:sz="0" w:space="0" w:color="auto"/>
              <w:bottom w:val="none" w:sz="0" w:space="0" w:color="auto"/>
            </w:tcBorders>
          </w:tcPr>
          <w:p w14:paraId="7E38E717" w14:textId="41223729"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w:t>
            </w:r>
          </w:p>
        </w:tc>
        <w:tc>
          <w:tcPr>
            <w:tcW w:w="767" w:type="pct"/>
            <w:tcBorders>
              <w:top w:val="none" w:sz="0" w:space="0" w:color="auto"/>
              <w:bottom w:val="none" w:sz="0" w:space="0" w:color="auto"/>
            </w:tcBorders>
          </w:tcPr>
          <w:p w14:paraId="69C9CF91" w14:textId="31FF15B0"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Forest strips around croplands</w:t>
            </w:r>
          </w:p>
        </w:tc>
        <w:tc>
          <w:tcPr>
            <w:tcW w:w="1137" w:type="pct"/>
            <w:tcBorders>
              <w:top w:val="none" w:sz="0" w:space="0" w:color="auto"/>
              <w:bottom w:val="none" w:sz="0" w:space="0" w:color="auto"/>
            </w:tcBorders>
          </w:tcPr>
          <w:p w14:paraId="1120571C" w14:textId="05506805"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Water-efficient technologies</w:t>
            </w:r>
          </w:p>
        </w:tc>
      </w:tr>
      <w:tr w:rsidR="004F54F6" w:rsidRPr="00E35798" w14:paraId="763E79C3" w14:textId="77777777" w:rsidTr="00EE76EE">
        <w:tc>
          <w:tcPr>
            <w:cnfStyle w:val="001000000000" w:firstRow="0" w:lastRow="0" w:firstColumn="1" w:lastColumn="0" w:oddVBand="0" w:evenVBand="0" w:oddHBand="0" w:evenHBand="0" w:firstRowFirstColumn="0" w:firstRowLastColumn="0" w:lastRowFirstColumn="0" w:lastRowLastColumn="0"/>
            <w:tcW w:w="1034" w:type="pct"/>
          </w:tcPr>
          <w:p w14:paraId="0B741132" w14:textId="78B32A6E" w:rsidR="004F54F6" w:rsidRPr="00E35798" w:rsidRDefault="004F54F6" w:rsidP="00D16E24">
            <w:pPr>
              <w:pStyle w:val="OikoTables03Content"/>
              <w:spacing w:after="120" w:line="240" w:lineRule="auto"/>
              <w:rPr>
                <w:lang w:val="en-GB"/>
              </w:rPr>
            </w:pPr>
            <w:r>
              <w:rPr>
                <w:lang w:val="en-GB"/>
              </w:rPr>
              <w:t>NAP</w:t>
            </w:r>
          </w:p>
        </w:tc>
        <w:tc>
          <w:tcPr>
            <w:tcW w:w="364" w:type="pct"/>
          </w:tcPr>
          <w:p w14:paraId="7EC46C6C" w14:textId="0C6FBB05"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2025</w:t>
            </w:r>
          </w:p>
        </w:tc>
        <w:tc>
          <w:tcPr>
            <w:tcW w:w="885" w:type="pct"/>
          </w:tcPr>
          <w:p w14:paraId="50807374" w14:textId="35666870"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Action 1.3: Irrigation norm revision (5,800M MNT)</w:t>
            </w:r>
          </w:p>
        </w:tc>
        <w:tc>
          <w:tcPr>
            <w:tcW w:w="813" w:type="pct"/>
          </w:tcPr>
          <w:p w14:paraId="6ADA0BAB" w14:textId="34C15E50"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Action 13.1: Drip irrigation, mulching</w:t>
            </w:r>
          </w:p>
        </w:tc>
        <w:tc>
          <w:tcPr>
            <w:tcW w:w="767" w:type="pct"/>
          </w:tcPr>
          <w:p w14:paraId="49FE99DA" w14:textId="794C03CB"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Action 7.2: 19,000 ha agroforestry (1.15T MNT); Action 12.6: Forest strips</w:t>
            </w:r>
          </w:p>
        </w:tc>
        <w:tc>
          <w:tcPr>
            <w:tcW w:w="1137" w:type="pct"/>
          </w:tcPr>
          <w:p w14:paraId="47612E6A" w14:textId="743A6FB0"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Action 1.3: Water meters 45→60%</w:t>
            </w:r>
          </w:p>
        </w:tc>
      </w:tr>
      <w:tr w:rsidR="004F54F6" w:rsidRPr="00E35798" w14:paraId="63493EC1" w14:textId="77777777" w:rsidTr="00EE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tcBorders>
              <w:top w:val="none" w:sz="0" w:space="0" w:color="auto"/>
              <w:bottom w:val="none" w:sz="0" w:space="0" w:color="auto"/>
            </w:tcBorders>
          </w:tcPr>
          <w:p w14:paraId="4C01AFFD" w14:textId="00DBB757" w:rsidR="004F54F6" w:rsidRPr="00E35798" w:rsidRDefault="004F54F6" w:rsidP="00D16E24">
            <w:pPr>
              <w:pStyle w:val="OikoTables03Content"/>
              <w:spacing w:after="120" w:line="240" w:lineRule="auto"/>
              <w:rPr>
                <w:lang w:val="en-GB"/>
              </w:rPr>
            </w:pPr>
            <w:r>
              <w:rPr>
                <w:lang w:val="en-GB"/>
              </w:rPr>
              <w:lastRenderedPageBreak/>
              <w:t>Billion Trees Campaign</w:t>
            </w:r>
          </w:p>
        </w:tc>
        <w:tc>
          <w:tcPr>
            <w:tcW w:w="364" w:type="pct"/>
            <w:tcBorders>
              <w:top w:val="none" w:sz="0" w:space="0" w:color="auto"/>
              <w:bottom w:val="none" w:sz="0" w:space="0" w:color="auto"/>
            </w:tcBorders>
          </w:tcPr>
          <w:p w14:paraId="77C959AB" w14:textId="08153696"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2021</w:t>
            </w:r>
          </w:p>
        </w:tc>
        <w:tc>
          <w:tcPr>
            <w:tcW w:w="885" w:type="pct"/>
            <w:tcBorders>
              <w:top w:val="none" w:sz="0" w:space="0" w:color="auto"/>
              <w:bottom w:val="none" w:sz="0" w:space="0" w:color="auto"/>
            </w:tcBorders>
          </w:tcPr>
          <w:p w14:paraId="0281F062" w14:textId="30DBD1E4"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w:t>
            </w:r>
          </w:p>
        </w:tc>
        <w:tc>
          <w:tcPr>
            <w:tcW w:w="813" w:type="pct"/>
            <w:tcBorders>
              <w:top w:val="none" w:sz="0" w:space="0" w:color="auto"/>
              <w:bottom w:val="none" w:sz="0" w:space="0" w:color="auto"/>
            </w:tcBorders>
          </w:tcPr>
          <w:p w14:paraId="4DEF8B6F" w14:textId="7C0FDC0C"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w:t>
            </w:r>
          </w:p>
        </w:tc>
        <w:tc>
          <w:tcPr>
            <w:tcW w:w="767" w:type="pct"/>
            <w:tcBorders>
              <w:top w:val="none" w:sz="0" w:space="0" w:color="auto"/>
              <w:bottom w:val="none" w:sz="0" w:space="0" w:color="auto"/>
            </w:tcBorders>
          </w:tcPr>
          <w:p w14:paraId="79C50521" w14:textId="0779B41B"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173M trees for agroforestry; 19,000 ha across 190 soums</w:t>
            </w:r>
          </w:p>
        </w:tc>
        <w:tc>
          <w:tcPr>
            <w:tcW w:w="1137" w:type="pct"/>
            <w:tcBorders>
              <w:top w:val="none" w:sz="0" w:space="0" w:color="auto"/>
              <w:bottom w:val="none" w:sz="0" w:space="0" w:color="auto"/>
            </w:tcBorders>
          </w:tcPr>
          <w:p w14:paraId="1662B1BC" w14:textId="62FF35B7" w:rsidR="004F54F6" w:rsidRPr="00E35798" w:rsidRDefault="004F54F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w:t>
            </w:r>
          </w:p>
        </w:tc>
      </w:tr>
      <w:tr w:rsidR="004F54F6" w:rsidRPr="00E35798" w14:paraId="4D15F59F" w14:textId="77777777" w:rsidTr="00EE76EE">
        <w:tc>
          <w:tcPr>
            <w:cnfStyle w:val="001000000000" w:firstRow="0" w:lastRow="0" w:firstColumn="1" w:lastColumn="0" w:oddVBand="0" w:evenVBand="0" w:oddHBand="0" w:evenHBand="0" w:firstRowFirstColumn="0" w:firstRowLastColumn="0" w:lastRowFirstColumn="0" w:lastRowLastColumn="0"/>
            <w:tcW w:w="1034" w:type="pct"/>
          </w:tcPr>
          <w:p w14:paraId="154CDC09" w14:textId="73BC9960" w:rsidR="004F54F6" w:rsidRPr="00E35798" w:rsidRDefault="004F54F6" w:rsidP="00D16E24">
            <w:pPr>
              <w:pStyle w:val="OikoTables03Content"/>
              <w:spacing w:after="120" w:line="240" w:lineRule="auto"/>
              <w:rPr>
                <w:lang w:val="en-GB"/>
              </w:rPr>
            </w:pPr>
            <w:r>
              <w:rPr>
                <w:lang w:val="en-GB"/>
              </w:rPr>
              <w:t>LDN targets (UNCCD)</w:t>
            </w:r>
          </w:p>
        </w:tc>
        <w:tc>
          <w:tcPr>
            <w:tcW w:w="364" w:type="pct"/>
          </w:tcPr>
          <w:p w14:paraId="40A208EE" w14:textId="2554E74C"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2015</w:t>
            </w:r>
          </w:p>
        </w:tc>
        <w:tc>
          <w:tcPr>
            <w:tcW w:w="885" w:type="pct"/>
          </w:tcPr>
          <w:p w14:paraId="233D6D20" w14:textId="453A05FB"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813" w:type="pct"/>
          </w:tcPr>
          <w:p w14:paraId="0690363A" w14:textId="5E0450F0"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c>
          <w:tcPr>
            <w:tcW w:w="767" w:type="pct"/>
          </w:tcPr>
          <w:p w14:paraId="657CFB20" w14:textId="66A1F076"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Forest cover: 7.85% → 9% by 2030</w:t>
            </w:r>
          </w:p>
        </w:tc>
        <w:tc>
          <w:tcPr>
            <w:tcW w:w="1137" w:type="pct"/>
          </w:tcPr>
          <w:p w14:paraId="06BAF357" w14:textId="6D92C092" w:rsidR="004F54F6" w:rsidRPr="00E35798" w:rsidRDefault="004F54F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1D462B" w:rsidRPr="00E35798" w14:paraId="23B27BA8" w14:textId="77777777" w:rsidTr="001D4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6"/>
          </w:tcPr>
          <w:p w14:paraId="1C19C54A" w14:textId="34830230" w:rsidR="001D462B" w:rsidRPr="00B70A29" w:rsidRDefault="00B70A29" w:rsidP="00D16E24">
            <w:pPr>
              <w:pStyle w:val="OikoTables03Content"/>
              <w:spacing w:after="120" w:line="240" w:lineRule="auto"/>
              <w:rPr>
                <w:b w:val="0"/>
                <w:bCs w:val="0"/>
                <w:i/>
                <w:iCs/>
                <w:lang w:val="en-GB"/>
              </w:rPr>
            </w:pPr>
            <w:r w:rsidRPr="00B70A29">
              <w:rPr>
                <w:b w:val="0"/>
                <w:bCs w:val="0"/>
                <w:i/>
                <w:iCs/>
                <w:lang w:val="en-GB"/>
              </w:rPr>
              <w:t>Source: Created by author</w:t>
            </w:r>
          </w:p>
        </w:tc>
      </w:tr>
    </w:tbl>
    <w:p w14:paraId="5D3F16B1" w14:textId="77777777" w:rsidR="007A693D" w:rsidRPr="00E35798" w:rsidRDefault="007A693D" w:rsidP="00EB489E"/>
    <w:p w14:paraId="603488E5" w14:textId="77777777" w:rsidR="00AA39D8" w:rsidRPr="00E35798" w:rsidRDefault="00AA39D8" w:rsidP="00D16E24">
      <w:pPr>
        <w:spacing w:before="120" w:after="120" w:line="240" w:lineRule="auto"/>
        <w:contextualSpacing w:val="0"/>
      </w:pPr>
      <w:r>
        <w:rPr>
          <w:b/>
          <w:bCs/>
        </w:rPr>
        <w:t>Vision-2050</w:t>
      </w:r>
      <w:r>
        <w:t xml:space="preserve"> (Parliament Resolution No. 52, 2020) is the overarching national strategy. Target 8.3 (“Sustainable Agriculture”) envisions transforming crop farming into a climate-resilient, high-productivity, ecologically responsible sector. Target 6.3 addresses water security, including tiered water pricing and reservoir construction. The Action Plan for 2021–2030 sets a target of 30 percent renewable energy in total installed capacity by 2030. Target 6.2.1 references agroforestry parks as part of natural resource restoration.</w:t>
      </w:r>
    </w:p>
    <w:p w14:paraId="491BFED5" w14:textId="77777777" w:rsidR="00AA39D8" w:rsidRPr="00E35798" w:rsidRDefault="00AA39D8" w:rsidP="00EB489E">
      <w:r>
        <w:rPr>
          <w:b/>
          <w:bCs/>
        </w:rPr>
        <w:t>The New Recovery Policy</w:t>
      </w:r>
      <w:r>
        <w:t xml:space="preserve"> (Parliament Resolution No. 106, 2021) operationalises Vision-2050 over the medium term (2021–2030). It supports crop and livestock production for food security (Section 3.4), targets the development of irrigated farming and reservoir construction (Section 4.4), and commits to the Billion Trees national campaign and measures to address water scarcity and desertification (Section 5 “Green Recovery”) — creating a direct policy link between agricultural water needs and environmental restoration.</w:t>
      </w:r>
    </w:p>
    <w:p w14:paraId="611E0D85" w14:textId="77777777" w:rsidR="00ED71A8" w:rsidRDefault="00ED71A8" w:rsidP="00EB489E">
      <w:pPr>
        <w:rPr>
          <w:b/>
          <w:bCs/>
        </w:rPr>
      </w:pPr>
    </w:p>
    <w:p w14:paraId="320EC0EA" w14:textId="71CD03F7" w:rsidR="00AA39D8" w:rsidRPr="00E35798" w:rsidRDefault="00AA39D8" w:rsidP="00EB489E">
      <w:r>
        <w:rPr>
          <w:b/>
          <w:bCs/>
        </w:rPr>
        <w:t>The Government Action Plan 2024–2028</w:t>
      </w:r>
      <w:r>
        <w:t xml:space="preserve"> contains the most operationally specific targets. Measure 1.2.2.5 envisions a combined greenhouse and renewable energy model farm at Shine </w:t>
      </w:r>
      <w:proofErr w:type="spellStart"/>
      <w:r>
        <w:t>Zuunmod</w:t>
      </w:r>
      <w:proofErr w:type="spellEnd"/>
      <w:r>
        <w:t xml:space="preserve"> — one of the few policy provisions that explicitly connects renewable energy with agricultural production. Measure 3.3.3.8 enables citizen-level renewable energy generation. Measure 3.3.4.20 plans a 50-hectare winter greenhouse </w:t>
      </w:r>
      <w:proofErr w:type="spellStart"/>
      <w:r>
        <w:t>agro</w:t>
      </w:r>
      <w:proofErr w:type="spellEnd"/>
      <w:r>
        <w:t>-park. Measure 3.3.4.22 targets expanding irrigated farmland and constructing reservoirs.</w:t>
      </w:r>
    </w:p>
    <w:p w14:paraId="06CFED3D" w14:textId="77777777" w:rsidR="00ED71A8" w:rsidRDefault="00ED71A8" w:rsidP="00EB489E">
      <w:pPr>
        <w:rPr>
          <w:b/>
          <w:bCs/>
        </w:rPr>
      </w:pPr>
    </w:p>
    <w:p w14:paraId="08E8610B" w14:textId="3D552742" w:rsidR="00AA39D8" w:rsidRPr="00E35798" w:rsidRDefault="00AA39D8" w:rsidP="00EB489E">
      <w:r>
        <w:rPr>
          <w:b/>
          <w:bCs/>
        </w:rPr>
        <w:t>The Atar-4 Campaign</w:t>
      </w:r>
      <w:r>
        <w:t xml:space="preserve"> (Government Resolution No. 47, January 2025) is the most directly relevant sector programme. Its 67 measures under five targets encompass: introducing water- and energy-efficient smart technologies (item 1.1.4); establishing 10,000 km of protective forest strips and shelterbelts (item 1.1.6, up from 3,557 km in 2024); supporting advanced greenhouse complexes through preferential loans with a target of expanding greenhouse area from 39.1 to 89.0 hectares (item 4.1.5); and establishing model agroforestry nurseries of 75.1 hectares (item 3.1.8). The campaign’s preferential lending rates are set at 8,000 MNT per m² for summer greenhouses and 10,000 MNT per m² for winter greenhouses, with up to 70 percent financing for equipment, irrigation systems, and storage facility construction.</w:t>
      </w:r>
    </w:p>
    <w:p w14:paraId="0998933C" w14:textId="77777777" w:rsidR="00ED71A8" w:rsidRDefault="00ED71A8" w:rsidP="00EB489E">
      <w:pPr>
        <w:rPr>
          <w:b/>
          <w:bCs/>
        </w:rPr>
      </w:pPr>
    </w:p>
    <w:p w14:paraId="7E0F6C74" w14:textId="72F3AF4A" w:rsidR="00AA39D8" w:rsidRPr="00E35798" w:rsidRDefault="00AA39D8" w:rsidP="00EB489E">
      <w:r>
        <w:rPr>
          <w:b/>
          <w:bCs/>
        </w:rPr>
        <w:t>Parliament Resolution No. 36</w:t>
      </w:r>
      <w:r>
        <w:t xml:space="preserve"> (2022) on food supply and security targets expanding irrigated cropland by 50,000 hectares, increasing total greenhouse area to 270 hectares including a 50-hectare solar greenhouse cluster, promoting water-saving irrigation technologies and surface runoff harvesting, and developing agroforestry over 30 hectares in aimag centres and 10 hectares in soum centres.</w:t>
      </w:r>
    </w:p>
    <w:p w14:paraId="3106F50D" w14:textId="77777777" w:rsidR="00ED71A8" w:rsidRDefault="00ED71A8" w:rsidP="00EB489E">
      <w:pPr>
        <w:rPr>
          <w:b/>
          <w:bCs/>
        </w:rPr>
      </w:pPr>
    </w:p>
    <w:p w14:paraId="66C13C26" w14:textId="58FB054B" w:rsidR="00AA39D8" w:rsidRPr="00E35798" w:rsidRDefault="00AA39D8" w:rsidP="00EB489E">
      <w:r>
        <w:rPr>
          <w:b/>
          <w:bCs/>
        </w:rPr>
        <w:t>Climate policy instruments.</w:t>
      </w:r>
      <w:r>
        <w:t xml:space="preserve"> Mongolia’s updated Nationally Determined Contribution (NDC 3.0, 2024) targets a 23 percent GHG emission reduction by 2030 (versus business-as-usual) and includes specific crop sector adaptation measures: drip irrigation and synthetic film mulching in vegetable farming, forest strips around croplands, soil-conserving zero-tillage, and drought-resistant crop varieties. The National Adaptation Plan (2025) contains 99 measures under 15 targets, of which 31 measures under 9 targets are relevant for agriculture. Key measures include revising irrigation norms (Action 1.3, budget: 5,800 million MNT), expanding agroforestry to 19,000 hectares (Action 7.2, budget: 1,150,000 million MNT), and introducing drip irrigation and ecological synthetic film mulching (Action 13.1).</w:t>
      </w:r>
    </w:p>
    <w:p w14:paraId="699A2143" w14:textId="77777777" w:rsidR="00ED71A8" w:rsidRDefault="00ED71A8" w:rsidP="00EB489E">
      <w:pPr>
        <w:rPr>
          <w:b/>
          <w:bCs/>
        </w:rPr>
      </w:pPr>
    </w:p>
    <w:p w14:paraId="10526072" w14:textId="7872DD21" w:rsidR="00AA39D8" w:rsidRPr="00E35798" w:rsidRDefault="00AA39D8" w:rsidP="00EB489E">
      <w:r>
        <w:rPr>
          <w:b/>
          <w:bCs/>
        </w:rPr>
        <w:t>The Billion Trees National Campaign</w:t>
      </w:r>
      <w:r>
        <w:t xml:space="preserve"> (2021), initiated by President </w:t>
      </w:r>
      <w:proofErr w:type="spellStart"/>
      <w:r>
        <w:t>Khurelsukh</w:t>
      </w:r>
      <w:proofErr w:type="spellEnd"/>
      <w:r>
        <w:t xml:space="preserve"> at the 76th UN General Assembly, allocates tree-planting targets across four categories, of which 173 million trees are designated for specialised agroforestry under the Food Supply and Safety campaign. The action plan targets 19,000 hectares of fruit trees and shrubs across 190 soums in 21 </w:t>
      </w:r>
      <w:proofErr w:type="spellStart"/>
      <w:r>
        <w:t>aimags</w:t>
      </w:r>
      <w:proofErr w:type="spellEnd"/>
      <w:r>
        <w:t xml:space="preserve">. As of January 2026, 127.9 million trees had been planted. Under Mongolia’s voluntary Land Degradation Neutrality commitments to the UNCCD, the country </w:t>
      </w:r>
      <w:r>
        <w:lastRenderedPageBreak/>
        <w:t>targets increasing forest cover from 7.85 percent (2015 baseline) to 9 percent by 2030. Mongolia will host the UNCCD COP17 in 2026, providing additional international momentum.</w:t>
      </w:r>
    </w:p>
    <w:p w14:paraId="2499A958" w14:textId="77777777" w:rsidR="00AA39D8" w:rsidRPr="00E35798" w:rsidRDefault="00AA39D8" w:rsidP="00EB489E"/>
    <w:p w14:paraId="131A72A3" w14:textId="77777777" w:rsidR="00AA39D8" w:rsidRPr="00E35798" w:rsidRDefault="00AA39D8" w:rsidP="00D16E24">
      <w:pPr>
        <w:pStyle w:val="Heading3"/>
        <w:spacing w:line="240" w:lineRule="auto"/>
        <w:contextualSpacing w:val="0"/>
      </w:pPr>
      <w:bookmarkStart w:id="22" w:name="_Toc233981246"/>
      <w:bookmarkStart w:id="23" w:name="policy-coherence-assessment"/>
      <w:r>
        <w:t>Policy coherence assessment</w:t>
      </w:r>
      <w:bookmarkEnd w:id="22"/>
    </w:p>
    <w:p w14:paraId="78AC9853" w14:textId="77777777" w:rsidR="00AA39D8" w:rsidRPr="00E35798" w:rsidRDefault="00AA39D8" w:rsidP="00EB489E">
      <w:r>
        <w:t>A notable strength of Mongolia’s policy framework is the high degree of vertical coherence: Vision-2050 targets cascade consistently through the New Recovery Policy, Five-Year Development Guidelines, Government Action Plan, and sector-specific campaigns. However, the policy mapping identified three significant weaknesses in horizontal coherence between sectors — a critical limitation for ecosystem-based adaptation, which inherently requires cross-sectoral collaboration:</w:t>
      </w:r>
    </w:p>
    <w:p w14:paraId="105CA270" w14:textId="77777777" w:rsidR="00AA39D8" w:rsidRPr="00E35798" w:rsidRDefault="00AA39D8" w:rsidP="007502B3">
      <w:pPr>
        <w:pStyle w:val="OikoListNumbers"/>
        <w:spacing w:line="240" w:lineRule="auto"/>
        <w:ind w:right="-1"/>
        <w:contextualSpacing w:val="0"/>
      </w:pPr>
      <w:r>
        <w:rPr>
          <w:b/>
          <w:bCs/>
        </w:rPr>
        <w:t>The renewable energy and crop farming policy domains are not connected.</w:t>
      </w:r>
      <w:r>
        <w:t xml:space="preserve"> The Government Action Plan addresses renewable energy (Section 3.3.3) and crop farming (Section 3.3.4) as separate domains with no cross-referencing. Solar-powered irrigation — which sits at the intersection of both — is not addressed as an integrated concept in any policy document. The only exception is the Shine </w:t>
      </w:r>
      <w:proofErr w:type="spellStart"/>
      <w:r>
        <w:t>Zuunmod</w:t>
      </w:r>
      <w:proofErr w:type="spellEnd"/>
      <w:r>
        <w:t xml:space="preserve"> greenhouse and renewable energy model farm (item 1.2.2.5).</w:t>
      </w:r>
    </w:p>
    <w:p w14:paraId="720A3DF5" w14:textId="3B8113A9" w:rsidR="00AA39D8" w:rsidRPr="00E35798" w:rsidRDefault="00AA39D8" w:rsidP="007502B3">
      <w:pPr>
        <w:pStyle w:val="OikoListNumbers"/>
        <w:spacing w:line="240" w:lineRule="auto"/>
        <w:ind w:right="35"/>
        <w:contextualSpacing w:val="0"/>
      </w:pPr>
      <w:r>
        <w:rPr>
          <w:b/>
          <w:bCs/>
        </w:rPr>
        <w:t>Agroforestry targets are ambitious in volume but lack operational specificity.</w:t>
      </w:r>
      <w:r>
        <w:t xml:space="preserve"> Multiple policy documents set quantitative targets — 173 million agroforestry trees (Billion Trees), 10,000 km of forest strips (Atar-4), 19,000 hectares of agroforestry (NAP) — but no policy document specifies species, spacing parameters, windbreak design, or guidelines adapted to specific </w:t>
      </w:r>
      <w:proofErr w:type="spellStart"/>
      <w:r>
        <w:t>agro</w:t>
      </w:r>
      <w:proofErr w:type="spellEnd"/>
      <w:r>
        <w:t>-ecological zones such as Dundgovi or Uvurkhangai.</w:t>
      </w:r>
    </w:p>
    <w:p w14:paraId="78F3E7E9" w14:textId="77777777" w:rsidR="00AA39D8" w:rsidRPr="00E35798" w:rsidRDefault="00AA39D8" w:rsidP="007502B3">
      <w:pPr>
        <w:pStyle w:val="OikoListNumbers"/>
        <w:spacing w:line="240" w:lineRule="auto"/>
        <w:ind w:right="35"/>
        <w:contextualSpacing w:val="0"/>
      </w:pPr>
      <w:r>
        <w:rPr>
          <w:b/>
          <w:bCs/>
        </w:rPr>
        <w:t>Climate adaptation financing for the crop sector is fragmented across parallel instruments.</w:t>
      </w:r>
      <w:r>
        <w:t xml:space="preserve"> The Atar-4 campaign (800 billion MNT planned), Resolution No. 36 (361.8 billion MNT in 2024), and the New Cooperative movement (687 billion MNT in 2024) each establish separate preferential lending mechanisms. Combined volume exceeds 1.5 trillion MNT, but coordination for ecosystem-based adaptation investments across these instruments requires strengthening.</w:t>
      </w:r>
    </w:p>
    <w:bookmarkEnd w:id="23"/>
    <w:p w14:paraId="2589AEE3" w14:textId="77777777" w:rsidR="00AA39D8" w:rsidRPr="00E35798" w:rsidRDefault="00AA39D8" w:rsidP="00EB489E">
      <w:pPr>
        <w:rPr>
          <w:lang w:eastAsia="zh-CN"/>
        </w:rPr>
      </w:pPr>
    </w:p>
    <w:p w14:paraId="74AB25AB" w14:textId="162F2626" w:rsidR="00675511" w:rsidRPr="00E35798" w:rsidRDefault="00675511" w:rsidP="00D16E24">
      <w:pPr>
        <w:pStyle w:val="Heading2"/>
        <w:spacing w:line="240" w:lineRule="auto"/>
        <w:contextualSpacing w:val="0"/>
        <w:rPr>
          <w:lang w:eastAsia="zh-CN"/>
        </w:rPr>
      </w:pPr>
      <w:bookmarkStart w:id="24" w:name="_Toc233981247"/>
      <w:r>
        <w:rPr>
          <w:lang w:eastAsia="zh-CN"/>
        </w:rPr>
        <w:t>Institutional landscape and roles</w:t>
      </w:r>
      <w:bookmarkEnd w:id="24"/>
    </w:p>
    <w:p w14:paraId="673C10A5" w14:textId="04DE0345" w:rsidR="00B652B4" w:rsidRDefault="00B652B4" w:rsidP="00EB489E">
      <w:r>
        <w:t>The cross-cutting nature of ecosystem-based adaptation means that no single institution holds comprehensive jurisdiction over solar-powered irrigation, greenhouse infrastructure, or agroforestry. Table 3 maps the principal institutions and their mandates relevant to this feasibility assessment.</w:t>
      </w:r>
    </w:p>
    <w:p w14:paraId="1B8FD88A" w14:textId="77777777" w:rsidR="00ED71A8" w:rsidRPr="00E35798" w:rsidRDefault="00ED71A8" w:rsidP="00EB489E"/>
    <w:p w14:paraId="15543C13" w14:textId="01087B06" w:rsidR="00DE689D" w:rsidRPr="00E35798" w:rsidRDefault="00DE689D" w:rsidP="00D16E24">
      <w:pPr>
        <w:pStyle w:val="Caption"/>
        <w:keepNext/>
        <w:framePr w:wrap="notBeside"/>
        <w:spacing w:after="120"/>
        <w:contextualSpacing w:val="0"/>
      </w:pPr>
      <w:r>
        <w:t>Table 3. Institutional roles and mandates relevant to technology deployment</w:t>
      </w:r>
    </w:p>
    <w:tbl>
      <w:tblPr>
        <w:tblStyle w:val="GridTable1Light"/>
        <w:tblW w:w="5000" w:type="pct"/>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020" w:firstRow="1" w:lastRow="0" w:firstColumn="0" w:lastColumn="0" w:noHBand="0" w:noVBand="0"/>
      </w:tblPr>
      <w:tblGrid>
        <w:gridCol w:w="2314"/>
        <w:gridCol w:w="4106"/>
        <w:gridCol w:w="3218"/>
      </w:tblGrid>
      <w:tr w:rsidR="00734A8F" w:rsidRPr="00E35798" w14:paraId="3F484DC1" w14:textId="77777777" w:rsidTr="00ED71A8">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shd w:val="clear" w:color="auto" w:fill="E99E6D" w:themeFill="accent3"/>
          </w:tcPr>
          <w:p w14:paraId="11A75A5E" w14:textId="77777777" w:rsidR="00734A8F" w:rsidRPr="00E35798" w:rsidRDefault="00734A8F" w:rsidP="00ED71A8">
            <w:pPr>
              <w:pStyle w:val="OikoTables02"/>
            </w:pPr>
            <w:r>
              <w:t>Institution</w:t>
            </w:r>
          </w:p>
        </w:tc>
        <w:tc>
          <w:tcPr>
            <w:tcW w:w="0" w:type="auto"/>
            <w:tcBorders>
              <w:bottom w:val="none" w:sz="0" w:space="0" w:color="auto"/>
            </w:tcBorders>
            <w:shd w:val="clear" w:color="auto" w:fill="E99E6D" w:themeFill="accent3"/>
          </w:tcPr>
          <w:p w14:paraId="5C42866A" w14:textId="77777777" w:rsidR="00734A8F" w:rsidRPr="00E35798" w:rsidRDefault="00734A8F" w:rsidP="00ED71A8">
            <w:pPr>
              <w:pStyle w:val="OikoTables02"/>
            </w:pPr>
            <w:r>
              <w:t>Mandate</w:t>
            </w:r>
          </w:p>
        </w:tc>
        <w:tc>
          <w:tcPr>
            <w:tcW w:w="0" w:type="auto"/>
            <w:tcBorders>
              <w:bottom w:val="none" w:sz="0" w:space="0" w:color="auto"/>
            </w:tcBorders>
            <w:shd w:val="clear" w:color="auto" w:fill="E99E6D" w:themeFill="accent3"/>
          </w:tcPr>
          <w:p w14:paraId="7F2B682C" w14:textId="77777777" w:rsidR="00734A8F" w:rsidRPr="00E35798" w:rsidRDefault="00734A8F" w:rsidP="00ED71A8">
            <w:pPr>
              <w:pStyle w:val="OikoTables02"/>
            </w:pPr>
            <w:r>
              <w:t>Relevance to this assignment</w:t>
            </w:r>
          </w:p>
        </w:tc>
      </w:tr>
      <w:tr w:rsidR="00734A8F" w:rsidRPr="00E35798" w14:paraId="2BDB8151" w14:textId="77777777" w:rsidTr="000F3843">
        <w:tc>
          <w:tcPr>
            <w:tcW w:w="0" w:type="auto"/>
          </w:tcPr>
          <w:p w14:paraId="53DBC2FF" w14:textId="77777777" w:rsidR="00734A8F" w:rsidRPr="00E35798" w:rsidRDefault="00734A8F" w:rsidP="00D16E24">
            <w:pPr>
              <w:pStyle w:val="OikoTables02"/>
              <w:rPr>
                <w:lang w:val="en-GB"/>
              </w:rPr>
            </w:pPr>
            <w:r>
              <w:rPr>
                <w:lang w:val="en-GB"/>
              </w:rPr>
              <w:t>Ministry of Food, Agriculture and Light Industry (MOFALI)</w:t>
            </w:r>
          </w:p>
        </w:tc>
        <w:tc>
          <w:tcPr>
            <w:tcW w:w="0" w:type="auto"/>
          </w:tcPr>
          <w:p w14:paraId="30D4A155" w14:textId="77777777" w:rsidR="00734A8F" w:rsidRPr="00E35798" w:rsidRDefault="00734A8F" w:rsidP="00D16E24">
            <w:pPr>
              <w:pStyle w:val="OikoTables03Content"/>
              <w:spacing w:after="120" w:line="240" w:lineRule="auto"/>
              <w:rPr>
                <w:lang w:val="en-GB"/>
              </w:rPr>
            </w:pPr>
            <w:r>
              <w:rPr>
                <w:lang w:val="en-GB"/>
              </w:rPr>
              <w:t>Lead ministry for crop farming policy, greenhouse development, irrigation infrastructure, agricultural land management. Implements Atar-4 campaign and administers preferential agricultural loans.</w:t>
            </w:r>
          </w:p>
        </w:tc>
        <w:tc>
          <w:tcPr>
            <w:tcW w:w="0" w:type="auto"/>
          </w:tcPr>
          <w:p w14:paraId="683DF48C" w14:textId="77777777" w:rsidR="00734A8F" w:rsidRPr="00E35798" w:rsidRDefault="00734A8F" w:rsidP="00D16E24">
            <w:pPr>
              <w:pStyle w:val="OikoTables03Content"/>
              <w:spacing w:after="120" w:line="240" w:lineRule="auto"/>
              <w:rPr>
                <w:lang w:val="en-GB"/>
              </w:rPr>
            </w:pPr>
            <w:r>
              <w:rPr>
                <w:lang w:val="en-GB"/>
              </w:rPr>
              <w:t>Primary counterpart for technology deployment and standards development.</w:t>
            </w:r>
          </w:p>
        </w:tc>
      </w:tr>
      <w:tr w:rsidR="00734A8F" w:rsidRPr="00E35798" w14:paraId="6E329D44" w14:textId="77777777" w:rsidTr="000F3843">
        <w:tc>
          <w:tcPr>
            <w:tcW w:w="0" w:type="auto"/>
          </w:tcPr>
          <w:p w14:paraId="1EFCCDD4" w14:textId="77777777" w:rsidR="00734A8F" w:rsidRPr="00E35798" w:rsidRDefault="00734A8F" w:rsidP="00D16E24">
            <w:pPr>
              <w:pStyle w:val="OikoTables02"/>
              <w:rPr>
                <w:lang w:val="en-GB"/>
              </w:rPr>
            </w:pPr>
            <w:r>
              <w:rPr>
                <w:lang w:val="en-GB"/>
              </w:rPr>
              <w:t xml:space="preserve">Research and Development </w:t>
            </w:r>
            <w:proofErr w:type="spellStart"/>
            <w:r>
              <w:rPr>
                <w:lang w:val="en-GB"/>
              </w:rPr>
              <w:t>Center</w:t>
            </w:r>
            <w:proofErr w:type="spellEnd"/>
            <w:r>
              <w:rPr>
                <w:lang w:val="en-GB"/>
              </w:rPr>
              <w:t xml:space="preserve"> for Food, Agriculture and Light Industry (RDC)</w:t>
            </w:r>
          </w:p>
        </w:tc>
        <w:tc>
          <w:tcPr>
            <w:tcW w:w="0" w:type="auto"/>
          </w:tcPr>
          <w:p w14:paraId="637109D7" w14:textId="77777777" w:rsidR="00734A8F" w:rsidRPr="00E35798" w:rsidRDefault="00734A8F" w:rsidP="00D16E24">
            <w:pPr>
              <w:pStyle w:val="OikoTables03Content"/>
              <w:spacing w:after="120" w:line="240" w:lineRule="auto"/>
              <w:rPr>
                <w:lang w:val="en-GB"/>
              </w:rPr>
            </w:pPr>
            <w:r>
              <w:rPr>
                <w:lang w:val="en-GB"/>
              </w:rPr>
              <w:t>Coordinates extension services at national, aimag, and soum levels through provincial Departments of Food and Agriculture.</w:t>
            </w:r>
          </w:p>
        </w:tc>
        <w:tc>
          <w:tcPr>
            <w:tcW w:w="0" w:type="auto"/>
          </w:tcPr>
          <w:p w14:paraId="0293766B" w14:textId="77777777" w:rsidR="00734A8F" w:rsidRPr="00E35798" w:rsidRDefault="00734A8F" w:rsidP="00D16E24">
            <w:pPr>
              <w:pStyle w:val="OikoTables03Content"/>
              <w:spacing w:after="120" w:line="240" w:lineRule="auto"/>
              <w:rPr>
                <w:lang w:val="en-GB"/>
              </w:rPr>
            </w:pPr>
            <w:r>
              <w:rPr>
                <w:lang w:val="en-GB"/>
              </w:rPr>
              <w:t>Delivery channel for disseminating technology guidelines and training to smallholder farmers in pilot provinces.</w:t>
            </w:r>
          </w:p>
        </w:tc>
      </w:tr>
      <w:tr w:rsidR="00734A8F" w:rsidRPr="00E35798" w14:paraId="044FEC30" w14:textId="77777777" w:rsidTr="000F3843">
        <w:tc>
          <w:tcPr>
            <w:tcW w:w="0" w:type="auto"/>
          </w:tcPr>
          <w:p w14:paraId="26C834F7" w14:textId="77777777" w:rsidR="00734A8F" w:rsidRPr="00E35798" w:rsidRDefault="00734A8F" w:rsidP="00D16E24">
            <w:pPr>
              <w:pStyle w:val="OikoTables02"/>
              <w:rPr>
                <w:lang w:val="en-GB"/>
              </w:rPr>
            </w:pPr>
            <w:r>
              <w:rPr>
                <w:lang w:val="en-GB"/>
              </w:rPr>
              <w:t>Ministry of Environment and Climate Change (MECC)</w:t>
            </w:r>
          </w:p>
        </w:tc>
        <w:tc>
          <w:tcPr>
            <w:tcW w:w="0" w:type="auto"/>
          </w:tcPr>
          <w:p w14:paraId="69A4AA7D" w14:textId="77777777" w:rsidR="00734A8F" w:rsidRPr="00E35798" w:rsidRDefault="00734A8F" w:rsidP="00D16E24">
            <w:pPr>
              <w:pStyle w:val="OikoTables03Content"/>
              <w:spacing w:after="120" w:line="240" w:lineRule="auto"/>
              <w:rPr>
                <w:lang w:val="en-GB"/>
              </w:rPr>
            </w:pPr>
            <w:r>
              <w:rPr>
                <w:lang w:val="en-GB"/>
              </w:rPr>
              <w:t>Jurisdiction over forest resources, environmental protection, water resource management, and climate change adaptation. Oversees Forest Law, Water Law, Billion Trees Campaign, river basin administrations, and EIA. Leads NDC and NAP implementation.</w:t>
            </w:r>
          </w:p>
        </w:tc>
        <w:tc>
          <w:tcPr>
            <w:tcW w:w="0" w:type="auto"/>
          </w:tcPr>
          <w:p w14:paraId="6D2D778A" w14:textId="77777777" w:rsidR="00734A8F" w:rsidRPr="00E35798" w:rsidRDefault="00734A8F" w:rsidP="00D16E24">
            <w:pPr>
              <w:pStyle w:val="OikoTables03Content"/>
              <w:spacing w:after="120" w:line="240" w:lineRule="auto"/>
              <w:rPr>
                <w:lang w:val="en-GB"/>
              </w:rPr>
            </w:pPr>
            <w:r>
              <w:rPr>
                <w:lang w:val="en-GB"/>
              </w:rPr>
              <w:t>Co-responsible ministry for agroforestry, water management, and environmental compliance.</w:t>
            </w:r>
          </w:p>
        </w:tc>
      </w:tr>
      <w:tr w:rsidR="00734A8F" w:rsidRPr="00E35798" w14:paraId="315FB022" w14:textId="77777777" w:rsidTr="000F3843">
        <w:tc>
          <w:tcPr>
            <w:tcW w:w="0" w:type="auto"/>
          </w:tcPr>
          <w:p w14:paraId="09249514" w14:textId="77777777" w:rsidR="00734A8F" w:rsidRPr="00E35798" w:rsidRDefault="00734A8F" w:rsidP="00D16E24">
            <w:pPr>
              <w:pStyle w:val="OikoTables02"/>
              <w:rPr>
                <w:lang w:val="en-GB"/>
              </w:rPr>
            </w:pPr>
            <w:r>
              <w:rPr>
                <w:lang w:val="en-GB"/>
              </w:rPr>
              <w:t>Ministry of Energy</w:t>
            </w:r>
          </w:p>
        </w:tc>
        <w:tc>
          <w:tcPr>
            <w:tcW w:w="0" w:type="auto"/>
          </w:tcPr>
          <w:p w14:paraId="5B77D71D" w14:textId="77777777" w:rsidR="00734A8F" w:rsidRPr="00E35798" w:rsidRDefault="00734A8F" w:rsidP="00D16E24">
            <w:pPr>
              <w:pStyle w:val="OikoTables03Content"/>
              <w:spacing w:after="120" w:line="240" w:lineRule="auto"/>
              <w:rPr>
                <w:lang w:val="en-GB"/>
              </w:rPr>
            </w:pPr>
            <w:r>
              <w:rPr>
                <w:lang w:val="en-GB"/>
              </w:rPr>
              <w:t>Governs the renewable energy sector, including the Renewable Energy Law and the Energy Law. Established the National Energy Reform Committee (2024) to revise energy legislation.</w:t>
            </w:r>
          </w:p>
        </w:tc>
        <w:tc>
          <w:tcPr>
            <w:tcW w:w="0" w:type="auto"/>
          </w:tcPr>
          <w:p w14:paraId="1F844BE1" w14:textId="77777777" w:rsidR="00734A8F" w:rsidRPr="00E35798" w:rsidRDefault="00734A8F" w:rsidP="00D16E24">
            <w:pPr>
              <w:pStyle w:val="OikoTables03Content"/>
              <w:spacing w:after="120" w:line="240" w:lineRule="auto"/>
              <w:rPr>
                <w:lang w:val="en-GB"/>
              </w:rPr>
            </w:pPr>
            <w:r>
              <w:rPr>
                <w:lang w:val="en-GB"/>
              </w:rPr>
              <w:t xml:space="preserve">Mandate covers grid-connected and commercial-scale RE systems. Consumer-own-use systems (including solar irrigation pumps) fall </w:t>
            </w:r>
            <w:r>
              <w:rPr>
                <w:lang w:val="en-GB"/>
              </w:rPr>
              <w:lastRenderedPageBreak/>
              <w:t>outside jurisdiction due to RE Law Art. 3.2 exclusion.</w:t>
            </w:r>
          </w:p>
        </w:tc>
      </w:tr>
      <w:tr w:rsidR="00734A8F" w:rsidRPr="00E35798" w14:paraId="02ECDCC1" w14:textId="77777777" w:rsidTr="000F3843">
        <w:tc>
          <w:tcPr>
            <w:tcW w:w="0" w:type="auto"/>
          </w:tcPr>
          <w:p w14:paraId="3EF4E770" w14:textId="77777777" w:rsidR="00734A8F" w:rsidRPr="00E35798" w:rsidRDefault="00734A8F" w:rsidP="00D16E24">
            <w:pPr>
              <w:pStyle w:val="OikoTables02"/>
              <w:rPr>
                <w:lang w:val="en-GB"/>
              </w:rPr>
            </w:pPr>
            <w:r>
              <w:rPr>
                <w:lang w:val="en-GB"/>
              </w:rPr>
              <w:lastRenderedPageBreak/>
              <w:t>Energy Regulatory Commission (ERC)</w:t>
            </w:r>
          </w:p>
        </w:tc>
        <w:tc>
          <w:tcPr>
            <w:tcW w:w="0" w:type="auto"/>
          </w:tcPr>
          <w:p w14:paraId="545F7A6B" w14:textId="77777777" w:rsidR="00734A8F" w:rsidRPr="00E35798" w:rsidRDefault="00734A8F" w:rsidP="00D16E24">
            <w:pPr>
              <w:pStyle w:val="OikoTables03Content"/>
              <w:spacing w:after="120" w:line="240" w:lineRule="auto"/>
              <w:rPr>
                <w:lang w:val="en-GB"/>
              </w:rPr>
            </w:pPr>
            <w:r>
              <w:rPr>
                <w:lang w:val="en-GB"/>
              </w:rPr>
              <w:t>Sets tariffs for grid-connected and stand-alone renewable energy. Licenses energy activities.</w:t>
            </w:r>
          </w:p>
        </w:tc>
        <w:tc>
          <w:tcPr>
            <w:tcW w:w="0" w:type="auto"/>
          </w:tcPr>
          <w:p w14:paraId="6DE846B1" w14:textId="77777777" w:rsidR="00734A8F" w:rsidRPr="00E35798" w:rsidRDefault="00734A8F" w:rsidP="00D16E24">
            <w:pPr>
              <w:pStyle w:val="OikoTables03Content"/>
              <w:spacing w:after="120" w:line="240" w:lineRule="auto"/>
              <w:rPr>
                <w:lang w:val="en-GB"/>
              </w:rPr>
            </w:pPr>
            <w:r>
              <w:rPr>
                <w:lang w:val="en-GB"/>
              </w:rPr>
              <w:t>Mandate does not extend to consumer-own-use systems.</w:t>
            </w:r>
          </w:p>
        </w:tc>
      </w:tr>
      <w:tr w:rsidR="00734A8F" w:rsidRPr="00E35798" w14:paraId="17A83BBF" w14:textId="77777777" w:rsidTr="000F3843">
        <w:tc>
          <w:tcPr>
            <w:tcW w:w="0" w:type="auto"/>
          </w:tcPr>
          <w:p w14:paraId="53DD93AE" w14:textId="77777777" w:rsidR="00734A8F" w:rsidRPr="00E35798" w:rsidRDefault="00734A8F" w:rsidP="00D16E24">
            <w:pPr>
              <w:pStyle w:val="OikoTables02"/>
              <w:rPr>
                <w:lang w:val="en-GB"/>
              </w:rPr>
            </w:pPr>
            <w:r>
              <w:rPr>
                <w:lang w:val="en-GB"/>
              </w:rPr>
              <w:t>Mongolian Agency for Standardisation and Metrology (MASM)</w:t>
            </w:r>
          </w:p>
        </w:tc>
        <w:tc>
          <w:tcPr>
            <w:tcW w:w="0" w:type="auto"/>
          </w:tcPr>
          <w:p w14:paraId="7677638F" w14:textId="77777777" w:rsidR="00734A8F" w:rsidRPr="00E35798" w:rsidRDefault="00734A8F" w:rsidP="00D16E24">
            <w:pPr>
              <w:pStyle w:val="OikoTables03Content"/>
              <w:spacing w:after="120" w:line="240" w:lineRule="auto"/>
              <w:rPr>
                <w:lang w:val="en-GB"/>
              </w:rPr>
            </w:pPr>
            <w:r>
              <w:rPr>
                <w:lang w:val="en-GB"/>
              </w:rPr>
              <w:t>Develops and administers Mongolian national standards (MNS) through technical committees.</w:t>
            </w:r>
          </w:p>
        </w:tc>
        <w:tc>
          <w:tcPr>
            <w:tcW w:w="0" w:type="auto"/>
          </w:tcPr>
          <w:p w14:paraId="5D3364A0" w14:textId="77777777" w:rsidR="00734A8F" w:rsidRPr="00E35798" w:rsidRDefault="00734A8F" w:rsidP="00D16E24">
            <w:pPr>
              <w:pStyle w:val="OikoTables03Content"/>
              <w:spacing w:after="120" w:line="240" w:lineRule="auto"/>
              <w:rPr>
                <w:lang w:val="en-GB"/>
              </w:rPr>
            </w:pPr>
            <w:r>
              <w:rPr>
                <w:lang w:val="en-GB"/>
              </w:rPr>
              <w:t>Three greenhouse standards developed (MNS 6636, 6637, 7060). No standards for solar irrigation or agroforestry. Partner for future standards development under Output 2.</w:t>
            </w:r>
          </w:p>
        </w:tc>
      </w:tr>
      <w:tr w:rsidR="00734A8F" w:rsidRPr="00E35798" w14:paraId="10EF69C5" w14:textId="77777777" w:rsidTr="000F3843">
        <w:tc>
          <w:tcPr>
            <w:tcW w:w="0" w:type="auto"/>
          </w:tcPr>
          <w:p w14:paraId="2C08DE43" w14:textId="77777777" w:rsidR="00734A8F" w:rsidRPr="00E35798" w:rsidRDefault="00734A8F" w:rsidP="00D16E24">
            <w:pPr>
              <w:pStyle w:val="OikoTables02"/>
              <w:rPr>
                <w:lang w:val="en-GB"/>
              </w:rPr>
            </w:pPr>
            <w:r>
              <w:rPr>
                <w:lang w:val="en-GB"/>
              </w:rPr>
              <w:t>General Agency for Specialised Inspection (GASI)</w:t>
            </w:r>
          </w:p>
        </w:tc>
        <w:tc>
          <w:tcPr>
            <w:tcW w:w="0" w:type="auto"/>
          </w:tcPr>
          <w:p w14:paraId="6B437BF1" w14:textId="77777777" w:rsidR="00734A8F" w:rsidRPr="00E35798" w:rsidRDefault="00734A8F" w:rsidP="00D16E24">
            <w:pPr>
              <w:pStyle w:val="OikoTables03Content"/>
              <w:spacing w:after="120" w:line="240" w:lineRule="auto"/>
              <w:rPr>
                <w:lang w:val="en-GB"/>
              </w:rPr>
            </w:pPr>
            <w:r>
              <w:rPr>
                <w:lang w:val="en-GB"/>
              </w:rPr>
              <w:t>Enforcement and compliance monitoring across regulatory domains including food safety, environmental standards, and construction.</w:t>
            </w:r>
          </w:p>
        </w:tc>
        <w:tc>
          <w:tcPr>
            <w:tcW w:w="0" w:type="auto"/>
          </w:tcPr>
          <w:p w14:paraId="16F6B0F5" w14:textId="77777777" w:rsidR="00734A8F" w:rsidRPr="00E35798" w:rsidRDefault="00734A8F" w:rsidP="00D16E24">
            <w:pPr>
              <w:pStyle w:val="OikoTables03Content"/>
              <w:spacing w:after="120" w:line="240" w:lineRule="auto"/>
              <w:rPr>
                <w:lang w:val="en-GB"/>
              </w:rPr>
            </w:pPr>
            <w:r>
              <w:rPr>
                <w:lang w:val="en-GB"/>
              </w:rPr>
              <w:t>Potential enforcement role for any new standards or certification systems.</w:t>
            </w:r>
          </w:p>
        </w:tc>
      </w:tr>
      <w:tr w:rsidR="00734A8F" w:rsidRPr="00E35798" w14:paraId="1E304965" w14:textId="77777777" w:rsidTr="000F3843">
        <w:tc>
          <w:tcPr>
            <w:tcW w:w="0" w:type="auto"/>
          </w:tcPr>
          <w:p w14:paraId="4BB957F9" w14:textId="77777777" w:rsidR="00734A8F" w:rsidRPr="00E35798" w:rsidRDefault="00734A8F" w:rsidP="00D16E24">
            <w:pPr>
              <w:pStyle w:val="OikoTables02"/>
              <w:rPr>
                <w:lang w:val="en-GB"/>
              </w:rPr>
            </w:pPr>
            <w:r>
              <w:rPr>
                <w:lang w:val="en-GB"/>
              </w:rPr>
              <w:t>Provincial and district government</w:t>
            </w:r>
          </w:p>
        </w:tc>
        <w:tc>
          <w:tcPr>
            <w:tcW w:w="0" w:type="auto"/>
          </w:tcPr>
          <w:p w14:paraId="2070C825" w14:textId="77777777" w:rsidR="00734A8F" w:rsidRPr="00E35798" w:rsidRDefault="00734A8F" w:rsidP="00D16E24">
            <w:pPr>
              <w:pStyle w:val="OikoTables03Content"/>
              <w:spacing w:after="120" w:line="240" w:lineRule="auto"/>
              <w:rPr>
                <w:lang w:val="en-GB"/>
              </w:rPr>
            </w:pPr>
            <w:r>
              <w:rPr>
                <w:lang w:val="en-GB"/>
              </w:rPr>
              <w:t>Aimag Governor’s Office and Department of Agriculture coordinate agricultural development and land allocation. Soum governor manages land allocation and water use permits.</w:t>
            </w:r>
          </w:p>
        </w:tc>
        <w:tc>
          <w:tcPr>
            <w:tcW w:w="0" w:type="auto"/>
          </w:tcPr>
          <w:p w14:paraId="21BB015E" w14:textId="51466762" w:rsidR="00734A8F" w:rsidRPr="00E35798" w:rsidRDefault="00734A8F" w:rsidP="00D16E24">
            <w:pPr>
              <w:pStyle w:val="OikoTables03Content"/>
              <w:spacing w:after="120" w:line="240" w:lineRule="auto"/>
              <w:rPr>
                <w:lang w:val="en-GB"/>
              </w:rPr>
            </w:pPr>
            <w:r>
              <w:rPr>
                <w:lang w:val="en-GB"/>
              </w:rPr>
              <w:t>Primary implementing partners for technology deployment in Dundgovi and Uvurkhangai.</w:t>
            </w:r>
          </w:p>
        </w:tc>
      </w:tr>
      <w:tr w:rsidR="00734A8F" w:rsidRPr="00E35798" w14:paraId="4CB49289" w14:textId="77777777" w:rsidTr="000F3843">
        <w:tc>
          <w:tcPr>
            <w:tcW w:w="0" w:type="auto"/>
          </w:tcPr>
          <w:p w14:paraId="3D7C5DCA" w14:textId="77777777" w:rsidR="00734A8F" w:rsidRPr="00E35798" w:rsidRDefault="00734A8F" w:rsidP="00D16E24">
            <w:pPr>
              <w:pStyle w:val="OikoTables02"/>
              <w:rPr>
                <w:lang w:val="en-GB"/>
              </w:rPr>
            </w:pPr>
            <w:r>
              <w:rPr>
                <w:lang w:val="en-GB"/>
              </w:rPr>
              <w:t>Mongolian Greenhouse Farmers Association</w:t>
            </w:r>
          </w:p>
        </w:tc>
        <w:tc>
          <w:tcPr>
            <w:tcW w:w="0" w:type="auto"/>
          </w:tcPr>
          <w:p w14:paraId="6726EDC4" w14:textId="77777777" w:rsidR="00734A8F" w:rsidRPr="00E35798" w:rsidRDefault="00734A8F" w:rsidP="00D16E24">
            <w:pPr>
              <w:pStyle w:val="OikoTables03Content"/>
              <w:spacing w:after="120" w:line="240" w:lineRule="auto"/>
              <w:rPr>
                <w:lang w:val="en-GB"/>
              </w:rPr>
            </w:pPr>
            <w:r>
              <w:rPr>
                <w:lang w:val="en-GB"/>
              </w:rPr>
              <w:t>Industry association. Developed all three existing greenhouse MNS standards (6636:2016, 6637:2016, 7060:2024).</w:t>
            </w:r>
          </w:p>
        </w:tc>
        <w:tc>
          <w:tcPr>
            <w:tcW w:w="0" w:type="auto"/>
          </w:tcPr>
          <w:p w14:paraId="5B7C5ACF" w14:textId="77777777" w:rsidR="00734A8F" w:rsidRPr="00E35798" w:rsidRDefault="00734A8F" w:rsidP="00D16E24">
            <w:pPr>
              <w:pStyle w:val="OikoTables03Content"/>
              <w:spacing w:after="120" w:line="240" w:lineRule="auto"/>
              <w:rPr>
                <w:lang w:val="en-GB"/>
              </w:rPr>
            </w:pPr>
            <w:r>
              <w:rPr>
                <w:lang w:val="en-GB"/>
              </w:rPr>
              <w:t>Key private sector partner for greenhouse standards development and quality assurance.</w:t>
            </w:r>
          </w:p>
        </w:tc>
      </w:tr>
      <w:tr w:rsidR="00B70A29" w:rsidRPr="00E35798" w14:paraId="69D90D10" w14:textId="77777777" w:rsidTr="008757E2">
        <w:tc>
          <w:tcPr>
            <w:tcW w:w="0" w:type="auto"/>
            <w:gridSpan w:val="3"/>
          </w:tcPr>
          <w:p w14:paraId="5B51BD53" w14:textId="2825D645" w:rsidR="00B70A29" w:rsidRPr="00B70A29" w:rsidRDefault="00B70A29" w:rsidP="00D16E24">
            <w:pPr>
              <w:pStyle w:val="OikoTables03Content"/>
              <w:spacing w:after="120" w:line="240" w:lineRule="auto"/>
              <w:rPr>
                <w:i/>
                <w:iCs/>
                <w:lang w:val="en-GB"/>
              </w:rPr>
            </w:pPr>
            <w:r w:rsidRPr="00B70A29">
              <w:rPr>
                <w:i/>
                <w:iCs/>
                <w:lang w:val="en-GB"/>
              </w:rPr>
              <w:t>Source: Created by author</w:t>
            </w:r>
          </w:p>
        </w:tc>
      </w:tr>
    </w:tbl>
    <w:p w14:paraId="642E03B6" w14:textId="77777777" w:rsidR="00B652B4" w:rsidRPr="00E35798" w:rsidRDefault="00B652B4" w:rsidP="00EB489E"/>
    <w:p w14:paraId="16F055EC" w14:textId="77777777" w:rsidR="00B84E30" w:rsidRPr="00E35798" w:rsidRDefault="00B84E30" w:rsidP="00EB489E">
      <w:r>
        <w:rPr>
          <w:b/>
          <w:bCs/>
        </w:rPr>
        <w:t>Institutional coordination gap.</w:t>
      </w:r>
      <w:r>
        <w:t xml:space="preserve"> A critical finding of the institutional analysis is that solar-powered irrigation requires coordination between the Ministry of Energy, MECC, and MOFALI — but no mechanism exists for this. Agroforestry falls under the dual jurisdiction of MECC (forestry mandate) and MOFALI (agriculture mandate), with no formal inter-ministerial coordination framework. These gaps do not prevent technology deployment, but they increase the risk of inconsistent implementation and regulatory gaps.</w:t>
      </w:r>
    </w:p>
    <w:p w14:paraId="50EA629B" w14:textId="77777777" w:rsidR="00ED71A8" w:rsidRDefault="00ED71A8" w:rsidP="00EB489E">
      <w:pPr>
        <w:rPr>
          <w:b/>
          <w:bCs/>
        </w:rPr>
      </w:pPr>
    </w:p>
    <w:p w14:paraId="7C95BB7D" w14:textId="11C51604" w:rsidR="00B84E30" w:rsidRPr="00E35798" w:rsidRDefault="00B84E30" w:rsidP="00EB489E">
      <w:r>
        <w:rPr>
          <w:b/>
          <w:bCs/>
        </w:rPr>
        <w:t>Extension service capacity.</w:t>
      </w:r>
      <w:r>
        <w:t xml:space="preserve"> The National Agricultural Extension Centre (</w:t>
      </w:r>
      <w:r>
        <w:rPr>
          <w:lang w:val="en-US"/>
        </w:rPr>
        <w:t>RDC</w:t>
      </w:r>
      <w:r>
        <w:t>) coordinates a network of aimag-level extension centres and soum-level extension teams. However, following decentralisation, extension budgets at lower levels have been reduced, resulting in limited full-time services, particularly in remote soums. NAEC relies heavily on international support for its operations. For this assignment, the capacity of extension services in Dundgovi and Uvurkhangai to deliver technical guidance on solar irrigation, greenhouse management, and agroforestry practices will be a critical factor in the sustainability of any technology deployment.</w:t>
      </w:r>
    </w:p>
    <w:p w14:paraId="0397CD32" w14:textId="77777777" w:rsidR="00ED71A8" w:rsidRDefault="00ED71A8" w:rsidP="00EB489E">
      <w:pPr>
        <w:rPr>
          <w:b/>
          <w:bCs/>
        </w:rPr>
      </w:pPr>
    </w:p>
    <w:p w14:paraId="0E53CC0B" w14:textId="4AD5B544" w:rsidR="00B84E30" w:rsidRPr="00E35798" w:rsidRDefault="00B84E30" w:rsidP="00EB489E">
      <w:r>
        <w:rPr>
          <w:b/>
          <w:bCs/>
        </w:rPr>
        <w:t>International cooperation and relevant programmes.</w:t>
      </w:r>
      <w:r>
        <w:t xml:space="preserve"> Several bilateral and international programmes have accumulated technical experience directly relevant to this assignment:</w:t>
      </w:r>
    </w:p>
    <w:p w14:paraId="6AA2DA28" w14:textId="0AFF6879" w:rsidR="00A03D72" w:rsidRPr="00A03D72" w:rsidRDefault="00A03D72" w:rsidP="00A03D72">
      <w:pPr>
        <w:pStyle w:val="ListBullet3"/>
        <w:spacing w:line="240" w:lineRule="auto"/>
        <w:ind w:left="924" w:right="0" w:hanging="357"/>
        <w:contextualSpacing w:val="0"/>
      </w:pPr>
      <w:proofErr w:type="gramStart"/>
      <w:r>
        <w:rPr>
          <w:b/>
          <w:bCs/>
        </w:rPr>
        <w:t>German–Mongolian</w:t>
      </w:r>
      <w:proofErr w:type="gramEnd"/>
      <w:r>
        <w:rPr>
          <w:b/>
          <w:bCs/>
        </w:rPr>
        <w:t xml:space="preserve"> Cooperation Project “Sustainable Agriculture” (DMKNL), Phase 4 — completed 2024:</w:t>
      </w:r>
      <w:r>
        <w:t xml:space="preserve"> An agricultural policy dialogue funded by the German Federal Ministry of Food and Agriculture (BMEL) in partnership with MOFALI, focused on good agricultural practices, sustainable and climate-adapted crop and vegetable production, and the development of agricultural advisory (extension) services.</w:t>
      </w:r>
    </w:p>
    <w:p w14:paraId="04981769" w14:textId="77777777" w:rsidR="00A03D72" w:rsidRPr="00A03D72" w:rsidRDefault="00A03D72" w:rsidP="00A03D72">
      <w:pPr>
        <w:pStyle w:val="ListBullet3"/>
        <w:spacing w:line="240" w:lineRule="auto"/>
        <w:ind w:left="924" w:right="0" w:hanging="357"/>
        <w:contextualSpacing w:val="0"/>
      </w:pPr>
      <w:r>
        <w:rPr>
          <w:b/>
          <w:bCs/>
        </w:rPr>
        <w:t>Mongolia–Republic of Korea “Green Belt” Plantation Project (2007–2026), third phase ongoing:</w:t>
      </w:r>
      <w:r>
        <w:t xml:space="preserve"> Implemented by the Korea Forest Service with Mongolia’s forestry authorities. It has established more than 3,000 hectares of shelterbelts in arid and semi-arid regions and practical experience in species selection (</w:t>
      </w:r>
      <w:r>
        <w:rPr>
          <w:i/>
          <w:iCs/>
        </w:rPr>
        <w:t>Populus sibirica, Ulmus pumila</w:t>
      </w:r>
      <w:r>
        <w:t xml:space="preserve">). Phases 1 (2007–2016) and 2 (2017–2021) are complete; the third and final phase (2022–2026) adds research and training on agroforestry and the establishment of </w:t>
      </w:r>
      <w:proofErr w:type="gramStart"/>
      <w:r>
        <w:t>large mechanised</w:t>
      </w:r>
      <w:proofErr w:type="gramEnd"/>
      <w:r>
        <w:t xml:space="preserve"> nurseries in Uvurkhangai, </w:t>
      </w:r>
      <w:proofErr w:type="spellStart"/>
      <w:r>
        <w:t>Khuvsgul</w:t>
      </w:r>
      <w:proofErr w:type="spellEnd"/>
      <w:r>
        <w:t xml:space="preserve"> and Selenge — including the </w:t>
      </w:r>
      <w:proofErr w:type="spellStart"/>
      <w:r>
        <w:t>Arvaikheer</w:t>
      </w:r>
      <w:proofErr w:type="spellEnd"/>
      <w:r>
        <w:t xml:space="preserve"> forest nursery assessed during the field mission.</w:t>
      </w:r>
    </w:p>
    <w:p w14:paraId="59C6D9AE" w14:textId="77777777" w:rsidR="00A03D72" w:rsidRPr="00A03D72" w:rsidRDefault="00A03D72" w:rsidP="00A03D72">
      <w:pPr>
        <w:pStyle w:val="ListBullet3"/>
        <w:spacing w:line="240" w:lineRule="auto"/>
        <w:ind w:left="924" w:right="0" w:hanging="357"/>
        <w:contextualSpacing w:val="0"/>
      </w:pPr>
      <w:r>
        <w:rPr>
          <w:b/>
          <w:bCs/>
        </w:rPr>
        <w:t>Scaling up Climate Ambition on Land Use and Agriculture through NDCs and NAPs (SCALA), 2021–2028 — ongoing:</w:t>
      </w:r>
      <w:r>
        <w:t xml:space="preserve"> Co-implemented by FAO and UNDP with funding from </w:t>
      </w:r>
      <w:r>
        <w:lastRenderedPageBreak/>
        <w:t>Germany’s International Climate Initiative (IKI); Mongolia is one of twelve core countries. In Mongolia it has conducted a feasibility assessment of establishing forest strips around arable land as an adaptation strategy (using the SEPAL monitoring tool) and recommends including forest-strip implementation in the next NDC update.</w:t>
      </w:r>
    </w:p>
    <w:p w14:paraId="3C99CD71" w14:textId="77777777" w:rsidR="00A03D72" w:rsidRPr="00A03D72" w:rsidRDefault="00A03D72" w:rsidP="00A03D72">
      <w:pPr>
        <w:pStyle w:val="ListBullet3"/>
        <w:spacing w:line="240" w:lineRule="auto"/>
        <w:ind w:left="924" w:right="0" w:hanging="357"/>
        <w:contextualSpacing w:val="0"/>
      </w:pPr>
      <w:r>
        <w:rPr>
          <w:b/>
          <w:bCs/>
        </w:rPr>
        <w:t>Korea-funded Smart Farm Project (since 2021) — ongoing:</w:t>
      </w:r>
      <w:r>
        <w:t xml:space="preserve"> Implemented with the Mongolian University of Life Sciences (MULS) and funded by the Government of the Republic of Korea. Eight of ten planned smart winter and summer greenhouses adapted to Mongolia’s climate are in operation, with continuing research on new crop varieties and greenhouse-complex optimisation.</w:t>
      </w:r>
    </w:p>
    <w:p w14:paraId="736B2ABC" w14:textId="77777777" w:rsidR="00A03D72" w:rsidRPr="00A03D72" w:rsidRDefault="00A03D72" w:rsidP="00A03D72">
      <w:pPr>
        <w:pStyle w:val="ListBullet3"/>
        <w:spacing w:line="240" w:lineRule="auto"/>
        <w:ind w:left="924" w:right="0" w:hanging="357"/>
        <w:contextualSpacing w:val="0"/>
      </w:pPr>
      <w:r>
        <w:rPr>
          <w:b/>
          <w:bCs/>
        </w:rPr>
        <w:t>ADB-financed projects — ongoing:</w:t>
      </w:r>
      <w:r>
        <w:t xml:space="preserve"> The Vegetable Production and Irrigated Agriculture Project (ADB Loan No. 51423-002; approved 2020; USD 40 million from ADB and the Japan Fund for Poverty Reduction; executing agency MOFALI) is rehabilitating irrigation schemes and strengthening vegetable value chains and food-safety systems across 12 soums in 7 </w:t>
      </w:r>
      <w:proofErr w:type="spellStart"/>
      <w:r>
        <w:t>aimags</w:t>
      </w:r>
      <w:proofErr w:type="spellEnd"/>
      <w:r>
        <w:t xml:space="preserve">. The Agriculture and Rural Development Project, Phase 2 (ADB Loan No. 55218-001; approved 2024; USD 57.1 million) supports </w:t>
      </w:r>
      <w:proofErr w:type="spellStart"/>
      <w:r>
        <w:t>agro</w:t>
      </w:r>
      <w:proofErr w:type="spellEnd"/>
      <w:r>
        <w:t xml:space="preserve">-enterprise value chains, </w:t>
      </w:r>
      <w:proofErr w:type="spellStart"/>
      <w:r>
        <w:t>agro</w:t>
      </w:r>
      <w:proofErr w:type="spellEnd"/>
      <w:r>
        <w:t>-processing and climate-resilient production. Its predecessor, the first Agriculture and Rural Development Project (ADB No. 39229-022), is completed.</w:t>
      </w:r>
    </w:p>
    <w:p w14:paraId="71536175" w14:textId="77777777" w:rsidR="00A03D72" w:rsidRPr="00A03D72" w:rsidRDefault="00A03D72" w:rsidP="00A03D72">
      <w:pPr>
        <w:pStyle w:val="ListBullet3"/>
        <w:spacing w:line="240" w:lineRule="auto"/>
        <w:ind w:left="924" w:right="0" w:hanging="357"/>
        <w:contextualSpacing w:val="0"/>
      </w:pPr>
      <w:r>
        <w:rPr>
          <w:b/>
          <w:bCs/>
        </w:rPr>
        <w:t>STREAM+ (Sustainable Ecosystem and Agriculture Management in Mongolia, Phase 2), 2024–2028 — ongoing:</w:t>
      </w:r>
      <w:r>
        <w:t xml:space="preserve"> Co-funded by the European Union and the German Federal Ministry for Economic Cooperation and Development (BMZ) and implemented by GIZ and FAO with the Ministry of Environment and Climate Change (EUR 15.8 million; Khentii, Selenge, </w:t>
      </w:r>
      <w:proofErr w:type="spellStart"/>
      <w:r>
        <w:t>Khuvsgul</w:t>
      </w:r>
      <w:proofErr w:type="spellEnd"/>
      <w:r>
        <w:t xml:space="preserve"> and </w:t>
      </w:r>
      <w:proofErr w:type="spellStart"/>
      <w:r>
        <w:t>Zavkhan</w:t>
      </w:r>
      <w:proofErr w:type="spellEnd"/>
      <w:r>
        <w:t xml:space="preserve"> </w:t>
      </w:r>
      <w:proofErr w:type="spellStart"/>
      <w:r>
        <w:t>aimags</w:t>
      </w:r>
      <w:proofErr w:type="spellEnd"/>
      <w:r>
        <w:t>). It supports sustainable landscape management, biodiversity conservation and climate-change adaptation in agriculture and forestry.</w:t>
      </w:r>
    </w:p>
    <w:p w14:paraId="44118A55" w14:textId="17DAAF11" w:rsidR="00D62A23" w:rsidRPr="00A03D72" w:rsidRDefault="00A03D72" w:rsidP="00A03D72">
      <w:pPr>
        <w:pStyle w:val="ListBullet3"/>
        <w:spacing w:line="240" w:lineRule="auto"/>
        <w:ind w:left="924" w:right="0" w:hanging="357"/>
        <w:contextualSpacing w:val="0"/>
      </w:pPr>
      <w:r>
        <w:rPr>
          <w:b/>
          <w:bCs/>
        </w:rPr>
        <w:t>JICA market-oriented agriculture promotion project (SHEP / MON-SHEP) — ongoing:</w:t>
      </w:r>
      <w:r>
        <w:t xml:space="preserve"> A Japan International Cooperation Agency initiative applying the market-oriented Smallholder Horticulture Empowerment and Promotion (SHEP) approach to strengthen vegetable supply and grower incomes; provincial food and agriculture departments in the target </w:t>
      </w:r>
      <w:proofErr w:type="spellStart"/>
      <w:r>
        <w:t>aimags</w:t>
      </w:r>
      <w:proofErr w:type="spellEnd"/>
      <w:r>
        <w:t xml:space="preserve"> have already delivered farmer training in coordination with it.</w:t>
      </w:r>
    </w:p>
    <w:p w14:paraId="2BDEBF0E" w14:textId="77777777" w:rsidR="007502B3" w:rsidRPr="00E35798" w:rsidRDefault="007502B3" w:rsidP="007502B3">
      <w:pPr>
        <w:pStyle w:val="ListBullet3"/>
        <w:numPr>
          <w:ilvl w:val="0"/>
          <w:numId w:val="0"/>
        </w:numPr>
        <w:spacing w:line="240" w:lineRule="auto"/>
        <w:ind w:left="927"/>
        <w:contextualSpacing w:val="0"/>
      </w:pPr>
    </w:p>
    <w:p w14:paraId="1E1AFDF3" w14:textId="73A28C3A" w:rsidR="00675511" w:rsidRPr="00E35798" w:rsidRDefault="00675511" w:rsidP="00D16E24">
      <w:pPr>
        <w:pStyle w:val="Heading2"/>
        <w:spacing w:line="240" w:lineRule="auto"/>
        <w:contextualSpacing w:val="0"/>
        <w:rPr>
          <w:lang w:eastAsia="zh-CN"/>
        </w:rPr>
      </w:pPr>
      <w:bookmarkStart w:id="25" w:name="_Toc233981248"/>
      <w:r>
        <w:rPr>
          <w:lang w:eastAsia="zh-CN"/>
        </w:rPr>
        <w:t>Regulatory and standards framework</w:t>
      </w:r>
      <w:bookmarkEnd w:id="25"/>
    </w:p>
    <w:p w14:paraId="5EDBDD04" w14:textId="4C7396CE" w:rsidR="00AA3439" w:rsidRDefault="00AA3439" w:rsidP="00EB489E">
      <w:r>
        <w:t>The regulatory environment for the three technology areas is characterised by a framework of primary legislation that provides general coverage but lacks the subordinate regulations and technical standards (MNS) needed for quality-assured implementation. Table 4 summarises the legal framework.</w:t>
      </w:r>
    </w:p>
    <w:p w14:paraId="185752B9" w14:textId="77777777" w:rsidR="00ED71A8" w:rsidRPr="00E35798" w:rsidRDefault="00ED71A8" w:rsidP="00EB489E"/>
    <w:p w14:paraId="0206D0C2" w14:textId="03E1C6AF" w:rsidR="009931C5" w:rsidRPr="00E35798" w:rsidRDefault="009931C5" w:rsidP="00D16E24">
      <w:pPr>
        <w:pStyle w:val="Caption"/>
        <w:keepNext/>
        <w:framePr w:wrap="notBeside"/>
        <w:spacing w:after="120"/>
        <w:contextualSpacing w:val="0"/>
      </w:pPr>
      <w:r>
        <w:t>Table 4. Legal and regulatory framework for the focal technology areas</w:t>
      </w:r>
    </w:p>
    <w:tbl>
      <w:tblPr>
        <w:tblW w:w="5000" w:type="pct"/>
        <w:tblBorders>
          <w:top w:val="single" w:sz="4" w:space="0" w:color="BCBCBC" w:themeColor="background1"/>
          <w:bottom w:val="single" w:sz="4" w:space="0" w:color="BCBCBC" w:themeColor="background1"/>
          <w:insideH w:val="single" w:sz="4" w:space="0" w:color="BCBCBC" w:themeColor="background1"/>
        </w:tblBorders>
        <w:tblLook w:val="0020" w:firstRow="1" w:lastRow="0" w:firstColumn="0" w:lastColumn="0" w:noHBand="0" w:noVBand="0"/>
      </w:tblPr>
      <w:tblGrid>
        <w:gridCol w:w="1575"/>
        <w:gridCol w:w="1062"/>
        <w:gridCol w:w="3146"/>
        <w:gridCol w:w="3855"/>
      </w:tblGrid>
      <w:tr w:rsidR="00160242" w:rsidRPr="00E35798" w14:paraId="571C316D" w14:textId="77777777" w:rsidTr="00ED71A8">
        <w:trPr>
          <w:tblHeader/>
        </w:trPr>
        <w:tc>
          <w:tcPr>
            <w:tcW w:w="0" w:type="auto"/>
            <w:shd w:val="clear" w:color="auto" w:fill="E99E6D" w:themeFill="accent3"/>
          </w:tcPr>
          <w:p w14:paraId="033424C2" w14:textId="77777777" w:rsidR="00160242" w:rsidRPr="00E35798" w:rsidRDefault="00160242" w:rsidP="00ED71A8">
            <w:pPr>
              <w:pStyle w:val="OikoTables02"/>
            </w:pPr>
            <w:r>
              <w:t>Law</w:t>
            </w:r>
          </w:p>
        </w:tc>
        <w:tc>
          <w:tcPr>
            <w:tcW w:w="0" w:type="auto"/>
            <w:shd w:val="clear" w:color="auto" w:fill="E99E6D" w:themeFill="accent3"/>
          </w:tcPr>
          <w:p w14:paraId="0272E379" w14:textId="77777777" w:rsidR="00160242" w:rsidRPr="00E35798" w:rsidRDefault="00160242" w:rsidP="00ED71A8">
            <w:pPr>
              <w:pStyle w:val="OikoTables02"/>
            </w:pPr>
            <w:r>
              <w:t>Year</w:t>
            </w:r>
          </w:p>
        </w:tc>
        <w:tc>
          <w:tcPr>
            <w:tcW w:w="0" w:type="auto"/>
            <w:shd w:val="clear" w:color="auto" w:fill="E99E6D" w:themeFill="accent3"/>
          </w:tcPr>
          <w:p w14:paraId="0C8D46E5" w14:textId="77777777" w:rsidR="00160242" w:rsidRPr="00E35798" w:rsidRDefault="00160242" w:rsidP="00ED71A8">
            <w:pPr>
              <w:pStyle w:val="OikoTables02"/>
            </w:pPr>
            <w:r>
              <w:t>Key provisions relevant to this assignment</w:t>
            </w:r>
          </w:p>
        </w:tc>
        <w:tc>
          <w:tcPr>
            <w:tcW w:w="0" w:type="auto"/>
            <w:shd w:val="clear" w:color="auto" w:fill="E99E6D" w:themeFill="accent3"/>
          </w:tcPr>
          <w:p w14:paraId="22E57091" w14:textId="77777777" w:rsidR="00160242" w:rsidRPr="00E35798" w:rsidRDefault="00160242" w:rsidP="00ED71A8">
            <w:pPr>
              <w:pStyle w:val="OikoTables02"/>
            </w:pPr>
            <w:r>
              <w:t>Limitations for technology deployment</w:t>
            </w:r>
          </w:p>
        </w:tc>
      </w:tr>
      <w:tr w:rsidR="00160242" w:rsidRPr="00E35798" w14:paraId="3B6B72D7" w14:textId="77777777" w:rsidTr="00DC3D34">
        <w:tc>
          <w:tcPr>
            <w:tcW w:w="0" w:type="auto"/>
          </w:tcPr>
          <w:p w14:paraId="6FA1068D" w14:textId="77777777" w:rsidR="00160242" w:rsidRPr="00E35798" w:rsidRDefault="00160242" w:rsidP="00D16E24">
            <w:pPr>
              <w:pStyle w:val="OikoTables03Content"/>
              <w:spacing w:after="120" w:line="240" w:lineRule="auto"/>
              <w:rPr>
                <w:lang w:val="en-GB"/>
              </w:rPr>
            </w:pPr>
            <w:r>
              <w:rPr>
                <w:lang w:val="en-GB"/>
              </w:rPr>
              <w:t>Law on Crop Farming</w:t>
            </w:r>
          </w:p>
        </w:tc>
        <w:tc>
          <w:tcPr>
            <w:tcW w:w="0" w:type="auto"/>
          </w:tcPr>
          <w:p w14:paraId="0F8534E7" w14:textId="77777777" w:rsidR="00160242" w:rsidRPr="00E35798" w:rsidRDefault="00160242" w:rsidP="00D16E24">
            <w:pPr>
              <w:pStyle w:val="OikoTables03Content"/>
              <w:spacing w:after="120" w:line="240" w:lineRule="auto"/>
              <w:rPr>
                <w:lang w:val="en-GB"/>
              </w:rPr>
            </w:pPr>
            <w:r>
              <w:rPr>
                <w:lang w:val="en-GB"/>
              </w:rPr>
              <w:t>2016; amended 2024</w:t>
            </w:r>
          </w:p>
        </w:tc>
        <w:tc>
          <w:tcPr>
            <w:tcW w:w="0" w:type="auto"/>
          </w:tcPr>
          <w:p w14:paraId="044B4821" w14:textId="77777777" w:rsidR="00160242" w:rsidRPr="00E35798" w:rsidRDefault="00160242" w:rsidP="00D16E24">
            <w:pPr>
              <w:pStyle w:val="OikoTables03Content"/>
              <w:spacing w:after="120" w:line="240" w:lineRule="auto"/>
              <w:rPr>
                <w:lang w:val="en-GB"/>
              </w:rPr>
            </w:pPr>
            <w:r>
              <w:rPr>
                <w:lang w:val="en-GB"/>
              </w:rPr>
              <w:t>Art. 12: Protective forest strips as agricultural land category. Art. 19.5: State support priorities incl. irrigation (19.5.1), windbreaks (19.5.2), greenhouses (19.5.5). Art. 18: Conservation tillage mandate.</w:t>
            </w:r>
          </w:p>
        </w:tc>
        <w:tc>
          <w:tcPr>
            <w:tcW w:w="0" w:type="auto"/>
          </w:tcPr>
          <w:p w14:paraId="571AD508" w14:textId="77777777" w:rsidR="00160242" w:rsidRPr="00E35798" w:rsidRDefault="00160242" w:rsidP="00D16E24">
            <w:pPr>
              <w:pStyle w:val="OikoTables03Content"/>
              <w:spacing w:after="120" w:line="240" w:lineRule="auto"/>
              <w:rPr>
                <w:lang w:val="en-GB"/>
              </w:rPr>
            </w:pPr>
            <w:r>
              <w:rPr>
                <w:lang w:val="en-GB"/>
              </w:rPr>
              <w:t>Silent on solar-powered irrigation, greenhouse design standards, agroforestry species/spacing, and climate adaptation as a distinct objective. Treats greenhouses and windbreaks as objects of financial support rather than regulated activities requiring technical standards.</w:t>
            </w:r>
          </w:p>
        </w:tc>
      </w:tr>
      <w:tr w:rsidR="00160242" w:rsidRPr="00E35798" w14:paraId="16649878" w14:textId="77777777" w:rsidTr="00DC3D34">
        <w:tc>
          <w:tcPr>
            <w:tcW w:w="0" w:type="auto"/>
          </w:tcPr>
          <w:p w14:paraId="24218144" w14:textId="77777777" w:rsidR="00160242" w:rsidRPr="00E35798" w:rsidRDefault="00160242" w:rsidP="00D16E24">
            <w:pPr>
              <w:pStyle w:val="OikoTables03Content"/>
              <w:spacing w:after="120" w:line="240" w:lineRule="auto"/>
              <w:rPr>
                <w:lang w:val="en-GB"/>
              </w:rPr>
            </w:pPr>
            <w:r>
              <w:rPr>
                <w:lang w:val="en-GB"/>
              </w:rPr>
              <w:t xml:space="preserve">Law on Renewable Energy </w:t>
            </w:r>
          </w:p>
        </w:tc>
        <w:tc>
          <w:tcPr>
            <w:tcW w:w="0" w:type="auto"/>
          </w:tcPr>
          <w:p w14:paraId="3468DB68" w14:textId="77777777" w:rsidR="00160242" w:rsidRPr="00E35798" w:rsidRDefault="00160242" w:rsidP="00D16E24">
            <w:pPr>
              <w:pStyle w:val="OikoTables03Content"/>
              <w:spacing w:after="120" w:line="240" w:lineRule="auto"/>
              <w:rPr>
                <w:lang w:val="en-GB"/>
              </w:rPr>
            </w:pPr>
            <w:r>
              <w:rPr>
                <w:lang w:val="en-GB"/>
              </w:rPr>
              <w:t>2007; amended 2022</w:t>
            </w:r>
          </w:p>
        </w:tc>
        <w:tc>
          <w:tcPr>
            <w:tcW w:w="0" w:type="auto"/>
          </w:tcPr>
          <w:p w14:paraId="35B5E61F" w14:textId="77777777" w:rsidR="00160242" w:rsidRPr="00E35798" w:rsidRDefault="00160242" w:rsidP="00D16E24">
            <w:pPr>
              <w:pStyle w:val="OikoTables03Content"/>
              <w:spacing w:after="120" w:line="240" w:lineRule="auto"/>
              <w:rPr>
                <w:lang w:val="en-GB"/>
              </w:rPr>
            </w:pPr>
            <w:r>
              <w:rPr>
                <w:lang w:val="en-GB"/>
              </w:rPr>
              <w:t>Art. 5.3.7: Mandate to develop RE equipment standards. Art. 11.4: Prosumer tariff for distributed generation to grid. RE Fund, licensing, feed-in tariffs.</w:t>
            </w:r>
          </w:p>
        </w:tc>
        <w:tc>
          <w:tcPr>
            <w:tcW w:w="0" w:type="auto"/>
          </w:tcPr>
          <w:p w14:paraId="1E49F5BA" w14:textId="77777777" w:rsidR="00160242" w:rsidRPr="00E35798" w:rsidRDefault="00160242" w:rsidP="00D16E24">
            <w:pPr>
              <w:pStyle w:val="OikoTables03Content"/>
              <w:spacing w:after="120" w:line="240" w:lineRule="auto"/>
              <w:rPr>
                <w:lang w:val="en-GB"/>
              </w:rPr>
            </w:pPr>
            <w:r>
              <w:rPr>
                <w:lang w:val="en-GB"/>
              </w:rPr>
              <w:t>Art. 3.2 excludes consumer-own-use systems — solar irrigation pumps fall outside all RE regulation. No standard developed for agricultural solar equipment despite Art. 5.3.7 mandate. Tax incentive applicability to off-grid agricultural equipment is ambiguous.</w:t>
            </w:r>
          </w:p>
        </w:tc>
      </w:tr>
      <w:tr w:rsidR="00160242" w:rsidRPr="00E35798" w14:paraId="50EB3F98" w14:textId="77777777" w:rsidTr="00DC3D34">
        <w:tc>
          <w:tcPr>
            <w:tcW w:w="0" w:type="auto"/>
          </w:tcPr>
          <w:p w14:paraId="2C39FA67" w14:textId="77777777" w:rsidR="00160242" w:rsidRPr="00E35798" w:rsidRDefault="00160242" w:rsidP="00D16E24">
            <w:pPr>
              <w:pStyle w:val="OikoTables03Content"/>
              <w:spacing w:after="120" w:line="240" w:lineRule="auto"/>
              <w:rPr>
                <w:lang w:val="en-GB"/>
              </w:rPr>
            </w:pPr>
            <w:r>
              <w:rPr>
                <w:lang w:val="en-GB"/>
              </w:rPr>
              <w:t>Law on Water</w:t>
            </w:r>
          </w:p>
        </w:tc>
        <w:tc>
          <w:tcPr>
            <w:tcW w:w="0" w:type="auto"/>
          </w:tcPr>
          <w:p w14:paraId="47480DD8" w14:textId="77777777" w:rsidR="00160242" w:rsidRPr="00E35798" w:rsidRDefault="00160242" w:rsidP="00D16E24">
            <w:pPr>
              <w:pStyle w:val="OikoTables03Content"/>
              <w:spacing w:after="120" w:line="240" w:lineRule="auto"/>
              <w:rPr>
                <w:lang w:val="en-GB"/>
              </w:rPr>
            </w:pPr>
            <w:r>
              <w:rPr>
                <w:lang w:val="en-GB"/>
              </w:rPr>
              <w:t>2012; amended 2023</w:t>
            </w:r>
          </w:p>
        </w:tc>
        <w:tc>
          <w:tcPr>
            <w:tcW w:w="0" w:type="auto"/>
          </w:tcPr>
          <w:p w14:paraId="3247FBCD" w14:textId="77777777" w:rsidR="00160242" w:rsidRPr="00E35798" w:rsidRDefault="00160242" w:rsidP="00D16E24">
            <w:pPr>
              <w:pStyle w:val="OikoTables03Content"/>
              <w:spacing w:after="120" w:line="240" w:lineRule="auto"/>
              <w:rPr>
                <w:lang w:val="en-GB"/>
              </w:rPr>
            </w:pPr>
            <w:r>
              <w:rPr>
                <w:lang w:val="en-GB"/>
              </w:rPr>
              <w:t xml:space="preserve">Art. 3.1.14: Defines irrigation systems. IWRM framework, basin administrations, permitting. Art. </w:t>
            </w:r>
            <w:r>
              <w:rPr>
                <w:lang w:val="en-GB"/>
              </w:rPr>
              <w:lastRenderedPageBreak/>
              <w:t>30.1.2: Monitoring for users &gt;50 m³/day.</w:t>
            </w:r>
          </w:p>
        </w:tc>
        <w:tc>
          <w:tcPr>
            <w:tcW w:w="0" w:type="auto"/>
          </w:tcPr>
          <w:p w14:paraId="0E93A345" w14:textId="77777777" w:rsidR="00160242" w:rsidRPr="00E35798" w:rsidRDefault="00160242" w:rsidP="00D16E24">
            <w:pPr>
              <w:pStyle w:val="OikoTables03Content"/>
              <w:spacing w:after="120" w:line="240" w:lineRule="auto"/>
              <w:rPr>
                <w:lang w:val="en-GB"/>
              </w:rPr>
            </w:pPr>
            <w:r>
              <w:rPr>
                <w:lang w:val="en-GB"/>
              </w:rPr>
              <w:lastRenderedPageBreak/>
              <w:t xml:space="preserve">No extraction rate thresholds (m³/ha/season) for agricultural irrigation. No safeguards for </w:t>
            </w:r>
            <w:r>
              <w:rPr>
                <w:lang w:val="en-GB"/>
              </w:rPr>
              <w:lastRenderedPageBreak/>
              <w:t>solar-pumping over-extraction risk. No province-level water allocation quotas.</w:t>
            </w:r>
          </w:p>
        </w:tc>
      </w:tr>
      <w:tr w:rsidR="00160242" w:rsidRPr="00E35798" w14:paraId="76AA34E1" w14:textId="77777777" w:rsidTr="00DC3D34">
        <w:tc>
          <w:tcPr>
            <w:tcW w:w="0" w:type="auto"/>
          </w:tcPr>
          <w:p w14:paraId="6BF38687" w14:textId="77777777" w:rsidR="00160242" w:rsidRPr="00E35798" w:rsidRDefault="00160242" w:rsidP="00D16E24">
            <w:pPr>
              <w:pStyle w:val="OikoTables03Content"/>
              <w:spacing w:after="120" w:line="240" w:lineRule="auto"/>
              <w:rPr>
                <w:lang w:val="en-GB"/>
              </w:rPr>
            </w:pPr>
            <w:r>
              <w:rPr>
                <w:lang w:val="en-GB"/>
              </w:rPr>
              <w:lastRenderedPageBreak/>
              <w:t>Law on Forest</w:t>
            </w:r>
          </w:p>
        </w:tc>
        <w:tc>
          <w:tcPr>
            <w:tcW w:w="0" w:type="auto"/>
          </w:tcPr>
          <w:p w14:paraId="787CE0DA" w14:textId="77777777" w:rsidR="00160242" w:rsidRPr="00E35798" w:rsidRDefault="00160242" w:rsidP="00D16E24">
            <w:pPr>
              <w:pStyle w:val="OikoTables03Content"/>
              <w:spacing w:after="120" w:line="240" w:lineRule="auto"/>
              <w:rPr>
                <w:lang w:val="en-GB"/>
              </w:rPr>
            </w:pPr>
            <w:r>
              <w:rPr>
                <w:lang w:val="en-GB"/>
              </w:rPr>
              <w:t>2012; amended 2024</w:t>
            </w:r>
          </w:p>
        </w:tc>
        <w:tc>
          <w:tcPr>
            <w:tcW w:w="0" w:type="auto"/>
          </w:tcPr>
          <w:p w14:paraId="69CAF61E" w14:textId="77777777" w:rsidR="00160242" w:rsidRPr="00E35798" w:rsidRDefault="00160242" w:rsidP="00D16E24">
            <w:pPr>
              <w:pStyle w:val="OikoTables03Content"/>
              <w:spacing w:after="120" w:line="240" w:lineRule="auto"/>
              <w:rPr>
                <w:lang w:val="en-GB"/>
              </w:rPr>
            </w:pPr>
            <w:r>
              <w:rPr>
                <w:lang w:val="en-GB"/>
              </w:rPr>
              <w:t>Art. 4.2: Ownership of planted forests. Provisions for establishing agroforestry.</w:t>
            </w:r>
          </w:p>
        </w:tc>
        <w:tc>
          <w:tcPr>
            <w:tcW w:w="0" w:type="auto"/>
          </w:tcPr>
          <w:p w14:paraId="2A50BE88" w14:textId="77777777" w:rsidR="00160242" w:rsidRPr="00E35798" w:rsidRDefault="00160242" w:rsidP="00D16E24">
            <w:pPr>
              <w:pStyle w:val="OikoTables03Content"/>
              <w:spacing w:after="120" w:line="240" w:lineRule="auto"/>
              <w:rPr>
                <w:lang w:val="en-GB"/>
              </w:rPr>
            </w:pPr>
            <w:r>
              <w:rPr>
                <w:lang w:val="en-GB"/>
              </w:rPr>
              <w:t>Designed for natural forest management, not agricultural-forestry integration. No species selection guidance, spacing parameters, or windbreak design standards. Dual jurisdiction MECC/MOFALI with no coordination mechanism.</w:t>
            </w:r>
          </w:p>
        </w:tc>
      </w:tr>
      <w:tr w:rsidR="00160242" w:rsidRPr="00E35798" w14:paraId="60603ADC" w14:textId="77777777" w:rsidTr="00DC3D34">
        <w:tc>
          <w:tcPr>
            <w:tcW w:w="0" w:type="auto"/>
          </w:tcPr>
          <w:p w14:paraId="7ABB94E5" w14:textId="77777777" w:rsidR="00160242" w:rsidRPr="00E35798" w:rsidRDefault="00160242" w:rsidP="00D16E24">
            <w:pPr>
              <w:pStyle w:val="OikoTables03Content"/>
              <w:spacing w:after="120" w:line="240" w:lineRule="auto"/>
              <w:rPr>
                <w:lang w:val="en-GB"/>
              </w:rPr>
            </w:pPr>
            <w:r>
              <w:rPr>
                <w:lang w:val="en-GB"/>
              </w:rPr>
              <w:t xml:space="preserve">Law on Environmental Protection </w:t>
            </w:r>
          </w:p>
        </w:tc>
        <w:tc>
          <w:tcPr>
            <w:tcW w:w="0" w:type="auto"/>
          </w:tcPr>
          <w:p w14:paraId="094C0A75" w14:textId="77777777" w:rsidR="00160242" w:rsidRPr="00E35798" w:rsidRDefault="00160242" w:rsidP="00D16E24">
            <w:pPr>
              <w:pStyle w:val="OikoTables03Content"/>
              <w:spacing w:after="120" w:line="240" w:lineRule="auto"/>
              <w:rPr>
                <w:lang w:val="en-GB"/>
              </w:rPr>
            </w:pPr>
            <w:r>
              <w:rPr>
                <w:lang w:val="en-GB"/>
              </w:rPr>
              <w:t>1995; amended 2024</w:t>
            </w:r>
          </w:p>
        </w:tc>
        <w:tc>
          <w:tcPr>
            <w:tcW w:w="0" w:type="auto"/>
          </w:tcPr>
          <w:p w14:paraId="4539E852" w14:textId="77777777" w:rsidR="00160242" w:rsidRPr="00E35798" w:rsidRDefault="00160242" w:rsidP="00D16E24">
            <w:pPr>
              <w:pStyle w:val="OikoTables03Content"/>
              <w:spacing w:after="120" w:line="240" w:lineRule="auto"/>
              <w:rPr>
                <w:lang w:val="en-GB"/>
              </w:rPr>
            </w:pPr>
            <w:r>
              <w:rPr>
                <w:lang w:val="en-GB"/>
              </w:rPr>
              <w:t>General environmental protection framework, monitoring, resource management.</w:t>
            </w:r>
          </w:p>
        </w:tc>
        <w:tc>
          <w:tcPr>
            <w:tcW w:w="0" w:type="auto"/>
          </w:tcPr>
          <w:p w14:paraId="59926602" w14:textId="77777777" w:rsidR="00160242" w:rsidRPr="00E35798" w:rsidRDefault="00160242" w:rsidP="00D16E24">
            <w:pPr>
              <w:pStyle w:val="OikoTables03Content"/>
              <w:spacing w:after="120" w:line="240" w:lineRule="auto"/>
              <w:rPr>
                <w:lang w:val="en-GB"/>
              </w:rPr>
            </w:pPr>
            <w:r>
              <w:rPr>
                <w:lang w:val="en-GB"/>
              </w:rPr>
              <w:t>No provisions specific to irrigation, greenhouses, or agroforestry.</w:t>
            </w:r>
          </w:p>
        </w:tc>
      </w:tr>
      <w:tr w:rsidR="00160242" w:rsidRPr="00E35798" w14:paraId="0A230F63" w14:textId="77777777" w:rsidTr="00DC3D34">
        <w:tc>
          <w:tcPr>
            <w:tcW w:w="0" w:type="auto"/>
          </w:tcPr>
          <w:p w14:paraId="66BEE57B" w14:textId="77777777" w:rsidR="00160242" w:rsidRPr="00E35798" w:rsidRDefault="00160242" w:rsidP="00D16E24">
            <w:pPr>
              <w:pStyle w:val="OikoTables03Content"/>
              <w:spacing w:after="120" w:line="240" w:lineRule="auto"/>
              <w:rPr>
                <w:lang w:val="en-GB"/>
              </w:rPr>
            </w:pPr>
            <w:r>
              <w:rPr>
                <w:lang w:val="en-GB"/>
              </w:rPr>
              <w:t>Law Environmental Impact Assessment</w:t>
            </w:r>
          </w:p>
        </w:tc>
        <w:tc>
          <w:tcPr>
            <w:tcW w:w="0" w:type="auto"/>
          </w:tcPr>
          <w:p w14:paraId="44769E8A" w14:textId="77777777" w:rsidR="00160242" w:rsidRPr="00E35798" w:rsidRDefault="00160242" w:rsidP="00D16E24">
            <w:pPr>
              <w:pStyle w:val="OikoTables03Content"/>
              <w:spacing w:after="120" w:line="240" w:lineRule="auto"/>
              <w:rPr>
                <w:lang w:val="en-GB"/>
              </w:rPr>
            </w:pPr>
            <w:r>
              <w:rPr>
                <w:lang w:val="en-GB"/>
              </w:rPr>
              <w:t>2012; amended 2024</w:t>
            </w:r>
          </w:p>
        </w:tc>
        <w:tc>
          <w:tcPr>
            <w:tcW w:w="0" w:type="auto"/>
          </w:tcPr>
          <w:p w14:paraId="15ACDB78" w14:textId="77777777" w:rsidR="00160242" w:rsidRPr="00E35798" w:rsidRDefault="00160242" w:rsidP="00D16E24">
            <w:pPr>
              <w:pStyle w:val="OikoTables03Content"/>
              <w:spacing w:after="120" w:line="240" w:lineRule="auto"/>
              <w:rPr>
                <w:lang w:val="en-GB"/>
              </w:rPr>
            </w:pPr>
            <w:r>
              <w:rPr>
                <w:lang w:val="en-GB"/>
              </w:rPr>
              <w:t>Categories requiring EIA: large-scale infrastructure, industrial, mining.</w:t>
            </w:r>
          </w:p>
        </w:tc>
        <w:tc>
          <w:tcPr>
            <w:tcW w:w="0" w:type="auto"/>
          </w:tcPr>
          <w:p w14:paraId="236C3B13" w14:textId="77777777" w:rsidR="00160242" w:rsidRPr="00E35798" w:rsidRDefault="00160242" w:rsidP="00D16E24">
            <w:pPr>
              <w:pStyle w:val="OikoTables03Content"/>
              <w:spacing w:after="120" w:line="240" w:lineRule="auto"/>
              <w:rPr>
                <w:lang w:val="en-GB"/>
              </w:rPr>
            </w:pPr>
            <w:r>
              <w:rPr>
                <w:lang w:val="en-GB"/>
              </w:rPr>
              <w:t xml:space="preserve">Smallholder </w:t>
            </w:r>
            <w:proofErr w:type="spellStart"/>
            <w:r>
              <w:rPr>
                <w:lang w:val="en-GB"/>
              </w:rPr>
              <w:t>EbA</w:t>
            </w:r>
            <w:proofErr w:type="spellEnd"/>
            <w:r>
              <w:rPr>
                <w:lang w:val="en-GB"/>
              </w:rPr>
              <w:t xml:space="preserve"> activities (solar pumps, small greenhouses, windbreaks) do not require EIA — consistent with </w:t>
            </w:r>
            <w:proofErr w:type="spellStart"/>
            <w:r>
              <w:rPr>
                <w:lang w:val="en-GB"/>
              </w:rPr>
              <w:t>EbA</w:t>
            </w:r>
            <w:proofErr w:type="spellEnd"/>
            <w:r>
              <w:rPr>
                <w:lang w:val="en-GB"/>
              </w:rPr>
              <w:t xml:space="preserve"> nature. Not a barrier to technology deployment.</w:t>
            </w:r>
          </w:p>
        </w:tc>
      </w:tr>
      <w:tr w:rsidR="00160242" w:rsidRPr="00E35798" w14:paraId="6FEFB1D3" w14:textId="77777777" w:rsidTr="00DC3D34">
        <w:tc>
          <w:tcPr>
            <w:tcW w:w="0" w:type="auto"/>
          </w:tcPr>
          <w:p w14:paraId="7E120760" w14:textId="77777777" w:rsidR="00160242" w:rsidRPr="00E35798" w:rsidRDefault="00160242" w:rsidP="00D16E24">
            <w:pPr>
              <w:pStyle w:val="OikoTables03Content"/>
              <w:spacing w:after="120" w:line="240" w:lineRule="auto"/>
              <w:rPr>
                <w:lang w:val="en-GB"/>
              </w:rPr>
            </w:pPr>
            <w:r>
              <w:rPr>
                <w:lang w:val="en-GB"/>
              </w:rPr>
              <w:t xml:space="preserve">Law on Soil Protection </w:t>
            </w:r>
          </w:p>
        </w:tc>
        <w:tc>
          <w:tcPr>
            <w:tcW w:w="0" w:type="auto"/>
          </w:tcPr>
          <w:p w14:paraId="14B1F9D8" w14:textId="77777777" w:rsidR="00160242" w:rsidRPr="00E35798" w:rsidRDefault="00160242" w:rsidP="00D16E24">
            <w:pPr>
              <w:pStyle w:val="OikoTables03Content"/>
              <w:spacing w:after="120" w:line="240" w:lineRule="auto"/>
              <w:rPr>
                <w:lang w:val="en-GB"/>
              </w:rPr>
            </w:pPr>
            <w:r>
              <w:rPr>
                <w:lang w:val="en-GB"/>
              </w:rPr>
              <w:t>2012; amended 2015</w:t>
            </w:r>
          </w:p>
        </w:tc>
        <w:tc>
          <w:tcPr>
            <w:tcW w:w="0" w:type="auto"/>
          </w:tcPr>
          <w:p w14:paraId="0ACA92A3" w14:textId="77777777" w:rsidR="00160242" w:rsidRPr="00E35798" w:rsidRDefault="00160242" w:rsidP="00D16E24">
            <w:pPr>
              <w:pStyle w:val="OikoTables03Content"/>
              <w:spacing w:after="120" w:line="240" w:lineRule="auto"/>
              <w:rPr>
                <w:lang w:val="en-GB"/>
              </w:rPr>
            </w:pPr>
            <w:r>
              <w:rPr>
                <w:lang w:val="en-GB"/>
              </w:rPr>
              <w:t>Art. 6.2: Desertification prevention including forest belts. Art. 7: Strip sowing dimensions (100 × 10 m) for grain fields.</w:t>
            </w:r>
          </w:p>
        </w:tc>
        <w:tc>
          <w:tcPr>
            <w:tcW w:w="0" w:type="auto"/>
          </w:tcPr>
          <w:p w14:paraId="18682F6A" w14:textId="77777777" w:rsidR="00160242" w:rsidRPr="00E35798" w:rsidRDefault="00160242" w:rsidP="00D16E24">
            <w:pPr>
              <w:pStyle w:val="OikoTables03Content"/>
              <w:spacing w:after="120" w:line="240" w:lineRule="auto"/>
              <w:rPr>
                <w:lang w:val="en-GB"/>
              </w:rPr>
            </w:pPr>
            <w:r>
              <w:rPr>
                <w:lang w:val="en-GB"/>
              </w:rPr>
              <w:t>Only quantitative parameter for windbreak design in any legislation, but limited to grain fields, not vegetable farming.</w:t>
            </w:r>
          </w:p>
        </w:tc>
      </w:tr>
      <w:tr w:rsidR="00160242" w:rsidRPr="00E35798" w14:paraId="34C50D01" w14:textId="77777777" w:rsidTr="00DC3D34">
        <w:tc>
          <w:tcPr>
            <w:tcW w:w="0" w:type="auto"/>
          </w:tcPr>
          <w:p w14:paraId="5985CDF5" w14:textId="77777777" w:rsidR="00160242" w:rsidRPr="00E35798" w:rsidRDefault="00160242" w:rsidP="00D16E24">
            <w:pPr>
              <w:pStyle w:val="OikoTables03Content"/>
              <w:spacing w:after="120" w:line="240" w:lineRule="auto"/>
              <w:rPr>
                <w:lang w:val="en-GB"/>
              </w:rPr>
            </w:pPr>
            <w:r>
              <w:rPr>
                <w:lang w:val="en-GB"/>
              </w:rPr>
              <w:t xml:space="preserve">Law on Energy Conservation </w:t>
            </w:r>
          </w:p>
        </w:tc>
        <w:tc>
          <w:tcPr>
            <w:tcW w:w="0" w:type="auto"/>
          </w:tcPr>
          <w:p w14:paraId="7D3B15D4" w14:textId="77777777" w:rsidR="00160242" w:rsidRPr="00E35798" w:rsidRDefault="00160242" w:rsidP="00D16E24">
            <w:pPr>
              <w:pStyle w:val="OikoTables03Content"/>
              <w:spacing w:after="120" w:line="240" w:lineRule="auto"/>
              <w:rPr>
                <w:lang w:val="en-GB"/>
              </w:rPr>
            </w:pPr>
            <w:r>
              <w:rPr>
                <w:lang w:val="en-GB"/>
              </w:rPr>
              <w:t>2015</w:t>
            </w:r>
          </w:p>
        </w:tc>
        <w:tc>
          <w:tcPr>
            <w:tcW w:w="0" w:type="auto"/>
          </w:tcPr>
          <w:p w14:paraId="5EC16072" w14:textId="77777777" w:rsidR="00160242" w:rsidRPr="00E35798" w:rsidRDefault="00160242" w:rsidP="00D16E24">
            <w:pPr>
              <w:pStyle w:val="OikoTables03Content"/>
              <w:spacing w:after="120" w:line="240" w:lineRule="auto"/>
              <w:rPr>
                <w:lang w:val="en-GB"/>
              </w:rPr>
            </w:pPr>
            <w:r>
              <w:rPr>
                <w:lang w:val="en-GB"/>
              </w:rPr>
              <w:t>Energy efficiency standards, mandatory audits for designated consumers.</w:t>
            </w:r>
          </w:p>
        </w:tc>
        <w:tc>
          <w:tcPr>
            <w:tcW w:w="0" w:type="auto"/>
          </w:tcPr>
          <w:p w14:paraId="3B9DEE20" w14:textId="77777777" w:rsidR="00160242" w:rsidRPr="00E35798" w:rsidRDefault="00160242" w:rsidP="00D16E24">
            <w:pPr>
              <w:pStyle w:val="OikoTables03Content"/>
              <w:spacing w:after="120" w:line="240" w:lineRule="auto"/>
              <w:rPr>
                <w:lang w:val="en-GB"/>
              </w:rPr>
            </w:pPr>
            <w:r>
              <w:rPr>
                <w:lang w:val="en-GB"/>
              </w:rPr>
              <w:t>Relevant to greenhouse heating efficiency standards development but not yet applied to agricultural structures.</w:t>
            </w:r>
          </w:p>
        </w:tc>
      </w:tr>
      <w:tr w:rsidR="00B70A29" w:rsidRPr="00E35798" w14:paraId="6F02BF5B" w14:textId="77777777" w:rsidTr="0095785B">
        <w:tc>
          <w:tcPr>
            <w:tcW w:w="0" w:type="auto"/>
            <w:gridSpan w:val="4"/>
          </w:tcPr>
          <w:p w14:paraId="354D3BFA" w14:textId="4D6CAB16" w:rsidR="00B70A29" w:rsidRDefault="00B70A29" w:rsidP="00D16E24">
            <w:pPr>
              <w:pStyle w:val="OikoTables03Content"/>
              <w:spacing w:after="120" w:line="240" w:lineRule="auto"/>
              <w:rPr>
                <w:lang w:val="en-GB"/>
              </w:rPr>
            </w:pPr>
            <w:r w:rsidRPr="00B70A29">
              <w:rPr>
                <w:i/>
                <w:iCs/>
                <w:lang w:val="en-GB"/>
              </w:rPr>
              <w:t>Source: Created by author</w:t>
            </w:r>
          </w:p>
        </w:tc>
      </w:tr>
    </w:tbl>
    <w:p w14:paraId="1DF8D95E" w14:textId="77777777" w:rsidR="00AA3439" w:rsidRPr="00E35798" w:rsidRDefault="00AA3439" w:rsidP="00EB489E"/>
    <w:p w14:paraId="69BEDE1C" w14:textId="77777777" w:rsidR="004216AC" w:rsidRDefault="004216AC" w:rsidP="00A03D72">
      <w:pPr>
        <w:pStyle w:val="BodyText"/>
        <w:rPr>
          <w:b/>
          <w:bCs/>
        </w:rPr>
      </w:pPr>
    </w:p>
    <w:p w14:paraId="5353ED11" w14:textId="6EF5E0D2" w:rsidR="005B3C51" w:rsidRPr="00A03D72" w:rsidRDefault="005B3C51" w:rsidP="00A03D72">
      <w:pPr>
        <w:pStyle w:val="BodyText"/>
        <w:rPr>
          <w:b/>
          <w:bCs/>
        </w:rPr>
      </w:pPr>
      <w:r>
        <w:rPr>
          <w:b/>
          <w:bCs/>
        </w:rPr>
        <w:t>Technical standards</w:t>
      </w:r>
    </w:p>
    <w:p w14:paraId="4D934004" w14:textId="3E0B1A31" w:rsidR="009F4B6D" w:rsidRDefault="005B3C51" w:rsidP="00EB489E">
      <w:r>
        <w:t>The availability of national technical standards varies significantly across the three technology areas. Table 5 provides a comparative inventory.</w:t>
      </w:r>
    </w:p>
    <w:p w14:paraId="7267FAED" w14:textId="77777777" w:rsidR="00B70A29" w:rsidRPr="00E35798" w:rsidRDefault="00B70A29" w:rsidP="00EB489E"/>
    <w:p w14:paraId="3119F53F" w14:textId="5FB09E84" w:rsidR="008940DA" w:rsidRPr="00E35798" w:rsidRDefault="008940DA" w:rsidP="00D16E24">
      <w:pPr>
        <w:pStyle w:val="Caption"/>
        <w:keepNext/>
        <w:framePr w:wrap="notBeside"/>
        <w:spacing w:after="120"/>
        <w:contextualSpacing w:val="0"/>
      </w:pPr>
      <w:r>
        <w:t>Table 5. Technical standards (MNS) inventory by focal technology area</w:t>
      </w:r>
    </w:p>
    <w:tbl>
      <w:tblPr>
        <w:tblW w:w="5000" w:type="pct"/>
        <w:tblBorders>
          <w:top w:val="single" w:sz="4" w:space="0" w:color="BCBCBC" w:themeColor="background1"/>
          <w:bottom w:val="single" w:sz="4" w:space="0" w:color="BCBCBC" w:themeColor="background1"/>
          <w:insideH w:val="single" w:sz="4" w:space="0" w:color="BCBCBC" w:themeColor="background1"/>
        </w:tblBorders>
        <w:tblLook w:val="0020" w:firstRow="1" w:lastRow="0" w:firstColumn="0" w:lastColumn="0" w:noHBand="0" w:noVBand="0"/>
      </w:tblPr>
      <w:tblGrid>
        <w:gridCol w:w="1662"/>
        <w:gridCol w:w="4186"/>
        <w:gridCol w:w="3790"/>
      </w:tblGrid>
      <w:tr w:rsidR="009F4B6D" w:rsidRPr="00E35798" w14:paraId="3320D14E" w14:textId="77777777" w:rsidTr="00ED71A8">
        <w:trPr>
          <w:tblHeader/>
        </w:trPr>
        <w:tc>
          <w:tcPr>
            <w:tcW w:w="0" w:type="auto"/>
            <w:shd w:val="clear" w:color="auto" w:fill="E99E6D" w:themeFill="accent3"/>
          </w:tcPr>
          <w:p w14:paraId="018BAE65" w14:textId="77777777" w:rsidR="009F4B6D" w:rsidRPr="00E35798" w:rsidRDefault="009F4B6D" w:rsidP="00ED71A8">
            <w:pPr>
              <w:pStyle w:val="OikoTables02"/>
            </w:pPr>
            <w:r>
              <w:t>Technology area</w:t>
            </w:r>
          </w:p>
        </w:tc>
        <w:tc>
          <w:tcPr>
            <w:tcW w:w="0" w:type="auto"/>
            <w:shd w:val="clear" w:color="auto" w:fill="E99E6D" w:themeFill="accent3"/>
          </w:tcPr>
          <w:p w14:paraId="66AE1023" w14:textId="77777777" w:rsidR="009F4B6D" w:rsidRPr="00E35798" w:rsidRDefault="009F4B6D" w:rsidP="00ED71A8">
            <w:pPr>
              <w:pStyle w:val="OikoTables02"/>
            </w:pPr>
            <w:r>
              <w:t>Standards available</w:t>
            </w:r>
          </w:p>
        </w:tc>
        <w:tc>
          <w:tcPr>
            <w:tcW w:w="0" w:type="auto"/>
            <w:shd w:val="clear" w:color="auto" w:fill="E99E6D" w:themeFill="accent3"/>
          </w:tcPr>
          <w:p w14:paraId="3EADF871" w14:textId="77777777" w:rsidR="009F4B6D" w:rsidRPr="00E35798" w:rsidRDefault="009F4B6D" w:rsidP="00ED71A8">
            <w:pPr>
              <w:pStyle w:val="OikoTables02"/>
            </w:pPr>
            <w:r>
              <w:t>Gap assessment</w:t>
            </w:r>
          </w:p>
        </w:tc>
      </w:tr>
      <w:tr w:rsidR="009F4B6D" w:rsidRPr="00E35798" w14:paraId="2478A817" w14:textId="77777777" w:rsidTr="00ED71A8">
        <w:tc>
          <w:tcPr>
            <w:tcW w:w="0" w:type="auto"/>
            <w:shd w:val="clear" w:color="auto" w:fill="FAEBE1" w:themeFill="accent3" w:themeFillTint="33"/>
          </w:tcPr>
          <w:p w14:paraId="0D0A7767" w14:textId="77777777" w:rsidR="009F4B6D" w:rsidRPr="00E35798" w:rsidRDefault="009F4B6D" w:rsidP="00ED71A8">
            <w:pPr>
              <w:pStyle w:val="OikoTables02"/>
            </w:pPr>
            <w:r>
              <w:t>Greenhouse infrastructure</w:t>
            </w:r>
          </w:p>
        </w:tc>
        <w:tc>
          <w:tcPr>
            <w:tcW w:w="0" w:type="auto"/>
          </w:tcPr>
          <w:p w14:paraId="65936AA1" w14:textId="77777777" w:rsidR="009F4B6D" w:rsidRPr="00E35798" w:rsidRDefault="009F4B6D" w:rsidP="00D16E24">
            <w:pPr>
              <w:pStyle w:val="OikoTables03Content"/>
              <w:spacing w:after="120" w:line="240" w:lineRule="auto"/>
              <w:rPr>
                <w:lang w:val="en-GB"/>
              </w:rPr>
            </w:pPr>
            <w:bookmarkStart w:id="26" w:name="_Hlk233746520"/>
            <w:r>
              <w:rPr>
                <w:lang w:val="en-GB"/>
              </w:rPr>
              <w:t>MNS 6636:2016 — Summer synthetic film greenhouse (general technical requirements</w:t>
            </w:r>
            <w:bookmarkEnd w:id="26"/>
            <w:r>
              <w:rPr>
                <w:lang w:val="en-GB"/>
              </w:rPr>
              <w:t xml:space="preserve">). MNS 6637:2016 — </w:t>
            </w:r>
            <w:bookmarkStart w:id="27" w:name="_Hlk233746684"/>
            <w:r>
              <w:rPr>
                <w:lang w:val="en-GB"/>
              </w:rPr>
              <w:t xml:space="preserve">Winter heated synthetic film greenhouse (general technical requirements). </w:t>
            </w:r>
            <w:bookmarkStart w:id="28" w:name="_Hlk233746740"/>
            <w:bookmarkEnd w:id="27"/>
            <w:r>
              <w:rPr>
                <w:lang w:val="en-GB"/>
              </w:rPr>
              <w:t>MNS 7060:2024 — Winter glass greenhouse (technical requirements)</w:t>
            </w:r>
            <w:bookmarkEnd w:id="28"/>
            <w:r>
              <w:rPr>
                <w:lang w:val="en-GB"/>
              </w:rPr>
              <w:t>. All three developed by the Mongolian Greenhouse Farmers Association.</w:t>
            </w:r>
          </w:p>
        </w:tc>
        <w:tc>
          <w:tcPr>
            <w:tcW w:w="0" w:type="auto"/>
          </w:tcPr>
          <w:p w14:paraId="636E95E0" w14:textId="77777777" w:rsidR="009F4B6D" w:rsidRPr="00E35798" w:rsidRDefault="009F4B6D" w:rsidP="00D16E24">
            <w:pPr>
              <w:pStyle w:val="OikoTables03Content"/>
              <w:spacing w:after="120" w:line="240" w:lineRule="auto"/>
              <w:rPr>
                <w:lang w:val="en-GB"/>
              </w:rPr>
            </w:pPr>
            <w:r>
              <w:rPr>
                <w:lang w:val="en-GB"/>
              </w:rPr>
              <w:t>Partial coverage. Standards address conventional film and glass types only. No standard for solar-heated, energy-efficient, or climate-adapted designs. No energy performance ratings. No certification system for technology providers.</w:t>
            </w:r>
          </w:p>
        </w:tc>
      </w:tr>
      <w:tr w:rsidR="009F4B6D" w:rsidRPr="00E35798" w14:paraId="5341DDDE" w14:textId="77777777" w:rsidTr="00ED71A8">
        <w:tc>
          <w:tcPr>
            <w:tcW w:w="0" w:type="auto"/>
            <w:shd w:val="clear" w:color="auto" w:fill="FAEBE1" w:themeFill="accent3" w:themeFillTint="33"/>
          </w:tcPr>
          <w:p w14:paraId="43D53B8B" w14:textId="77777777" w:rsidR="009F4B6D" w:rsidRPr="00E35798" w:rsidRDefault="009F4B6D" w:rsidP="00ED71A8">
            <w:pPr>
              <w:pStyle w:val="OikoTables02"/>
            </w:pPr>
            <w:r>
              <w:t>Solar-powered irrigation</w:t>
            </w:r>
          </w:p>
        </w:tc>
        <w:tc>
          <w:tcPr>
            <w:tcW w:w="0" w:type="auto"/>
          </w:tcPr>
          <w:p w14:paraId="665A1E62" w14:textId="77777777" w:rsidR="009F4B6D" w:rsidRPr="00E35798" w:rsidRDefault="009F4B6D" w:rsidP="00D16E24">
            <w:pPr>
              <w:pStyle w:val="OikoTables03Content"/>
              <w:spacing w:after="120" w:line="240" w:lineRule="auto"/>
              <w:rPr>
                <w:lang w:val="en-GB"/>
              </w:rPr>
            </w:pPr>
            <w:r>
              <w:rPr>
                <w:lang w:val="en-GB"/>
              </w:rPr>
              <w:t>None. The energy sector catalogue (MASM, 2025) lists 70+ RE standards (solar thermal collectors, PV system documentation, wind turbines), all for grid-connected electricity or domestic hot water.</w:t>
            </w:r>
          </w:p>
        </w:tc>
        <w:tc>
          <w:tcPr>
            <w:tcW w:w="0" w:type="auto"/>
          </w:tcPr>
          <w:p w14:paraId="2A4C7C1B" w14:textId="77777777" w:rsidR="009F4B6D" w:rsidRPr="00E35798" w:rsidRDefault="009F4B6D" w:rsidP="00D16E24">
            <w:pPr>
              <w:pStyle w:val="OikoTables03Content"/>
              <w:spacing w:after="120" w:line="240" w:lineRule="auto"/>
              <w:rPr>
                <w:lang w:val="en-GB"/>
              </w:rPr>
            </w:pPr>
            <w:r>
              <w:rPr>
                <w:lang w:val="en-GB"/>
              </w:rPr>
              <w:t>Complete gap. No standard for solar irrigation pump specifications, capacity ratings, installation requirements, or performance criteria for agricultural use, despite the mandate in RE Law Art. 5.3.7.</w:t>
            </w:r>
          </w:p>
        </w:tc>
      </w:tr>
      <w:tr w:rsidR="009F4B6D" w:rsidRPr="00E35798" w14:paraId="634647CE" w14:textId="77777777" w:rsidTr="00ED71A8">
        <w:tc>
          <w:tcPr>
            <w:tcW w:w="0" w:type="auto"/>
            <w:shd w:val="clear" w:color="auto" w:fill="FAEBE1" w:themeFill="accent3" w:themeFillTint="33"/>
          </w:tcPr>
          <w:p w14:paraId="20E9611F" w14:textId="77777777" w:rsidR="009F4B6D" w:rsidRPr="00E35798" w:rsidRDefault="009F4B6D" w:rsidP="00ED71A8">
            <w:pPr>
              <w:pStyle w:val="OikoTables02"/>
            </w:pPr>
            <w:r>
              <w:t>Agroforestry</w:t>
            </w:r>
          </w:p>
        </w:tc>
        <w:tc>
          <w:tcPr>
            <w:tcW w:w="0" w:type="auto"/>
          </w:tcPr>
          <w:p w14:paraId="343FA313" w14:textId="77777777" w:rsidR="009F4B6D" w:rsidRPr="00E35798" w:rsidRDefault="009F4B6D" w:rsidP="00D16E24">
            <w:pPr>
              <w:pStyle w:val="OikoTables03Content"/>
              <w:spacing w:after="120" w:line="240" w:lineRule="auto"/>
              <w:rPr>
                <w:lang w:val="en-GB"/>
              </w:rPr>
            </w:pPr>
            <w:r>
              <w:rPr>
                <w:lang w:val="en-GB"/>
              </w:rPr>
              <w:t>None. Environmental sector catalogue (MASM TC-07) covers air quality, water quality, waste management. Construction and forestry catalogues reviewed — no standards for windbreak design, species selection, or shelterbelts.</w:t>
            </w:r>
          </w:p>
        </w:tc>
        <w:tc>
          <w:tcPr>
            <w:tcW w:w="0" w:type="auto"/>
          </w:tcPr>
          <w:p w14:paraId="085FEE51" w14:textId="77777777" w:rsidR="009F4B6D" w:rsidRPr="00E35798" w:rsidRDefault="009F4B6D" w:rsidP="00D16E24">
            <w:pPr>
              <w:pStyle w:val="OikoTables03Content"/>
              <w:spacing w:after="120" w:line="240" w:lineRule="auto"/>
              <w:rPr>
                <w:lang w:val="en-GB"/>
              </w:rPr>
            </w:pPr>
            <w:r>
              <w:rPr>
                <w:lang w:val="en-GB"/>
              </w:rPr>
              <w:t>Complete gap. No standard for agroforestry practices, windbreak/shelterbelt design, species-crop compatibility, or spacing parameters. Striking contrast with greenhouse sector.</w:t>
            </w:r>
          </w:p>
        </w:tc>
      </w:tr>
      <w:tr w:rsidR="009F4B6D" w:rsidRPr="00E35798" w14:paraId="6B50D332" w14:textId="77777777" w:rsidTr="00ED71A8">
        <w:tc>
          <w:tcPr>
            <w:tcW w:w="0" w:type="auto"/>
            <w:shd w:val="clear" w:color="auto" w:fill="FAEBE1" w:themeFill="accent3" w:themeFillTint="33"/>
          </w:tcPr>
          <w:p w14:paraId="1A3D9463" w14:textId="77777777" w:rsidR="009F4B6D" w:rsidRPr="00E35798" w:rsidRDefault="009F4B6D" w:rsidP="00ED71A8">
            <w:pPr>
              <w:pStyle w:val="OikoTables02"/>
            </w:pPr>
            <w:r>
              <w:lastRenderedPageBreak/>
              <w:t>Water/irrigation</w:t>
            </w:r>
          </w:p>
        </w:tc>
        <w:tc>
          <w:tcPr>
            <w:tcW w:w="0" w:type="auto"/>
          </w:tcPr>
          <w:p w14:paraId="477258AE" w14:textId="77777777" w:rsidR="009F4B6D" w:rsidRPr="00E35798" w:rsidRDefault="009F4B6D" w:rsidP="00D16E24">
            <w:pPr>
              <w:pStyle w:val="OikoTables03Content"/>
              <w:spacing w:after="120" w:line="240" w:lineRule="auto"/>
              <w:rPr>
                <w:lang w:val="en-GB"/>
              </w:rPr>
            </w:pPr>
            <w:bookmarkStart w:id="29" w:name="_Hlk233746886"/>
            <w:r>
              <w:rPr>
                <w:lang w:val="en-GB"/>
              </w:rPr>
              <w:t>MNS 0900:2018 (drinking water quality)</w:t>
            </w:r>
            <w:bookmarkEnd w:id="29"/>
            <w:r>
              <w:rPr>
                <w:lang w:val="en-GB"/>
              </w:rPr>
              <w:t>. MNS 4943:2015 (wastewater discharge). MNS ISO 5667 series (water quality testing).</w:t>
            </w:r>
          </w:p>
        </w:tc>
        <w:tc>
          <w:tcPr>
            <w:tcW w:w="0" w:type="auto"/>
          </w:tcPr>
          <w:p w14:paraId="08C0E654" w14:textId="77777777" w:rsidR="009F4B6D" w:rsidRPr="00E35798" w:rsidRDefault="009F4B6D" w:rsidP="00D16E24">
            <w:pPr>
              <w:pStyle w:val="OikoTables03Content"/>
              <w:spacing w:after="120" w:line="240" w:lineRule="auto"/>
              <w:rPr>
                <w:lang w:val="en-GB"/>
              </w:rPr>
            </w:pPr>
            <w:r>
              <w:rPr>
                <w:lang w:val="en-GB"/>
              </w:rPr>
              <w:t>Quality focus only. No standard for extraction rate thresholds, sustainable pumping limits, or irrigation water quality requirements for agricultural use.</w:t>
            </w:r>
          </w:p>
        </w:tc>
      </w:tr>
    </w:tbl>
    <w:p w14:paraId="400A7742" w14:textId="5749DF37" w:rsidR="00DD5BD4" w:rsidRPr="00E35798" w:rsidRDefault="00DD5BD4" w:rsidP="005B05A2">
      <w:pPr>
        <w:rPr>
          <w:lang w:eastAsia="zh-CN"/>
        </w:rPr>
      </w:pPr>
    </w:p>
    <w:p w14:paraId="16310B11" w14:textId="40970E0D" w:rsidR="005B3C51" w:rsidRPr="00E35798" w:rsidRDefault="00DD5BD4" w:rsidP="00D16E24">
      <w:pPr>
        <w:pStyle w:val="Heading2"/>
        <w:spacing w:line="240" w:lineRule="auto"/>
        <w:contextualSpacing w:val="0"/>
        <w:rPr>
          <w:lang w:eastAsia="zh-CN"/>
        </w:rPr>
      </w:pPr>
      <w:bookmarkStart w:id="30" w:name="_Toc233981249"/>
      <w:r>
        <w:rPr>
          <w:lang w:eastAsia="zh-CN"/>
        </w:rPr>
        <w:t>Key gaps and constraints</w:t>
      </w:r>
      <w:bookmarkEnd w:id="30"/>
    </w:p>
    <w:p w14:paraId="4486A772" w14:textId="77777777" w:rsidR="00926DAA" w:rsidRDefault="00CF1518">
      <w:pPr>
        <w:spacing w:before="120" w:after="120" w:line="240" w:lineRule="auto"/>
        <w:contextualSpacing w:val="0"/>
      </w:pPr>
      <w:r>
        <w:t>The regulatory review set out above converges on a small number of cross-cutting gaps. Table 6 consolidates them by regulatory dimension and technology area, and the remainder of this section examines the most consequential gaps and their practical implications for deployment.</w:t>
      </w:r>
    </w:p>
    <w:p w14:paraId="3B76B65F" w14:textId="01B92C35" w:rsidR="00B6277B" w:rsidRPr="00E35798" w:rsidRDefault="00B6277B" w:rsidP="00D16E24">
      <w:pPr>
        <w:pStyle w:val="Caption"/>
        <w:keepNext/>
        <w:framePr w:wrap="notBeside"/>
        <w:spacing w:after="120"/>
        <w:contextualSpacing w:val="0"/>
      </w:pPr>
      <w:r>
        <w:t>Table 6. Consolidated regulatory gap analysis matrix</w:t>
      </w:r>
    </w:p>
    <w:tbl>
      <w:tblPr>
        <w:tblW w:w="5000" w:type="pct"/>
        <w:tblBorders>
          <w:top w:val="single" w:sz="4" w:space="0" w:color="BCBCBC" w:themeColor="background1"/>
          <w:bottom w:val="single" w:sz="4" w:space="0" w:color="BCBCBC" w:themeColor="background1"/>
          <w:insideH w:val="single" w:sz="4" w:space="0" w:color="BCBCBC" w:themeColor="background1"/>
        </w:tblBorders>
        <w:tblLook w:val="0020" w:firstRow="1" w:lastRow="0" w:firstColumn="0" w:lastColumn="0" w:noHBand="0" w:noVBand="0"/>
      </w:tblPr>
      <w:tblGrid>
        <w:gridCol w:w="1285"/>
        <w:gridCol w:w="971"/>
        <w:gridCol w:w="2536"/>
        <w:gridCol w:w="1265"/>
        <w:gridCol w:w="1628"/>
        <w:gridCol w:w="1953"/>
      </w:tblGrid>
      <w:tr w:rsidR="00C21758" w:rsidRPr="00E35798" w14:paraId="19C3DDCF" w14:textId="77777777" w:rsidTr="00ED71A8">
        <w:trPr>
          <w:tblHeader/>
        </w:trPr>
        <w:tc>
          <w:tcPr>
            <w:tcW w:w="0" w:type="auto"/>
            <w:gridSpan w:val="2"/>
            <w:shd w:val="clear" w:color="auto" w:fill="E99E6D" w:themeFill="accent3"/>
          </w:tcPr>
          <w:p w14:paraId="558C2663" w14:textId="77777777" w:rsidR="00C21758" w:rsidRPr="00E35798" w:rsidRDefault="00C21758" w:rsidP="00ED71A8">
            <w:pPr>
              <w:pStyle w:val="OikoTables02"/>
            </w:pPr>
            <w:r>
              <w:t>Regulatory dimension</w:t>
            </w:r>
          </w:p>
        </w:tc>
        <w:tc>
          <w:tcPr>
            <w:tcW w:w="0" w:type="auto"/>
            <w:shd w:val="clear" w:color="auto" w:fill="E99E6D" w:themeFill="accent3"/>
          </w:tcPr>
          <w:p w14:paraId="7CA975B5" w14:textId="77777777" w:rsidR="00C21758" w:rsidRPr="00E35798" w:rsidRDefault="00C21758" w:rsidP="00ED71A8">
            <w:pPr>
              <w:pStyle w:val="OikoTables02"/>
            </w:pPr>
            <w:r>
              <w:t>Solar irrigation</w:t>
            </w:r>
          </w:p>
        </w:tc>
        <w:tc>
          <w:tcPr>
            <w:tcW w:w="0" w:type="auto"/>
            <w:shd w:val="clear" w:color="auto" w:fill="E99E6D" w:themeFill="accent3"/>
          </w:tcPr>
          <w:p w14:paraId="0C15A77A" w14:textId="77777777" w:rsidR="00C21758" w:rsidRPr="00E35798" w:rsidRDefault="00C21758" w:rsidP="00ED71A8">
            <w:pPr>
              <w:pStyle w:val="OikoTables02"/>
            </w:pPr>
            <w:r>
              <w:t>Water pumping</w:t>
            </w:r>
          </w:p>
        </w:tc>
        <w:tc>
          <w:tcPr>
            <w:tcW w:w="0" w:type="auto"/>
            <w:shd w:val="clear" w:color="auto" w:fill="E99E6D" w:themeFill="accent3"/>
          </w:tcPr>
          <w:p w14:paraId="35C6BD93" w14:textId="77777777" w:rsidR="00C21758" w:rsidRPr="00E35798" w:rsidRDefault="00C21758" w:rsidP="00ED71A8">
            <w:pPr>
              <w:pStyle w:val="OikoTables02"/>
            </w:pPr>
            <w:r>
              <w:t>Greenhouses</w:t>
            </w:r>
          </w:p>
        </w:tc>
        <w:tc>
          <w:tcPr>
            <w:tcW w:w="0" w:type="auto"/>
            <w:shd w:val="clear" w:color="auto" w:fill="E99E6D" w:themeFill="accent3"/>
          </w:tcPr>
          <w:p w14:paraId="24638A78" w14:textId="77777777" w:rsidR="00C21758" w:rsidRPr="00E35798" w:rsidRDefault="00C21758" w:rsidP="00ED71A8">
            <w:pPr>
              <w:pStyle w:val="OikoTables02"/>
            </w:pPr>
            <w:r>
              <w:t>Agroforestry</w:t>
            </w:r>
          </w:p>
        </w:tc>
      </w:tr>
      <w:tr w:rsidR="00C21758" w:rsidRPr="00E35798" w14:paraId="7BF2AD42" w14:textId="77777777" w:rsidTr="004D1130">
        <w:tc>
          <w:tcPr>
            <w:tcW w:w="0" w:type="auto"/>
            <w:gridSpan w:val="2"/>
          </w:tcPr>
          <w:p w14:paraId="0A211B3B" w14:textId="77777777" w:rsidR="00C21758" w:rsidRPr="00E35798" w:rsidRDefault="00C21758" w:rsidP="00D16E24">
            <w:pPr>
              <w:pStyle w:val="OikoTables03Content"/>
              <w:spacing w:after="120" w:line="240" w:lineRule="auto"/>
              <w:rPr>
                <w:lang w:val="en-GB"/>
              </w:rPr>
            </w:pPr>
            <w:r>
              <w:rPr>
                <w:lang w:val="en-GB"/>
              </w:rPr>
              <w:t>Policy framework</w:t>
            </w:r>
          </w:p>
        </w:tc>
        <w:tc>
          <w:tcPr>
            <w:tcW w:w="0" w:type="auto"/>
          </w:tcPr>
          <w:p w14:paraId="331E4F6C" w14:textId="77777777" w:rsidR="00C21758" w:rsidRPr="00E35798" w:rsidRDefault="00C21758" w:rsidP="00D16E24">
            <w:pPr>
              <w:pStyle w:val="OikoTables03Content"/>
              <w:spacing w:after="120" w:line="240" w:lineRule="auto"/>
              <w:rPr>
                <w:lang w:val="en-GB"/>
              </w:rPr>
            </w:pPr>
            <w:r>
              <w:rPr>
                <w:lang w:val="en-GB"/>
              </w:rPr>
              <w:t>Partial</w:t>
            </w:r>
          </w:p>
        </w:tc>
        <w:tc>
          <w:tcPr>
            <w:tcW w:w="0" w:type="auto"/>
          </w:tcPr>
          <w:p w14:paraId="2CD9A36C" w14:textId="77777777" w:rsidR="00C21758" w:rsidRPr="00E35798" w:rsidRDefault="00C21758" w:rsidP="00D16E24">
            <w:pPr>
              <w:pStyle w:val="OikoTables03Content"/>
              <w:spacing w:after="120" w:line="240" w:lineRule="auto"/>
              <w:rPr>
                <w:lang w:val="en-GB"/>
              </w:rPr>
            </w:pPr>
            <w:r>
              <w:rPr>
                <w:lang w:val="en-GB"/>
              </w:rPr>
              <w:t>Adequate</w:t>
            </w:r>
          </w:p>
        </w:tc>
        <w:tc>
          <w:tcPr>
            <w:tcW w:w="0" w:type="auto"/>
          </w:tcPr>
          <w:p w14:paraId="345F4120" w14:textId="77777777" w:rsidR="00C21758" w:rsidRPr="00E35798" w:rsidRDefault="00C21758" w:rsidP="00D16E24">
            <w:pPr>
              <w:pStyle w:val="OikoTables03Content"/>
              <w:spacing w:after="120" w:line="240" w:lineRule="auto"/>
              <w:rPr>
                <w:lang w:val="en-GB"/>
              </w:rPr>
            </w:pPr>
            <w:r>
              <w:rPr>
                <w:lang w:val="en-GB"/>
              </w:rPr>
              <w:t>Adequate</w:t>
            </w:r>
          </w:p>
        </w:tc>
        <w:tc>
          <w:tcPr>
            <w:tcW w:w="0" w:type="auto"/>
          </w:tcPr>
          <w:p w14:paraId="455228C3" w14:textId="77777777" w:rsidR="00C21758" w:rsidRPr="00E35798" w:rsidRDefault="00C21758" w:rsidP="00D16E24">
            <w:pPr>
              <w:pStyle w:val="OikoTables03Content"/>
              <w:spacing w:after="120" w:line="240" w:lineRule="auto"/>
              <w:rPr>
                <w:lang w:val="en-GB"/>
              </w:rPr>
            </w:pPr>
            <w:r>
              <w:rPr>
                <w:lang w:val="en-GB"/>
              </w:rPr>
              <w:t>Adequate</w:t>
            </w:r>
          </w:p>
        </w:tc>
      </w:tr>
      <w:tr w:rsidR="00C21758" w:rsidRPr="00E35798" w14:paraId="31F35848" w14:textId="77777777" w:rsidTr="004D1130">
        <w:tc>
          <w:tcPr>
            <w:tcW w:w="0" w:type="auto"/>
            <w:gridSpan w:val="2"/>
          </w:tcPr>
          <w:p w14:paraId="27EDB6D0" w14:textId="77777777" w:rsidR="00C21758" w:rsidRPr="00E35798" w:rsidRDefault="00C21758" w:rsidP="00D16E24">
            <w:pPr>
              <w:pStyle w:val="OikoTables03Content"/>
              <w:spacing w:after="120" w:line="240" w:lineRule="auto"/>
              <w:rPr>
                <w:lang w:val="en-GB"/>
              </w:rPr>
            </w:pPr>
            <w:r>
              <w:rPr>
                <w:lang w:val="en-GB"/>
              </w:rPr>
              <w:t>Primary legislation</w:t>
            </w:r>
          </w:p>
        </w:tc>
        <w:tc>
          <w:tcPr>
            <w:tcW w:w="0" w:type="auto"/>
          </w:tcPr>
          <w:p w14:paraId="658B0A86"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221FA307" w14:textId="77777777" w:rsidR="00C21758" w:rsidRPr="00E35798" w:rsidRDefault="00C21758" w:rsidP="00D16E24">
            <w:pPr>
              <w:pStyle w:val="OikoTables03Content"/>
              <w:spacing w:after="120" w:line="240" w:lineRule="auto"/>
              <w:rPr>
                <w:lang w:val="en-GB"/>
              </w:rPr>
            </w:pPr>
            <w:r>
              <w:rPr>
                <w:lang w:val="en-GB"/>
              </w:rPr>
              <w:t>Partial</w:t>
            </w:r>
          </w:p>
        </w:tc>
        <w:tc>
          <w:tcPr>
            <w:tcW w:w="0" w:type="auto"/>
          </w:tcPr>
          <w:p w14:paraId="32BE100C" w14:textId="77777777" w:rsidR="00C21758" w:rsidRPr="00E35798" w:rsidRDefault="00C21758" w:rsidP="00D16E24">
            <w:pPr>
              <w:pStyle w:val="OikoTables03Content"/>
              <w:spacing w:after="120" w:line="240" w:lineRule="auto"/>
              <w:rPr>
                <w:lang w:val="en-GB"/>
              </w:rPr>
            </w:pPr>
            <w:r>
              <w:rPr>
                <w:lang w:val="en-GB"/>
              </w:rPr>
              <w:t>Partial</w:t>
            </w:r>
          </w:p>
        </w:tc>
        <w:tc>
          <w:tcPr>
            <w:tcW w:w="0" w:type="auto"/>
          </w:tcPr>
          <w:p w14:paraId="407A614B" w14:textId="77777777" w:rsidR="00C21758" w:rsidRPr="00E35798" w:rsidRDefault="00C21758" w:rsidP="00D16E24">
            <w:pPr>
              <w:pStyle w:val="OikoTables03Content"/>
              <w:spacing w:after="120" w:line="240" w:lineRule="auto"/>
              <w:rPr>
                <w:lang w:val="en-GB"/>
              </w:rPr>
            </w:pPr>
            <w:r>
              <w:rPr>
                <w:lang w:val="en-GB"/>
              </w:rPr>
              <w:t>Partial</w:t>
            </w:r>
          </w:p>
        </w:tc>
      </w:tr>
      <w:tr w:rsidR="00C21758" w:rsidRPr="00E35798" w14:paraId="64E306EA" w14:textId="77777777" w:rsidTr="004D1130">
        <w:tc>
          <w:tcPr>
            <w:tcW w:w="0" w:type="auto"/>
            <w:gridSpan w:val="2"/>
          </w:tcPr>
          <w:p w14:paraId="5F8E9A6C" w14:textId="77777777" w:rsidR="00C21758" w:rsidRPr="00E35798" w:rsidRDefault="00C21758" w:rsidP="00D16E24">
            <w:pPr>
              <w:pStyle w:val="OikoTables03Content"/>
              <w:spacing w:after="120" w:line="240" w:lineRule="auto"/>
              <w:rPr>
                <w:lang w:val="en-GB"/>
              </w:rPr>
            </w:pPr>
            <w:r>
              <w:rPr>
                <w:lang w:val="en-GB"/>
              </w:rPr>
              <w:t>Subordinate regulations</w:t>
            </w:r>
          </w:p>
        </w:tc>
        <w:tc>
          <w:tcPr>
            <w:tcW w:w="0" w:type="auto"/>
          </w:tcPr>
          <w:p w14:paraId="7CC6FA05"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78729B62"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5FBFEB52"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60B39835" w14:textId="77777777" w:rsidR="00C21758" w:rsidRPr="00E35798" w:rsidRDefault="00C21758" w:rsidP="00D16E24">
            <w:pPr>
              <w:pStyle w:val="OikoTables03Content"/>
              <w:spacing w:after="120" w:line="240" w:lineRule="auto"/>
              <w:rPr>
                <w:lang w:val="en-GB"/>
              </w:rPr>
            </w:pPr>
            <w:r>
              <w:rPr>
                <w:lang w:val="en-GB"/>
              </w:rPr>
              <w:t>Absent</w:t>
            </w:r>
          </w:p>
        </w:tc>
      </w:tr>
      <w:tr w:rsidR="00C21758" w:rsidRPr="00E35798" w14:paraId="3921DD35" w14:textId="77777777" w:rsidTr="004D1130">
        <w:tc>
          <w:tcPr>
            <w:tcW w:w="0" w:type="auto"/>
            <w:gridSpan w:val="2"/>
          </w:tcPr>
          <w:p w14:paraId="748D1ACB" w14:textId="77777777" w:rsidR="00C21758" w:rsidRPr="00E35798" w:rsidRDefault="00C21758" w:rsidP="00D16E24">
            <w:pPr>
              <w:pStyle w:val="OikoTables03Content"/>
              <w:spacing w:after="120" w:line="240" w:lineRule="auto"/>
              <w:rPr>
                <w:lang w:val="en-GB"/>
              </w:rPr>
            </w:pPr>
            <w:r>
              <w:rPr>
                <w:lang w:val="en-GB"/>
              </w:rPr>
              <w:t>Technical standards</w:t>
            </w:r>
          </w:p>
        </w:tc>
        <w:tc>
          <w:tcPr>
            <w:tcW w:w="0" w:type="auto"/>
          </w:tcPr>
          <w:p w14:paraId="6449CB24"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7E030568"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54F3651C" w14:textId="77777777" w:rsidR="00C21758" w:rsidRPr="00E35798" w:rsidRDefault="00C21758" w:rsidP="00D16E24">
            <w:pPr>
              <w:pStyle w:val="OikoTables03Content"/>
              <w:spacing w:after="120" w:line="240" w:lineRule="auto"/>
              <w:rPr>
                <w:lang w:val="en-GB"/>
              </w:rPr>
            </w:pPr>
            <w:r>
              <w:rPr>
                <w:lang w:val="en-GB"/>
              </w:rPr>
              <w:t>Partial (3 MNS)</w:t>
            </w:r>
          </w:p>
        </w:tc>
        <w:tc>
          <w:tcPr>
            <w:tcW w:w="0" w:type="auto"/>
          </w:tcPr>
          <w:p w14:paraId="187AC69B" w14:textId="77777777" w:rsidR="00C21758" w:rsidRPr="00E35798" w:rsidRDefault="00C21758" w:rsidP="00D16E24">
            <w:pPr>
              <w:pStyle w:val="OikoTables03Content"/>
              <w:spacing w:after="120" w:line="240" w:lineRule="auto"/>
              <w:rPr>
                <w:lang w:val="en-GB"/>
              </w:rPr>
            </w:pPr>
            <w:r>
              <w:rPr>
                <w:lang w:val="en-GB"/>
              </w:rPr>
              <w:t>Absent</w:t>
            </w:r>
          </w:p>
        </w:tc>
      </w:tr>
      <w:tr w:rsidR="00C21758" w:rsidRPr="00E35798" w14:paraId="40AC11CF" w14:textId="77777777" w:rsidTr="004D1130">
        <w:tc>
          <w:tcPr>
            <w:tcW w:w="0" w:type="auto"/>
            <w:gridSpan w:val="2"/>
          </w:tcPr>
          <w:p w14:paraId="63301D3B" w14:textId="77777777" w:rsidR="00C21758" w:rsidRPr="00E35798" w:rsidRDefault="00C21758" w:rsidP="00D16E24">
            <w:pPr>
              <w:pStyle w:val="OikoTables03Content"/>
              <w:spacing w:after="120" w:line="240" w:lineRule="auto"/>
              <w:rPr>
                <w:lang w:val="en-GB"/>
              </w:rPr>
            </w:pPr>
            <w:r>
              <w:rPr>
                <w:lang w:val="en-GB"/>
              </w:rPr>
              <w:t>Institutional arrangements</w:t>
            </w:r>
          </w:p>
        </w:tc>
        <w:tc>
          <w:tcPr>
            <w:tcW w:w="0" w:type="auto"/>
          </w:tcPr>
          <w:p w14:paraId="47DE5E9D" w14:textId="77777777" w:rsidR="00C21758" w:rsidRPr="00E35798" w:rsidRDefault="00C21758" w:rsidP="00D16E24">
            <w:pPr>
              <w:pStyle w:val="OikoTables03Content"/>
              <w:spacing w:after="120" w:line="240" w:lineRule="auto"/>
              <w:rPr>
                <w:lang w:val="en-GB"/>
              </w:rPr>
            </w:pPr>
            <w:r>
              <w:rPr>
                <w:lang w:val="en-GB"/>
              </w:rPr>
              <w:t>Absent</w:t>
            </w:r>
          </w:p>
        </w:tc>
        <w:tc>
          <w:tcPr>
            <w:tcW w:w="0" w:type="auto"/>
          </w:tcPr>
          <w:p w14:paraId="38E08261" w14:textId="77777777" w:rsidR="00C21758" w:rsidRPr="00E35798" w:rsidRDefault="00C21758" w:rsidP="00D16E24">
            <w:pPr>
              <w:pStyle w:val="OikoTables03Content"/>
              <w:spacing w:after="120" w:line="240" w:lineRule="auto"/>
              <w:rPr>
                <w:lang w:val="en-GB"/>
              </w:rPr>
            </w:pPr>
            <w:r>
              <w:rPr>
                <w:lang w:val="en-GB"/>
              </w:rPr>
              <w:t>Partial</w:t>
            </w:r>
          </w:p>
        </w:tc>
        <w:tc>
          <w:tcPr>
            <w:tcW w:w="0" w:type="auto"/>
          </w:tcPr>
          <w:p w14:paraId="17F698CF" w14:textId="77777777" w:rsidR="00C21758" w:rsidRPr="00E35798" w:rsidRDefault="00C21758" w:rsidP="00D16E24">
            <w:pPr>
              <w:pStyle w:val="OikoTables03Content"/>
              <w:spacing w:after="120" w:line="240" w:lineRule="auto"/>
              <w:rPr>
                <w:lang w:val="en-GB"/>
              </w:rPr>
            </w:pPr>
            <w:r>
              <w:rPr>
                <w:lang w:val="en-GB"/>
              </w:rPr>
              <w:t>Partial</w:t>
            </w:r>
          </w:p>
        </w:tc>
        <w:tc>
          <w:tcPr>
            <w:tcW w:w="0" w:type="auto"/>
          </w:tcPr>
          <w:p w14:paraId="6A51014F" w14:textId="77777777" w:rsidR="00C21758" w:rsidRPr="00E35798" w:rsidRDefault="00C21758" w:rsidP="00D16E24">
            <w:pPr>
              <w:pStyle w:val="OikoTables03Content"/>
              <w:spacing w:after="120" w:line="240" w:lineRule="auto"/>
              <w:rPr>
                <w:lang w:val="en-GB"/>
              </w:rPr>
            </w:pPr>
            <w:r>
              <w:rPr>
                <w:lang w:val="en-GB"/>
              </w:rPr>
              <w:t>Absent</w:t>
            </w:r>
          </w:p>
        </w:tc>
      </w:tr>
      <w:tr w:rsidR="00C21758" w:rsidRPr="00E35798" w14:paraId="1E37AD6B" w14:textId="77777777" w:rsidTr="004D1130">
        <w:tc>
          <w:tcPr>
            <w:tcW w:w="0" w:type="auto"/>
            <w:gridSpan w:val="2"/>
          </w:tcPr>
          <w:p w14:paraId="2434116F" w14:textId="77777777" w:rsidR="00C21758" w:rsidRPr="00E35798" w:rsidRDefault="00C21758" w:rsidP="00D16E24">
            <w:pPr>
              <w:pStyle w:val="OikoTables03Content"/>
              <w:spacing w:after="120" w:line="240" w:lineRule="auto"/>
              <w:rPr>
                <w:lang w:val="en-GB"/>
              </w:rPr>
            </w:pPr>
            <w:r>
              <w:rPr>
                <w:lang w:val="en-GB"/>
              </w:rPr>
              <w:t>Principal gap types</w:t>
            </w:r>
          </w:p>
        </w:tc>
        <w:tc>
          <w:tcPr>
            <w:tcW w:w="0" w:type="auto"/>
          </w:tcPr>
          <w:p w14:paraId="7C8DA3FD" w14:textId="77777777" w:rsidR="00C21758" w:rsidRPr="00E35798" w:rsidRDefault="00C21758" w:rsidP="00D16E24">
            <w:pPr>
              <w:pStyle w:val="OikoTables03Content"/>
              <w:spacing w:after="120" w:line="240" w:lineRule="auto"/>
              <w:rPr>
                <w:lang w:val="en-GB"/>
              </w:rPr>
            </w:pPr>
            <w:r>
              <w:rPr>
                <w:lang w:val="en-GB"/>
              </w:rPr>
              <w:t>Regulatory, standards, legislative, institutional</w:t>
            </w:r>
          </w:p>
        </w:tc>
        <w:tc>
          <w:tcPr>
            <w:tcW w:w="0" w:type="auto"/>
          </w:tcPr>
          <w:p w14:paraId="60D92ADA" w14:textId="77777777" w:rsidR="00C21758" w:rsidRPr="00E35798" w:rsidRDefault="00C21758" w:rsidP="00D16E24">
            <w:pPr>
              <w:pStyle w:val="OikoTables03Content"/>
              <w:spacing w:after="120" w:line="240" w:lineRule="auto"/>
              <w:rPr>
                <w:lang w:val="en-GB"/>
              </w:rPr>
            </w:pPr>
            <w:r>
              <w:rPr>
                <w:lang w:val="en-GB"/>
              </w:rPr>
              <w:t>Regulatory, standards</w:t>
            </w:r>
          </w:p>
        </w:tc>
        <w:tc>
          <w:tcPr>
            <w:tcW w:w="0" w:type="auto"/>
          </w:tcPr>
          <w:p w14:paraId="064DD679" w14:textId="77777777" w:rsidR="00C21758" w:rsidRPr="00E35798" w:rsidRDefault="00C21758" w:rsidP="00D16E24">
            <w:pPr>
              <w:pStyle w:val="OikoTables03Content"/>
              <w:spacing w:after="120" w:line="240" w:lineRule="auto"/>
              <w:rPr>
                <w:lang w:val="en-GB"/>
              </w:rPr>
            </w:pPr>
            <w:r>
              <w:rPr>
                <w:lang w:val="en-GB"/>
              </w:rPr>
              <w:t>Regulatory, partial standards</w:t>
            </w:r>
          </w:p>
        </w:tc>
        <w:tc>
          <w:tcPr>
            <w:tcW w:w="0" w:type="auto"/>
          </w:tcPr>
          <w:p w14:paraId="73299B4C" w14:textId="77777777" w:rsidR="00C21758" w:rsidRPr="00E35798" w:rsidRDefault="00C21758" w:rsidP="00D16E24">
            <w:pPr>
              <w:pStyle w:val="OikoTables03Content"/>
              <w:spacing w:after="120" w:line="240" w:lineRule="auto"/>
              <w:rPr>
                <w:lang w:val="en-GB"/>
              </w:rPr>
            </w:pPr>
            <w:r>
              <w:rPr>
                <w:lang w:val="en-GB"/>
              </w:rPr>
              <w:t>Regulatory, standards, institutional</w:t>
            </w:r>
          </w:p>
        </w:tc>
      </w:tr>
      <w:tr w:rsidR="00893D04" w:rsidRPr="00E35798" w14:paraId="56BF79FE" w14:textId="77777777" w:rsidTr="006259C1">
        <w:tc>
          <w:tcPr>
            <w:tcW w:w="684" w:type="pct"/>
          </w:tcPr>
          <w:p w14:paraId="0DDEC969" w14:textId="77777777" w:rsidR="00893D04" w:rsidRPr="00E35798" w:rsidRDefault="00893D04" w:rsidP="00D16E24">
            <w:pPr>
              <w:pStyle w:val="OikoTables02Items"/>
              <w:rPr>
                <w:lang w:val="en-GB"/>
              </w:rPr>
            </w:pPr>
            <w:r>
              <w:rPr>
                <w:lang w:val="en-GB"/>
              </w:rPr>
              <w:t>Legend:</w:t>
            </w:r>
          </w:p>
        </w:tc>
        <w:tc>
          <w:tcPr>
            <w:tcW w:w="4316" w:type="pct"/>
            <w:gridSpan w:val="5"/>
          </w:tcPr>
          <w:p w14:paraId="332CBF9B" w14:textId="14755850" w:rsidR="00893D04" w:rsidRPr="00E35798" w:rsidRDefault="00893D04" w:rsidP="00D16E24">
            <w:pPr>
              <w:pStyle w:val="OikoTables03Content"/>
              <w:spacing w:after="120" w:line="240" w:lineRule="auto"/>
              <w:rPr>
                <w:lang w:val="en-GB"/>
              </w:rPr>
            </w:pPr>
            <w:r>
              <w:rPr>
                <w:b/>
                <w:bCs/>
                <w:lang w:val="en-GB"/>
              </w:rPr>
              <w:t>Adequate</w:t>
            </w:r>
            <w:r>
              <w:rPr>
                <w:lang w:val="en-GB"/>
              </w:rPr>
              <w:t xml:space="preserve"> = provisions exist and are sufficient for the objectives of this assignment; </w:t>
            </w:r>
            <w:r>
              <w:rPr>
                <w:b/>
                <w:bCs/>
                <w:lang w:val="en-GB"/>
              </w:rPr>
              <w:t>Partial</w:t>
            </w:r>
            <w:r>
              <w:rPr>
                <w:lang w:val="en-GB"/>
              </w:rPr>
              <w:t xml:space="preserve"> = provisions exist but lack specificity or operational detail; </w:t>
            </w:r>
            <w:r>
              <w:rPr>
                <w:b/>
                <w:bCs/>
                <w:lang w:val="en-GB"/>
              </w:rPr>
              <w:t>Absent</w:t>
            </w:r>
            <w:r>
              <w:rPr>
                <w:lang w:val="en-GB"/>
              </w:rPr>
              <w:t xml:space="preserve"> = no dedicated provisions exist.</w:t>
            </w:r>
          </w:p>
        </w:tc>
      </w:tr>
      <w:tr w:rsidR="006259C1" w:rsidRPr="00E35798" w14:paraId="3FB740AC" w14:textId="77777777" w:rsidTr="006259C1">
        <w:tc>
          <w:tcPr>
            <w:tcW w:w="5000" w:type="pct"/>
            <w:gridSpan w:val="6"/>
          </w:tcPr>
          <w:p w14:paraId="613EC277" w14:textId="04BDC99D" w:rsidR="006259C1" w:rsidRDefault="006259C1" w:rsidP="00D16E24">
            <w:pPr>
              <w:pStyle w:val="OikoTables03Content"/>
              <w:spacing w:after="120" w:line="240" w:lineRule="auto"/>
              <w:rPr>
                <w:b/>
                <w:bCs/>
                <w:lang w:val="en-GB"/>
              </w:rPr>
            </w:pPr>
            <w:r w:rsidRPr="00B70A29">
              <w:rPr>
                <w:i/>
                <w:iCs/>
                <w:lang w:val="en-GB"/>
              </w:rPr>
              <w:t>Source: Created by author</w:t>
            </w:r>
          </w:p>
        </w:tc>
      </w:tr>
    </w:tbl>
    <w:p w14:paraId="4549098F" w14:textId="77777777" w:rsidR="005B3C51" w:rsidRPr="00E35798" w:rsidRDefault="005B3C51" w:rsidP="00EB489E"/>
    <w:p w14:paraId="281A9D35" w14:textId="77777777" w:rsidR="00CB182F" w:rsidRPr="00E35798" w:rsidRDefault="00CB182F" w:rsidP="00D16E24">
      <w:pPr>
        <w:pStyle w:val="BodyText"/>
        <w:spacing w:line="240" w:lineRule="auto"/>
        <w:contextualSpacing w:val="0"/>
      </w:pPr>
      <w:r>
        <w:rPr>
          <w:b/>
          <w:bCs/>
        </w:rPr>
        <w:t>The most consistent finding across all four focal topics is the complete absence of subordinate regulations and the absence or insufficiency of technical standards.</w:t>
      </w:r>
      <w:r>
        <w:t xml:space="preserve"> While the policy framework provides strong support and primary legislation offers general coverage, the implementing instruments — the regulations, guidelines, norms, and standards that translate policy intent into operational practice — are largely missing. </w:t>
      </w:r>
    </w:p>
    <w:p w14:paraId="4D691012" w14:textId="77777777" w:rsidR="00CB182F" w:rsidRPr="00E35798" w:rsidRDefault="00CB182F" w:rsidP="00D16E24">
      <w:pPr>
        <w:pStyle w:val="BodyText"/>
        <w:spacing w:line="240" w:lineRule="auto"/>
        <w:contextualSpacing w:val="0"/>
      </w:pPr>
      <w:r>
        <w:t>The following paragraphs describe the specific gaps and their implications for technology feasibility.</w:t>
      </w:r>
    </w:p>
    <w:p w14:paraId="529A6B23" w14:textId="77777777" w:rsidR="00CB182F" w:rsidRPr="00E35798" w:rsidRDefault="00CB182F" w:rsidP="00D16E24">
      <w:pPr>
        <w:spacing w:after="120" w:line="240" w:lineRule="auto"/>
        <w:contextualSpacing w:val="0"/>
        <w:rPr>
          <w:b/>
          <w:bCs/>
        </w:rPr>
      </w:pPr>
      <w:bookmarkStart w:id="31" w:name="solar-powered-irrigation"/>
      <w:r>
        <w:rPr>
          <w:b/>
          <w:bCs/>
        </w:rPr>
        <w:t>Solar-powered irrigation</w:t>
      </w:r>
    </w:p>
    <w:p w14:paraId="090D0D70" w14:textId="77777777" w:rsidR="00CB182F" w:rsidRPr="00E35798" w:rsidRDefault="00CB182F" w:rsidP="00EB489E">
      <w:r>
        <w:t>Solar-powered irrigation faces the widest regulatory gap of the four focal topics. The Renewable Energy Law’s Article 3.2 exclusion places consumer-own-use systems — including smallholder solar irrigation pumps — entirely outside the scope of renewable energy regulation. No other law fills this gap. The practical consequence is that a farmer purchasing a solar irrigation pump in Mongolia today operates without the benefit of quality standards, equipment certification, technical guidelines, or clarity on tax treatment.</w:t>
      </w:r>
    </w:p>
    <w:p w14:paraId="54C92E7E" w14:textId="77777777" w:rsidR="00CB182F" w:rsidRDefault="00CB182F" w:rsidP="00E8296F">
      <w:pPr>
        <w:spacing w:after="240"/>
      </w:pPr>
      <w:r>
        <w:rPr>
          <w:i/>
          <w:iCs/>
        </w:rPr>
        <w:t>Implications for feasibility:</w:t>
      </w:r>
      <w:r>
        <w:t xml:space="preserve"> The absence of quality standards means that the feasibility of solar irrigation depends entirely on informal market mechanisms and the technical judgement of individual project designers. Without a certification system, there is no protection for farmers against substandard equipment. The ambiguity around VAT and import duty exemptions (which apply to renewable energy equipment under the RE </w:t>
      </w:r>
      <w:proofErr w:type="gramStart"/>
      <w:r>
        <w:t>Law, but</w:t>
      </w:r>
      <w:proofErr w:type="gramEnd"/>
      <w:r>
        <w:t xml:space="preserve"> may not extend to off-grid agricultural equipment excluded by Article 3.2) creates cost uncertainty that could inflate equipment prices by 10–15 percent. Any technology recommendation in this report must therefore specify equipment standards and quality assurance measures, as the regulatory framework does not currently provide them.</w:t>
      </w:r>
    </w:p>
    <w:p w14:paraId="26AF4C7F" w14:textId="77777777" w:rsidR="00E8296F" w:rsidRPr="00E35798" w:rsidRDefault="00E8296F" w:rsidP="00E8296F">
      <w:pPr>
        <w:spacing w:after="240"/>
      </w:pPr>
    </w:p>
    <w:p w14:paraId="19EA7C96" w14:textId="77777777" w:rsidR="00CB182F" w:rsidRPr="00E35798" w:rsidRDefault="00CB182F" w:rsidP="00D16E24">
      <w:pPr>
        <w:spacing w:after="120" w:line="240" w:lineRule="auto"/>
        <w:contextualSpacing w:val="0"/>
        <w:rPr>
          <w:b/>
          <w:bCs/>
        </w:rPr>
      </w:pPr>
      <w:bookmarkStart w:id="32" w:name="water-pumping-limits"/>
      <w:bookmarkEnd w:id="31"/>
      <w:r>
        <w:rPr>
          <w:b/>
          <w:bCs/>
        </w:rPr>
        <w:lastRenderedPageBreak/>
        <w:t>Water pumping limits</w:t>
      </w:r>
    </w:p>
    <w:p w14:paraId="53BA3360" w14:textId="043A80F7" w:rsidR="00CB182F" w:rsidRPr="00E35798" w:rsidRDefault="00CB182F" w:rsidP="00EB489E">
      <w:r>
        <w:t>No extraction rate thresholds (m³/ha/season) for agricultural irrigation are defined in any Mongolian law, regulation, or standard. No safeguards address the over-extraction risk inherent in zero-marginal-cost solar pumping — a risk well documented in the international literature, particularly in India and Sub-Saharan Africa, where unrestricted solar pumping has led to significant groundwater depletion (World Bank, 2024). This risk is particularly acute in semi-arid Dundgovi, where annual precipitation averages approximately 150 mm and groundwater recharge rates are low.</w:t>
      </w:r>
    </w:p>
    <w:p w14:paraId="3FABC237" w14:textId="77777777" w:rsidR="00CB182F" w:rsidRDefault="00CB182F" w:rsidP="00EB489E">
      <w:r>
        <w:rPr>
          <w:i/>
          <w:iCs/>
        </w:rPr>
        <w:t>Implications for feasibility:</w:t>
      </w:r>
      <w:r>
        <w:t xml:space="preserve"> The NAP’s allocation of 5,800 million MNT for irrigation norm revision (Action 1.3) signals policy recognition of this gap and represents an opportunity for this technical assistance to contribute. For the feasibility assessment, any recommendation for solar-powered irrigation must be accompanied by water management safeguards — including recommended extraction limits calibrated to local hydrogeological conditions, metering requirements, and automatic shutoff mechanisms at pre-determined groundwater depth thresholds — as the regulatory framework does not currently provide them.</w:t>
      </w:r>
    </w:p>
    <w:p w14:paraId="003AB112" w14:textId="77777777" w:rsidR="00E8296F" w:rsidRPr="00E35798" w:rsidRDefault="00E8296F" w:rsidP="00EB489E"/>
    <w:p w14:paraId="1C6661B3" w14:textId="77777777" w:rsidR="00CB182F" w:rsidRPr="00E35798" w:rsidRDefault="00CB182F" w:rsidP="00D16E24">
      <w:pPr>
        <w:spacing w:after="120" w:line="240" w:lineRule="auto"/>
        <w:contextualSpacing w:val="0"/>
        <w:rPr>
          <w:b/>
          <w:bCs/>
        </w:rPr>
      </w:pPr>
      <w:bookmarkStart w:id="33" w:name="greenhouse-infrastructure"/>
      <w:bookmarkEnd w:id="32"/>
      <w:r>
        <w:rPr>
          <w:b/>
          <w:bCs/>
        </w:rPr>
        <w:t>Greenhouse infrastructure</w:t>
      </w:r>
    </w:p>
    <w:p w14:paraId="1EBEBFD5" w14:textId="77777777" w:rsidR="00CB182F" w:rsidRPr="00E35798" w:rsidRDefault="00CB182F" w:rsidP="00EB489E">
      <w:r>
        <w:t xml:space="preserve">Greenhouse infrastructure has the strongest regulatory foundation among the three technology areas, with three dedicated national standards (MNS 6636:2016, MNS 6637:2016, MNS 7060:2024). However, all three standards address conventional film and glass construction types only. No standard covers solar-heated or energy-efficient designs — the types most relevant for this assignment’s objectives and for the policy target of a 50-hectare solar greenhouse cluster (Resolution No. 36, item 3.e). No energy performance ratings exist for greenhouse structures adapted to Mongolia’s extreme climate (winter temperatures </w:t>
      </w:r>
      <w:proofErr w:type="gramStart"/>
      <w:r>
        <w:t>reaching −40</w:t>
      </w:r>
      <w:proofErr w:type="gramEnd"/>
      <w:r>
        <w:t>°C, high winds, heavy snow loads). No certification system exists for greenhouse technology providers.</w:t>
      </w:r>
    </w:p>
    <w:p w14:paraId="54B578A5" w14:textId="77777777" w:rsidR="004216AC" w:rsidRDefault="004216AC" w:rsidP="00EB489E">
      <w:pPr>
        <w:rPr>
          <w:i/>
          <w:iCs/>
        </w:rPr>
      </w:pPr>
    </w:p>
    <w:p w14:paraId="16D223E0" w14:textId="2BCC390D" w:rsidR="00CB182F" w:rsidRDefault="00CB182F" w:rsidP="00EB489E">
      <w:r>
        <w:rPr>
          <w:i/>
          <w:iCs/>
        </w:rPr>
        <w:t>Implications for feasibility:</w:t>
      </w:r>
      <w:r>
        <w:t xml:space="preserve"> The feasibility of advanced greenhouse technologies (solar-heated, hybrid-energy, insulated designs) is constrained by the absence of performance standards. Technology recommendations in this report will therefore need to specify climate suitability criteria, energy efficiency parameters, and structural requirements that would normally be derived from national standards.</w:t>
      </w:r>
    </w:p>
    <w:p w14:paraId="547DA875" w14:textId="77777777" w:rsidR="00D265A0" w:rsidRPr="00E35798" w:rsidRDefault="00D265A0" w:rsidP="00EB489E"/>
    <w:p w14:paraId="065B7B30" w14:textId="77777777" w:rsidR="00CB182F" w:rsidRPr="00E35798" w:rsidRDefault="00CB182F" w:rsidP="00D16E24">
      <w:pPr>
        <w:spacing w:after="120" w:line="240" w:lineRule="auto"/>
        <w:contextualSpacing w:val="0"/>
        <w:rPr>
          <w:b/>
          <w:bCs/>
        </w:rPr>
      </w:pPr>
      <w:bookmarkStart w:id="34" w:name="agroforestry"/>
      <w:bookmarkEnd w:id="33"/>
      <w:r>
        <w:rPr>
          <w:b/>
          <w:bCs/>
        </w:rPr>
        <w:t>Agroforestry</w:t>
      </w:r>
    </w:p>
    <w:p w14:paraId="7E9198EE" w14:textId="77777777" w:rsidR="00CB182F" w:rsidRPr="00E35798" w:rsidRDefault="00CB182F" w:rsidP="00EB489E">
      <w:r>
        <w:t>Agroforestry benefits from the strongest policy momentum of all focal topics — with quantitative targets in the Billion Trees Campaign (173 million agroforestry trees), Atar-4 (10,000 km forest strips), the NAP (19,000 hectares), and Resolution No. 36. However, this policy ambition is matched by the near-complete absence of implementing instruments. No subordinate regulation, guideline, or technical standard exists for agroforestry practices, species selection, spacing parameters, or windbreak/shelterbelt design. The dual jurisdiction of MECC (forestry) and MOFALI (agriculture) over agroforestry on agricultural land — without a formal coordination mechanism — adds an institutional dimension to the gap.</w:t>
      </w:r>
    </w:p>
    <w:p w14:paraId="0D2A5359" w14:textId="77777777" w:rsidR="004216AC" w:rsidRDefault="004216AC" w:rsidP="00EB489E">
      <w:pPr>
        <w:rPr>
          <w:i/>
          <w:iCs/>
        </w:rPr>
      </w:pPr>
    </w:p>
    <w:p w14:paraId="7A592859" w14:textId="5A5BC1E5" w:rsidR="00CB182F" w:rsidRDefault="00CB182F" w:rsidP="00EB489E">
      <w:r>
        <w:rPr>
          <w:i/>
          <w:iCs/>
        </w:rPr>
        <w:t>Implications for feasibility:</w:t>
      </w:r>
      <w:r>
        <w:t xml:space="preserve"> Technology recommendations for agroforestry must include species and design specifications adapted to the </w:t>
      </w:r>
      <w:proofErr w:type="spellStart"/>
      <w:r>
        <w:t>agro</w:t>
      </w:r>
      <w:proofErr w:type="spellEnd"/>
      <w:r>
        <w:t xml:space="preserve">-ecological conditions of each pilot province (semi-arid Gobi steppe in Dundgovi; forest-steppe transition in Uvurkhangai), as these cannot be derived from existing standards. The Korea-Mongolia Green Belt Project’s experience with </w:t>
      </w:r>
      <w:r>
        <w:rPr>
          <w:i/>
          <w:iCs/>
        </w:rPr>
        <w:t>Populus sibirica</w:t>
      </w:r>
      <w:r>
        <w:t xml:space="preserve"> and </w:t>
      </w:r>
      <w:r>
        <w:rPr>
          <w:i/>
          <w:iCs/>
        </w:rPr>
        <w:t>Ulmus pumila</w:t>
      </w:r>
      <w:r>
        <w:t>, and the FAO/UNDP SCALA programme’s feasibility assessment of forest strips, provide valuable technical precedents, though neither has been codified into national standards.</w:t>
      </w:r>
    </w:p>
    <w:p w14:paraId="196DEC47" w14:textId="77777777" w:rsidR="00D265A0" w:rsidRPr="00E35798" w:rsidRDefault="00D265A0" w:rsidP="00EB489E"/>
    <w:bookmarkEnd w:id="34"/>
    <w:p w14:paraId="144FFE5A" w14:textId="77777777" w:rsidR="00CB182F" w:rsidRPr="00E35798" w:rsidRDefault="00CB182F" w:rsidP="00D16E24">
      <w:pPr>
        <w:spacing w:after="120" w:line="240" w:lineRule="auto"/>
        <w:contextualSpacing w:val="0"/>
        <w:rPr>
          <w:b/>
          <w:bCs/>
        </w:rPr>
      </w:pPr>
      <w:r>
        <w:rPr>
          <w:b/>
          <w:bCs/>
        </w:rPr>
        <w:t>Summary of implications for this feasibility assessment</w:t>
      </w:r>
    </w:p>
    <w:p w14:paraId="15F7F520" w14:textId="0C65DFD8" w:rsidR="005B3C51" w:rsidRDefault="00CB182F" w:rsidP="00EB489E">
      <w:r>
        <w:t xml:space="preserve">The regulatory gaps identified do not constitute absolute barriers to technology deployment — the policy framework is supportive, the primary legislation does not prohibit any of the proposed technologies, and substantial public financing is available through the Atar-4 campaign, Resolution No. 36, and NAP budget allocations. Rather, the gaps affect the </w:t>
      </w:r>
      <w:r>
        <w:rPr>
          <w:i/>
          <w:iCs/>
        </w:rPr>
        <w:t>conditions</w:t>
      </w:r>
      <w:r>
        <w:t xml:space="preserve"> of deployment: the quality assurance of imported equipment, the sustainability of water extraction, the safety and performance of greenhouse structures, and the ecological appropriateness of agroforestry species and designs. The technology recommendations in subsequent chapters are therefore formulated to be consistent with the regulatory strengthening measures under preparation through Output 2 of this technical assistance, which will develop the national guidelines and certification standards needed to fill the identified gaps. Table 7 summarises the key implications.</w:t>
      </w:r>
    </w:p>
    <w:p w14:paraId="500CF213" w14:textId="77777777" w:rsidR="00ED71A8" w:rsidRPr="00E35798" w:rsidRDefault="00ED71A8" w:rsidP="00EB489E"/>
    <w:p w14:paraId="52E8FBAE" w14:textId="09B8F2A5" w:rsidR="005522C9" w:rsidRPr="00E35798" w:rsidRDefault="005522C9" w:rsidP="00D16E24">
      <w:pPr>
        <w:pStyle w:val="Caption"/>
        <w:keepNext/>
        <w:framePr w:wrap="notBeside"/>
        <w:spacing w:after="120"/>
        <w:contextualSpacing w:val="0"/>
      </w:pPr>
      <w:r>
        <w:t>Table 7. Summary of regulatory gap implications for technology recommendations</w:t>
      </w:r>
    </w:p>
    <w:tbl>
      <w:tblPr>
        <w:tblW w:w="5000" w:type="pct"/>
        <w:tblBorders>
          <w:top w:val="single" w:sz="4" w:space="0" w:color="BCBCBC" w:themeColor="background1"/>
          <w:bottom w:val="single" w:sz="4" w:space="0" w:color="BCBCBC" w:themeColor="background1"/>
          <w:insideH w:val="single" w:sz="4" w:space="0" w:color="BCBCBC" w:themeColor="background1"/>
        </w:tblBorders>
        <w:tblLook w:val="0020" w:firstRow="1" w:lastRow="0" w:firstColumn="0" w:lastColumn="0" w:noHBand="0" w:noVBand="0"/>
      </w:tblPr>
      <w:tblGrid>
        <w:gridCol w:w="1423"/>
        <w:gridCol w:w="2619"/>
        <w:gridCol w:w="5596"/>
      </w:tblGrid>
      <w:tr w:rsidR="00615EFE" w:rsidRPr="00E35798" w14:paraId="200934C8" w14:textId="77777777" w:rsidTr="00ED71A8">
        <w:trPr>
          <w:tblHeader/>
        </w:trPr>
        <w:tc>
          <w:tcPr>
            <w:tcW w:w="0" w:type="auto"/>
            <w:shd w:val="clear" w:color="auto" w:fill="E99E6D" w:themeFill="accent3"/>
          </w:tcPr>
          <w:p w14:paraId="04976360" w14:textId="77777777" w:rsidR="00615EFE" w:rsidRPr="00E35798" w:rsidRDefault="00615EFE" w:rsidP="00ED71A8">
            <w:pPr>
              <w:pStyle w:val="OikoTables02"/>
            </w:pPr>
            <w:r>
              <w:lastRenderedPageBreak/>
              <w:t>Technology area</w:t>
            </w:r>
          </w:p>
        </w:tc>
        <w:tc>
          <w:tcPr>
            <w:tcW w:w="0" w:type="auto"/>
            <w:shd w:val="clear" w:color="auto" w:fill="E99E6D" w:themeFill="accent3"/>
          </w:tcPr>
          <w:p w14:paraId="3ECBFB5E" w14:textId="77777777" w:rsidR="00615EFE" w:rsidRPr="00E35798" w:rsidRDefault="00615EFE" w:rsidP="00ED71A8">
            <w:pPr>
              <w:pStyle w:val="OikoTables02"/>
            </w:pPr>
            <w:r>
              <w:t>Key regulatory gap</w:t>
            </w:r>
          </w:p>
        </w:tc>
        <w:tc>
          <w:tcPr>
            <w:tcW w:w="0" w:type="auto"/>
            <w:shd w:val="clear" w:color="auto" w:fill="E99E6D" w:themeFill="accent3"/>
          </w:tcPr>
          <w:p w14:paraId="32772668" w14:textId="77777777" w:rsidR="00615EFE" w:rsidRPr="00E35798" w:rsidRDefault="00615EFE" w:rsidP="00ED71A8">
            <w:pPr>
              <w:pStyle w:val="OikoTables02"/>
            </w:pPr>
            <w:r>
              <w:t>Implication for this feasibility assessment</w:t>
            </w:r>
          </w:p>
        </w:tc>
      </w:tr>
      <w:tr w:rsidR="00615EFE" w:rsidRPr="00E35798" w14:paraId="5CE750F7" w14:textId="77777777" w:rsidTr="00615EFE">
        <w:tc>
          <w:tcPr>
            <w:tcW w:w="0" w:type="auto"/>
          </w:tcPr>
          <w:p w14:paraId="1C3A9DB2" w14:textId="77777777" w:rsidR="00615EFE" w:rsidRPr="00E35798" w:rsidRDefault="00615EFE" w:rsidP="00D16E24">
            <w:pPr>
              <w:pStyle w:val="OikoTables03Content"/>
              <w:spacing w:after="120" w:line="240" w:lineRule="auto"/>
              <w:rPr>
                <w:lang w:val="en-GB"/>
              </w:rPr>
            </w:pPr>
            <w:r>
              <w:rPr>
                <w:lang w:val="en-GB"/>
              </w:rPr>
              <w:t>Solar irrigation</w:t>
            </w:r>
          </w:p>
        </w:tc>
        <w:tc>
          <w:tcPr>
            <w:tcW w:w="0" w:type="auto"/>
          </w:tcPr>
          <w:p w14:paraId="0FC0829E" w14:textId="77777777" w:rsidR="00615EFE" w:rsidRPr="00E35798" w:rsidRDefault="00615EFE" w:rsidP="00D16E24">
            <w:pPr>
              <w:pStyle w:val="OikoTables03Content"/>
              <w:spacing w:after="120" w:line="240" w:lineRule="auto"/>
              <w:rPr>
                <w:lang w:val="en-GB"/>
              </w:rPr>
            </w:pPr>
            <w:r>
              <w:rPr>
                <w:lang w:val="en-GB"/>
              </w:rPr>
              <w:t>RE Law Art. 3.2 exclusion; no MNS standard; no certification</w:t>
            </w:r>
          </w:p>
        </w:tc>
        <w:tc>
          <w:tcPr>
            <w:tcW w:w="0" w:type="auto"/>
          </w:tcPr>
          <w:p w14:paraId="675FAFC7" w14:textId="77777777" w:rsidR="00615EFE" w:rsidRPr="00E35798" w:rsidRDefault="00615EFE" w:rsidP="00D16E24">
            <w:pPr>
              <w:pStyle w:val="OikoTables03Content"/>
              <w:spacing w:after="120" w:line="240" w:lineRule="auto"/>
              <w:rPr>
                <w:lang w:val="en-GB"/>
              </w:rPr>
            </w:pPr>
            <w:r>
              <w:rPr>
                <w:lang w:val="en-GB"/>
              </w:rPr>
              <w:t>Technology specifications must include equipment quality criteria, as no national standard exists. Cost estimates should account for potential VAT/duty ambiguity.</w:t>
            </w:r>
          </w:p>
        </w:tc>
      </w:tr>
      <w:tr w:rsidR="00615EFE" w:rsidRPr="00E35798" w14:paraId="524DC147" w14:textId="77777777" w:rsidTr="00615EFE">
        <w:tc>
          <w:tcPr>
            <w:tcW w:w="0" w:type="auto"/>
          </w:tcPr>
          <w:p w14:paraId="3119EE3F" w14:textId="77777777" w:rsidR="00615EFE" w:rsidRPr="00E35798" w:rsidRDefault="00615EFE" w:rsidP="00D16E24">
            <w:pPr>
              <w:pStyle w:val="OikoTables03Content"/>
              <w:spacing w:after="120" w:line="240" w:lineRule="auto"/>
              <w:rPr>
                <w:lang w:val="en-GB"/>
              </w:rPr>
            </w:pPr>
            <w:r>
              <w:rPr>
                <w:lang w:val="en-GB"/>
              </w:rPr>
              <w:t>Water management</w:t>
            </w:r>
          </w:p>
        </w:tc>
        <w:tc>
          <w:tcPr>
            <w:tcW w:w="0" w:type="auto"/>
          </w:tcPr>
          <w:p w14:paraId="4AD5AA8C" w14:textId="77777777" w:rsidR="00615EFE" w:rsidRPr="00E35798" w:rsidRDefault="00615EFE" w:rsidP="00D16E24">
            <w:pPr>
              <w:pStyle w:val="OikoTables03Content"/>
              <w:spacing w:after="120" w:line="240" w:lineRule="auto"/>
              <w:rPr>
                <w:lang w:val="en-GB"/>
              </w:rPr>
            </w:pPr>
            <w:r>
              <w:rPr>
                <w:lang w:val="en-GB"/>
              </w:rPr>
              <w:t>No extraction thresholds; no solar-pumping safeguards</w:t>
            </w:r>
          </w:p>
        </w:tc>
        <w:tc>
          <w:tcPr>
            <w:tcW w:w="0" w:type="auto"/>
          </w:tcPr>
          <w:p w14:paraId="01FC9787" w14:textId="77777777" w:rsidR="00615EFE" w:rsidRPr="00E35798" w:rsidRDefault="00615EFE" w:rsidP="00D16E24">
            <w:pPr>
              <w:pStyle w:val="OikoTables03Content"/>
              <w:spacing w:after="120" w:line="240" w:lineRule="auto"/>
              <w:rPr>
                <w:lang w:val="en-GB"/>
              </w:rPr>
            </w:pPr>
            <w:r>
              <w:rPr>
                <w:lang w:val="en-GB"/>
              </w:rPr>
              <w:t>Recommendations must include water management safeguards (metering, extraction limits, shutoff mechanisms) that are not provided by current regulation.</w:t>
            </w:r>
          </w:p>
        </w:tc>
      </w:tr>
      <w:tr w:rsidR="00615EFE" w:rsidRPr="00E35798" w14:paraId="6E5EC932" w14:textId="77777777" w:rsidTr="00615EFE">
        <w:tc>
          <w:tcPr>
            <w:tcW w:w="0" w:type="auto"/>
          </w:tcPr>
          <w:p w14:paraId="0BFC9338" w14:textId="77777777" w:rsidR="00615EFE" w:rsidRPr="00E35798" w:rsidRDefault="00615EFE" w:rsidP="00D16E24">
            <w:pPr>
              <w:pStyle w:val="OikoTables03Content"/>
              <w:spacing w:after="120" w:line="240" w:lineRule="auto"/>
              <w:rPr>
                <w:lang w:val="en-GB"/>
              </w:rPr>
            </w:pPr>
            <w:r>
              <w:rPr>
                <w:lang w:val="en-GB"/>
              </w:rPr>
              <w:t>Greenhouses</w:t>
            </w:r>
          </w:p>
        </w:tc>
        <w:tc>
          <w:tcPr>
            <w:tcW w:w="0" w:type="auto"/>
          </w:tcPr>
          <w:p w14:paraId="73A88E54" w14:textId="77777777" w:rsidR="00615EFE" w:rsidRPr="00E35798" w:rsidRDefault="00615EFE" w:rsidP="00D16E24">
            <w:pPr>
              <w:pStyle w:val="OikoTables03Content"/>
              <w:spacing w:after="120" w:line="240" w:lineRule="auto"/>
              <w:rPr>
                <w:lang w:val="en-GB"/>
              </w:rPr>
            </w:pPr>
            <w:r>
              <w:rPr>
                <w:lang w:val="en-GB"/>
              </w:rPr>
              <w:t>Standards limited to film/glass types; no energy performance ratings</w:t>
            </w:r>
          </w:p>
        </w:tc>
        <w:tc>
          <w:tcPr>
            <w:tcW w:w="0" w:type="auto"/>
          </w:tcPr>
          <w:p w14:paraId="24691531" w14:textId="77777777" w:rsidR="00615EFE" w:rsidRPr="00E35798" w:rsidRDefault="00615EFE" w:rsidP="00D16E24">
            <w:pPr>
              <w:pStyle w:val="OikoTables03Content"/>
              <w:spacing w:after="120" w:line="240" w:lineRule="auto"/>
              <w:rPr>
                <w:lang w:val="en-GB"/>
              </w:rPr>
            </w:pPr>
            <w:r>
              <w:rPr>
                <w:lang w:val="en-GB"/>
              </w:rPr>
              <w:t>Advanced greenhouse recommendations must specify climate suitability, energy efficiency, and structural requirements beyond existing MNS scope.</w:t>
            </w:r>
          </w:p>
        </w:tc>
      </w:tr>
      <w:tr w:rsidR="00615EFE" w:rsidRPr="00E35798" w14:paraId="25D44219" w14:textId="77777777" w:rsidTr="00615EFE">
        <w:tc>
          <w:tcPr>
            <w:tcW w:w="0" w:type="auto"/>
          </w:tcPr>
          <w:p w14:paraId="45597F8C" w14:textId="77777777" w:rsidR="00615EFE" w:rsidRPr="00E35798" w:rsidRDefault="00615EFE" w:rsidP="00D16E24">
            <w:pPr>
              <w:pStyle w:val="OikoTables03Content"/>
              <w:spacing w:after="120" w:line="240" w:lineRule="auto"/>
              <w:rPr>
                <w:lang w:val="en-GB"/>
              </w:rPr>
            </w:pPr>
            <w:r>
              <w:rPr>
                <w:lang w:val="en-GB"/>
              </w:rPr>
              <w:t>Agroforestry</w:t>
            </w:r>
          </w:p>
        </w:tc>
        <w:tc>
          <w:tcPr>
            <w:tcW w:w="0" w:type="auto"/>
          </w:tcPr>
          <w:p w14:paraId="157EE56B" w14:textId="77777777" w:rsidR="00615EFE" w:rsidRPr="00E35798" w:rsidRDefault="00615EFE" w:rsidP="00D16E24">
            <w:pPr>
              <w:pStyle w:val="OikoTables03Content"/>
              <w:spacing w:after="120" w:line="240" w:lineRule="auto"/>
              <w:rPr>
                <w:lang w:val="en-GB"/>
              </w:rPr>
            </w:pPr>
            <w:r>
              <w:rPr>
                <w:lang w:val="en-GB"/>
              </w:rPr>
              <w:t>No guidelines, no MNS, no institutional coordination</w:t>
            </w:r>
          </w:p>
        </w:tc>
        <w:tc>
          <w:tcPr>
            <w:tcW w:w="0" w:type="auto"/>
          </w:tcPr>
          <w:p w14:paraId="4033FF41" w14:textId="77777777" w:rsidR="00615EFE" w:rsidRPr="00E35798" w:rsidRDefault="00615EFE" w:rsidP="00D16E24">
            <w:pPr>
              <w:pStyle w:val="OikoTables03Content"/>
              <w:spacing w:after="120" w:line="240" w:lineRule="auto"/>
              <w:rPr>
                <w:lang w:val="en-GB"/>
              </w:rPr>
            </w:pPr>
            <w:r>
              <w:rPr>
                <w:lang w:val="en-GB"/>
              </w:rPr>
              <w:t>Species selection, spacing, and windbreak design must be specified in recommendations, as no national guideline or standard exists. Province-specific guidance is essential.</w:t>
            </w:r>
          </w:p>
        </w:tc>
      </w:tr>
      <w:tr w:rsidR="004216AC" w:rsidRPr="00E35798" w14:paraId="4385DC5F" w14:textId="77777777" w:rsidTr="00623984">
        <w:tc>
          <w:tcPr>
            <w:tcW w:w="0" w:type="auto"/>
            <w:gridSpan w:val="3"/>
          </w:tcPr>
          <w:p w14:paraId="43FC5CEE" w14:textId="6321565F" w:rsidR="004216AC" w:rsidRDefault="004216AC" w:rsidP="00D16E24">
            <w:pPr>
              <w:pStyle w:val="OikoTables03Content"/>
              <w:spacing w:after="120" w:line="240" w:lineRule="auto"/>
              <w:rPr>
                <w:lang w:val="en-GB"/>
              </w:rPr>
            </w:pPr>
            <w:r w:rsidRPr="00B70A29">
              <w:rPr>
                <w:i/>
                <w:iCs/>
                <w:lang w:val="en-GB"/>
              </w:rPr>
              <w:t>Source: Created by author</w:t>
            </w:r>
          </w:p>
        </w:tc>
      </w:tr>
    </w:tbl>
    <w:p w14:paraId="349DC6D4" w14:textId="23E17614" w:rsidR="008C4CCF" w:rsidRDefault="008C4CCF" w:rsidP="008C4CCF">
      <w:pPr>
        <w:pStyle w:val="BodyText"/>
      </w:pPr>
    </w:p>
    <w:p w14:paraId="1B7BA68C" w14:textId="71B1150F" w:rsidR="008C4CCF" w:rsidRDefault="008C4CCF" w:rsidP="008C4CCF">
      <w:pPr>
        <w:pStyle w:val="BodyText"/>
      </w:pPr>
    </w:p>
    <w:p w14:paraId="3181D63D" w14:textId="786E8AAD" w:rsidR="008C4CCF" w:rsidRDefault="008C4CCF" w:rsidP="008C4CCF">
      <w:pPr>
        <w:pStyle w:val="BodyText"/>
      </w:pPr>
    </w:p>
    <w:p w14:paraId="43CAF7BF" w14:textId="5C8F3F9D" w:rsidR="008C4CCF" w:rsidRDefault="008C4CCF" w:rsidP="008C4CCF">
      <w:pPr>
        <w:pStyle w:val="BodyText"/>
      </w:pPr>
    </w:p>
    <w:p w14:paraId="7E885315" w14:textId="4EE83FCB" w:rsidR="008C4CCF" w:rsidRDefault="008C4CCF" w:rsidP="008C4CCF">
      <w:pPr>
        <w:pStyle w:val="BodyText"/>
      </w:pPr>
    </w:p>
    <w:p w14:paraId="3EE42FA1" w14:textId="53040802" w:rsidR="008C4CCF" w:rsidRDefault="008C4CCF" w:rsidP="008C4CCF">
      <w:pPr>
        <w:pStyle w:val="BodyText"/>
      </w:pPr>
    </w:p>
    <w:p w14:paraId="5CB40A5E" w14:textId="01FEA998" w:rsidR="008C4CCF" w:rsidRDefault="008C4CCF" w:rsidP="008C4CCF">
      <w:pPr>
        <w:pStyle w:val="BodyText"/>
      </w:pPr>
    </w:p>
    <w:p w14:paraId="21BCDFD9" w14:textId="65E44114" w:rsidR="008C4CCF" w:rsidRDefault="008C4CCF" w:rsidP="008C4CCF">
      <w:pPr>
        <w:pStyle w:val="BodyText"/>
      </w:pPr>
    </w:p>
    <w:p w14:paraId="00A1846C" w14:textId="4F61C2C7" w:rsidR="008C4CCF" w:rsidRDefault="008C4CCF" w:rsidP="008C4CCF">
      <w:pPr>
        <w:pStyle w:val="BodyText"/>
      </w:pPr>
    </w:p>
    <w:p w14:paraId="747A3830" w14:textId="0FCA8453" w:rsidR="008C4CCF" w:rsidRDefault="008C4CCF" w:rsidP="008C4CCF">
      <w:pPr>
        <w:pStyle w:val="BodyText"/>
      </w:pPr>
    </w:p>
    <w:p w14:paraId="1A24325D" w14:textId="79ACCD2F" w:rsidR="008C4CCF" w:rsidRDefault="008C4CCF" w:rsidP="008C4CCF">
      <w:pPr>
        <w:pStyle w:val="BodyText"/>
      </w:pPr>
    </w:p>
    <w:p w14:paraId="75487523" w14:textId="77C2C3A9" w:rsidR="008C4CCF" w:rsidRDefault="008C4CCF" w:rsidP="008C4CCF">
      <w:pPr>
        <w:pStyle w:val="BodyText"/>
      </w:pPr>
    </w:p>
    <w:p w14:paraId="05D925A8" w14:textId="768649DC" w:rsidR="008C4CCF" w:rsidRDefault="008C4CCF" w:rsidP="008C4CCF">
      <w:pPr>
        <w:pStyle w:val="BodyText"/>
      </w:pPr>
    </w:p>
    <w:p w14:paraId="18CC8718" w14:textId="79675518" w:rsidR="008C4CCF" w:rsidRDefault="008C4CCF" w:rsidP="008C4CCF">
      <w:pPr>
        <w:pStyle w:val="BodyText"/>
      </w:pPr>
    </w:p>
    <w:p w14:paraId="0C386E76" w14:textId="6BF25857" w:rsidR="008C4CCF" w:rsidRDefault="008C4CCF" w:rsidP="008C4CCF">
      <w:pPr>
        <w:pStyle w:val="BodyText"/>
      </w:pPr>
    </w:p>
    <w:p w14:paraId="4B33F9A4" w14:textId="23FCE21F" w:rsidR="008C4CCF" w:rsidRDefault="008C4CCF" w:rsidP="008C4CCF">
      <w:pPr>
        <w:pStyle w:val="BodyText"/>
      </w:pPr>
    </w:p>
    <w:p w14:paraId="52E11A70" w14:textId="7D7BF047" w:rsidR="0083030F" w:rsidRDefault="0083030F">
      <w:pPr>
        <w:spacing w:after="160" w:line="259" w:lineRule="auto"/>
        <w:contextualSpacing w:val="0"/>
        <w:jc w:val="left"/>
      </w:pPr>
      <w:r>
        <w:br w:type="page"/>
      </w:r>
    </w:p>
    <w:p w14:paraId="46C69D55" w14:textId="7989C028" w:rsidR="00956821" w:rsidRPr="00E35798" w:rsidRDefault="001526DB" w:rsidP="00D16E24">
      <w:pPr>
        <w:pStyle w:val="Heading1"/>
        <w:spacing w:line="240" w:lineRule="auto"/>
        <w:contextualSpacing w:val="0"/>
      </w:pPr>
      <w:bookmarkStart w:id="35" w:name="_Toc233981250"/>
      <w:r>
        <w:lastRenderedPageBreak/>
        <w:t xml:space="preserve">Target Areas and </w:t>
      </w:r>
      <w:proofErr w:type="spellStart"/>
      <w:r>
        <w:t>Agro</w:t>
      </w:r>
      <w:proofErr w:type="spellEnd"/>
      <w:r>
        <w:t>-Ecological Zonation (Biophysical baseline)</w:t>
      </w:r>
      <w:bookmarkEnd w:id="35"/>
      <w:r>
        <w:t xml:space="preserve"> </w:t>
      </w:r>
    </w:p>
    <w:p w14:paraId="4E57373E" w14:textId="0DFC78B9" w:rsidR="001507DF" w:rsidRPr="00E35798" w:rsidRDefault="003B0FF2" w:rsidP="00EB489E">
      <w:r>
        <w:t xml:space="preserve">The objective of this chapter is to consolidate the location-specific evidence on which the technology screening (Chapter 7) and the province-specific package recommendations (Chapter 8) rest. It defines, in operational rather than purely descriptive terms, the local problem that the four focal technologies of this Technical Assistance — solar-powered irrigation, regulated groundwater abstraction, climate-adapted greenhouses, and agroforestry — are expected to solve. Whenever possible, the analysis cites province- and station-level data drawn from the Mongolian National Statistics Office (NSO), the </w:t>
      </w:r>
      <w:proofErr w:type="spellStart"/>
      <w:r>
        <w:t>agro</w:t>
      </w:r>
      <w:proofErr w:type="spellEnd"/>
      <w:r>
        <w:t xml:space="preserve">-meteorological records of the Information and Research Institute of Meteorology, Hydrology and Environment (IRIMHE) and the National Agency for Meteorology and Environmental Monitoring (NAMEM), the 2025 General Land Management Plan baseline study for Uvurkhangai aimag, the 2021–2022 Environmental Status Report and 2019 Desertification Study of Dundgovi aimag, the 2025 annual reports of the Departments of Food and Agriculture (DFA) of the two target </w:t>
      </w:r>
      <w:proofErr w:type="spellStart"/>
      <w:r>
        <w:t>aimags</w:t>
      </w:r>
      <w:proofErr w:type="spellEnd"/>
      <w:r>
        <w:t>, and complementary technical literature.</w:t>
      </w:r>
      <w:r>
        <w:rPr>
          <w:rFonts w:eastAsia="Times New Roman" w:cs="Times New Roman"/>
          <w:sz w:val="18"/>
          <w:szCs w:val="18"/>
          <w:vertAlign w:val="superscript"/>
        </w:rPr>
        <w:t xml:space="preserve"> </w:t>
      </w:r>
    </w:p>
    <w:p w14:paraId="4CE8347D" w14:textId="3877C7C7" w:rsidR="00447B91" w:rsidRPr="00E35798" w:rsidRDefault="003A7672" w:rsidP="00D16E24">
      <w:pPr>
        <w:pStyle w:val="Heading2"/>
        <w:spacing w:line="240" w:lineRule="auto"/>
        <w:contextualSpacing w:val="0"/>
      </w:pPr>
      <w:bookmarkStart w:id="36" w:name="_Toc233981251"/>
      <w:r>
        <w:t>Geographic focus and administrative setting</w:t>
      </w:r>
      <w:bookmarkEnd w:id="36"/>
    </w:p>
    <w:p w14:paraId="037D4F28" w14:textId="615A6DBF" w:rsidR="000665C2" w:rsidRDefault="00E75270" w:rsidP="00EB489E">
      <w:r>
        <w:t xml:space="preserve">The two target provinces — Uvurkhangai and Dundgovi — sit on adjacent but biophysically distinct zones of central Mongolia. Uvurkhangai straddles the transition from the </w:t>
      </w:r>
      <w:proofErr w:type="spellStart"/>
      <w:r>
        <w:t>Khangai</w:t>
      </w:r>
      <w:proofErr w:type="spellEnd"/>
      <w:r>
        <w:t xml:space="preserve"> forest-steppe in the north to the northern Gobi desert-steppe in the south. Dundgovi lies fully within the Gobi semi-desert belt of central-southern Mongolia. The two provinces share a northern–southern boundary, but their separation in latitude (approximately 250–400 km of north–south extent across both territories combined), elevation, surface-water endowment and precipitation regime translates into systematically different operating envelopes for irrigated vegetable production. Selecting the two provinces in tandem therefore allows the project to test the same generic technology toolkit under two contrasting </w:t>
      </w:r>
      <w:proofErr w:type="spellStart"/>
      <w:r>
        <w:t>agro</w:t>
      </w:r>
      <w:proofErr w:type="spellEnd"/>
      <w:r>
        <w:t>-ecological conditions, and to validate that the recommended packages are genuinely tailored rather than uniform.</w:t>
      </w:r>
    </w:p>
    <w:p w14:paraId="643AC22D" w14:textId="3CB074CD" w:rsidR="00641399" w:rsidRPr="00E35798" w:rsidRDefault="00641399" w:rsidP="00D16E24">
      <w:pPr>
        <w:spacing w:after="120" w:line="240" w:lineRule="auto"/>
        <w:contextualSpacing w:val="0"/>
        <w:jc w:val="center"/>
      </w:pPr>
      <w:r>
        <w:rPr>
          <w:noProof/>
        </w:rPr>
        <w:drawing>
          <wp:inline distT="0" distB="0" distL="0" distR="0" wp14:anchorId="2E37E96B" wp14:editId="228F210F">
            <wp:extent cx="5760000" cy="3315519"/>
            <wp:effectExtent l="0" t="0" r="0" b="0"/>
            <wp:docPr id="7" name="Grafik 1" descr="Ein Bild, das Text, Karte, Screenshot, Atlas enthält.  KI-generierte Inhalte können fehlerhaft sein.">
              <a:extLst xmlns:a="http://schemas.openxmlformats.org/drawingml/2006/main">
                <a:ext uri="{FF2B5EF4-FFF2-40B4-BE49-F238E27FC236}">
                  <a16:creationId xmlns:a16="http://schemas.microsoft.com/office/drawing/2014/main" id="{CF6D9482-313E-8E08-87E5-C85A5D171F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Text, Karte, Screenshot, Atlas enthält.  KI-generierte Inhalte können fehlerhaft sein.">
                      <a:extLst>
                        <a:ext uri="{FF2B5EF4-FFF2-40B4-BE49-F238E27FC236}">
                          <a16:creationId xmlns:a16="http://schemas.microsoft.com/office/drawing/2014/main" id="{CF6D9482-313E-8E08-87E5-C85A5D171FFE}"/>
                        </a:ext>
                      </a:extLst>
                    </pic:cNvPr>
                    <pic:cNvPicPr>
                      <a:picLocks noChangeAspect="1"/>
                    </pic:cNvPicPr>
                  </pic:nvPicPr>
                  <pic:blipFill>
                    <a:blip r:embed="rId16" cstate="print">
                      <a:extLst>
                        <a:ext uri="{28A0092B-C50C-407E-A947-70E740481C1C}">
                          <a14:useLocalDpi xmlns:a14="http://schemas.microsoft.com/office/drawing/2010/main" val="0"/>
                        </a:ext>
                      </a:extLst>
                    </a:blip>
                    <a:srcRect t="13959" r="-181" b="1903"/>
                    <a:stretch>
                      <a:fillRect/>
                    </a:stretch>
                  </pic:blipFill>
                  <pic:spPr>
                    <a:xfrm>
                      <a:off x="0" y="0"/>
                      <a:ext cx="5760000" cy="3315519"/>
                    </a:xfrm>
                    <a:prstGeom prst="rect">
                      <a:avLst/>
                    </a:prstGeom>
                  </pic:spPr>
                </pic:pic>
              </a:graphicData>
            </a:graphic>
          </wp:inline>
        </w:drawing>
      </w:r>
    </w:p>
    <w:p w14:paraId="06F7FB62" w14:textId="51FFC340" w:rsidR="005C2DF4" w:rsidRPr="00D83C75" w:rsidRDefault="00713C28" w:rsidP="00713C28">
      <w:pPr>
        <w:pStyle w:val="Caption"/>
        <w:framePr w:wrap="notBeside"/>
        <w:rPr>
          <w:b/>
          <w:bCs/>
        </w:rPr>
      </w:pPr>
      <w:r>
        <w:t xml:space="preserve">Figure </w:t>
      </w:r>
      <w:r>
        <w:fldChar w:fldCharType="begin"/>
      </w:r>
      <w:r>
        <w:instrText xml:space="preserve"> SEQ Figure \* ARABIC </w:instrText>
      </w:r>
      <w:r>
        <w:fldChar w:fldCharType="separate"/>
      </w:r>
      <w:r w:rsidR="004171B1">
        <w:rPr>
          <w:noProof/>
        </w:rPr>
        <w:t>1</w:t>
      </w:r>
      <w:r>
        <w:fldChar w:fldCharType="end"/>
      </w:r>
      <w:r w:rsidR="00D83C75">
        <w:rPr>
          <w:b/>
          <w:bCs/>
        </w:rPr>
        <w:t xml:space="preserve">. </w:t>
      </w:r>
      <w:r w:rsidR="00D83C75" w:rsidRPr="00713C28">
        <w:t>Land cover distribution map of Mongolia (</w:t>
      </w:r>
      <w:r w:rsidR="00D83C75">
        <w:t>Source: researchgate.net)</w:t>
      </w:r>
    </w:p>
    <w:p w14:paraId="16EC076D" w14:textId="28D76E05" w:rsidR="00641399" w:rsidRDefault="00641399" w:rsidP="00EB489E"/>
    <w:p w14:paraId="6BA47E7F" w14:textId="358A3FED" w:rsidR="00641399" w:rsidRDefault="00641399" w:rsidP="00D16E24">
      <w:pPr>
        <w:spacing w:after="120" w:line="240" w:lineRule="auto"/>
        <w:contextualSpacing w:val="0"/>
        <w:jc w:val="center"/>
      </w:pPr>
      <w:r>
        <w:rPr>
          <w:noProof/>
        </w:rPr>
        <w:lastRenderedPageBreak/>
        <w:drawing>
          <wp:inline distT="0" distB="0" distL="0" distR="0" wp14:anchorId="2973A6E5" wp14:editId="5C8544FC">
            <wp:extent cx="5760000" cy="3439949"/>
            <wp:effectExtent l="0" t="0" r="0" b="8255"/>
            <wp:docPr id="1444822212" name="Grafik 1" descr="Ein Bild, das Text, Karte, Atlas, Screenshot enthält.  KI-generierte Inhalte können fehlerhaft sein.">
              <a:extLst xmlns:a="http://schemas.openxmlformats.org/drawingml/2006/main">
                <a:ext uri="{FF2B5EF4-FFF2-40B4-BE49-F238E27FC236}">
                  <a16:creationId xmlns:a16="http://schemas.microsoft.com/office/drawing/2014/main" id="{FDA97225-B0CC-60B1-9B93-621D056BD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22212" name="Grafik 1" descr="Ein Bild, das Text, Karte, Atlas, Screenshot enthält.  KI-generierte Inhalte können fehlerhaft sein.">
                      <a:extLst>
                        <a:ext uri="{FF2B5EF4-FFF2-40B4-BE49-F238E27FC236}">
                          <a16:creationId xmlns:a16="http://schemas.microsoft.com/office/drawing/2014/main" id="{FDA97225-B0CC-60B1-9B93-621D056BD6FB}"/>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00" cy="3439949"/>
                    </a:xfrm>
                    <a:prstGeom prst="rect">
                      <a:avLst/>
                    </a:prstGeom>
                  </pic:spPr>
                </pic:pic>
              </a:graphicData>
            </a:graphic>
          </wp:inline>
        </w:drawing>
      </w:r>
    </w:p>
    <w:p w14:paraId="13C33D0B" w14:textId="20757F01" w:rsidR="00D83C75" w:rsidRPr="00E35798" w:rsidRDefault="00713C28" w:rsidP="00713C28">
      <w:pPr>
        <w:pStyle w:val="Caption"/>
        <w:framePr w:wrap="notBeside"/>
      </w:pPr>
      <w:r>
        <w:t xml:space="preserve">Figure </w:t>
      </w:r>
      <w:r>
        <w:fldChar w:fldCharType="begin"/>
      </w:r>
      <w:r>
        <w:instrText xml:space="preserve"> SEQ Figure \* ARABIC </w:instrText>
      </w:r>
      <w:r>
        <w:fldChar w:fldCharType="separate"/>
      </w:r>
      <w:r w:rsidR="004171B1">
        <w:rPr>
          <w:noProof/>
        </w:rPr>
        <w:t>2</w:t>
      </w:r>
      <w:r>
        <w:fldChar w:fldCharType="end"/>
      </w:r>
      <w:r>
        <w:t>.</w:t>
      </w:r>
      <w:r w:rsidR="00D83C75" w:rsidRPr="00455267">
        <w:t>Altitude map of Mongolia</w:t>
      </w:r>
      <w:r w:rsidR="00D83C75">
        <w:rPr>
          <w:b/>
          <w:bCs/>
        </w:rPr>
        <w:t xml:space="preserve"> </w:t>
      </w:r>
      <w:r w:rsidR="00D83C75">
        <w:t>(Source: researchgate.net)</w:t>
      </w:r>
      <w:r w:rsidR="00D83C75">
        <w:rPr>
          <w:b/>
          <w:bCs/>
        </w:rPr>
        <w:br/>
      </w:r>
    </w:p>
    <w:p w14:paraId="2A691512" w14:textId="53CD89A6" w:rsidR="005C2DF4" w:rsidRPr="00E35798" w:rsidRDefault="005C2DF4" w:rsidP="00D16E24">
      <w:pPr>
        <w:spacing w:after="120" w:line="240" w:lineRule="auto"/>
        <w:contextualSpacing w:val="0"/>
        <w:jc w:val="center"/>
      </w:pPr>
    </w:p>
    <w:p w14:paraId="40A8C362" w14:textId="362BFE63" w:rsidR="00525E32" w:rsidRDefault="00D83C75" w:rsidP="00D16E24">
      <w:pPr>
        <w:spacing w:after="120" w:line="240" w:lineRule="auto"/>
        <w:contextualSpacing w:val="0"/>
        <w:jc w:val="center"/>
      </w:pPr>
      <w:r>
        <w:rPr>
          <w:noProof/>
        </w:rPr>
        <w:drawing>
          <wp:inline distT="0" distB="0" distL="0" distR="0" wp14:anchorId="50CAFD12" wp14:editId="1524F485">
            <wp:extent cx="5760000" cy="2833142"/>
            <wp:effectExtent l="0" t="0" r="0" b="5715"/>
            <wp:docPr id="8" name="Grafik 1" descr="Ein Bild, das Text, Karte enthält.  KI-generierte Inhalte können fehlerhaft sein.">
              <a:extLst xmlns:a="http://schemas.openxmlformats.org/drawingml/2006/main">
                <a:ext uri="{FF2B5EF4-FFF2-40B4-BE49-F238E27FC236}">
                  <a16:creationId xmlns:a16="http://schemas.microsoft.com/office/drawing/2014/main" id="{9E9BCCD7-FEE7-8AEB-E393-98C8AAB971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Text, Karte enthält.  KI-generierte Inhalte können fehlerhaft sein.">
                      <a:extLst>
                        <a:ext uri="{FF2B5EF4-FFF2-40B4-BE49-F238E27FC236}">
                          <a16:creationId xmlns:a16="http://schemas.microsoft.com/office/drawing/2014/main" id="{9E9BCCD7-FEE7-8AEB-E393-98C8AAB97169}"/>
                        </a:ext>
                      </a:extLst>
                    </pic:cNvPr>
                    <pic:cNvPicPr>
                      <a:picLocks noChangeAspect="1"/>
                    </pic:cNvPicPr>
                  </pic:nvPicPr>
                  <pic:blipFill rotWithShape="1">
                    <a:blip r:embed="rId18">
                      <a:extLst>
                        <a:ext uri="{28A0092B-C50C-407E-A947-70E740481C1C}">
                          <a14:useLocalDpi xmlns:a14="http://schemas.microsoft.com/office/drawing/2010/main" val="0"/>
                        </a:ext>
                      </a:extLst>
                    </a:blip>
                    <a:srcRect l="4107" t="2876" r="902" b="19628"/>
                    <a:stretch/>
                  </pic:blipFill>
                  <pic:spPr bwMode="auto">
                    <a:xfrm>
                      <a:off x="0" y="0"/>
                      <a:ext cx="5760000" cy="2833142"/>
                    </a:xfrm>
                    <a:prstGeom prst="rect">
                      <a:avLst/>
                    </a:prstGeom>
                    <a:ln>
                      <a:noFill/>
                    </a:ln>
                    <a:extLst>
                      <a:ext uri="{53640926-AAD7-44D8-BBD7-CCE9431645EC}">
                        <a14:shadowObscured xmlns:a14="http://schemas.microsoft.com/office/drawing/2010/main"/>
                      </a:ext>
                    </a:extLst>
                  </pic:spPr>
                </pic:pic>
              </a:graphicData>
            </a:graphic>
          </wp:inline>
        </w:drawing>
      </w:r>
    </w:p>
    <w:p w14:paraId="463C8234" w14:textId="1A5BD7FD" w:rsidR="00D83C75" w:rsidRDefault="00D83C75" w:rsidP="00D16E24">
      <w:pPr>
        <w:spacing w:after="120" w:line="240" w:lineRule="auto"/>
        <w:contextualSpacing w:val="0"/>
        <w:jc w:val="center"/>
      </w:pPr>
    </w:p>
    <w:p w14:paraId="5079C93E" w14:textId="1431083A" w:rsidR="00D83C75" w:rsidRDefault="00D83C75" w:rsidP="00D16E24">
      <w:pPr>
        <w:spacing w:after="120" w:line="240" w:lineRule="auto"/>
        <w:contextualSpacing w:val="0"/>
        <w:jc w:val="center"/>
      </w:pPr>
      <w:r>
        <w:rPr>
          <w:noProof/>
        </w:rPr>
        <w:drawing>
          <wp:inline distT="0" distB="0" distL="0" distR="0" wp14:anchorId="330CF132" wp14:editId="24974F92">
            <wp:extent cx="3404089" cy="398753"/>
            <wp:effectExtent l="0" t="0" r="0" b="0"/>
            <wp:docPr id="10" name="Grafik 3" descr="Ein Bild, das Text, Farbigkeit, Screenshot, Schrift enthält.  KI-generierte Inhalte können fehlerhaft sein.">
              <a:extLst xmlns:a="http://schemas.openxmlformats.org/drawingml/2006/main">
                <a:ext uri="{FF2B5EF4-FFF2-40B4-BE49-F238E27FC236}">
                  <a16:creationId xmlns:a16="http://schemas.microsoft.com/office/drawing/2014/main" id="{3C59C769-CDC4-B5E1-C427-4FCD8671A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Farbigkeit, Screenshot, Schrift enthält.  KI-generierte Inhalte können fehlerhaft sein.">
                      <a:extLst>
                        <a:ext uri="{FF2B5EF4-FFF2-40B4-BE49-F238E27FC236}">
                          <a16:creationId xmlns:a16="http://schemas.microsoft.com/office/drawing/2014/main" id="{3C59C769-CDC4-B5E1-C427-4FCD8671AEB8}"/>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46034" cy="415380"/>
                    </a:xfrm>
                    <a:prstGeom prst="rect">
                      <a:avLst/>
                    </a:prstGeom>
                  </pic:spPr>
                </pic:pic>
              </a:graphicData>
            </a:graphic>
          </wp:inline>
        </w:drawing>
      </w:r>
    </w:p>
    <w:p w14:paraId="38155E01" w14:textId="7B6825F8" w:rsidR="00D83C75" w:rsidRDefault="00D83C75" w:rsidP="00D16E24">
      <w:pPr>
        <w:spacing w:after="120" w:line="240" w:lineRule="auto"/>
        <w:contextualSpacing w:val="0"/>
        <w:jc w:val="center"/>
      </w:pPr>
    </w:p>
    <w:p w14:paraId="533B92DF" w14:textId="58B8366F" w:rsidR="00D83C75" w:rsidRPr="00E35798" w:rsidRDefault="009B70D4" w:rsidP="009B70D4">
      <w:pPr>
        <w:pStyle w:val="Caption"/>
        <w:framePr w:wrap="notBeside"/>
      </w:pPr>
      <w:r>
        <w:t xml:space="preserve">Figure </w:t>
      </w:r>
      <w:r>
        <w:fldChar w:fldCharType="begin"/>
      </w:r>
      <w:r>
        <w:instrText xml:space="preserve"> SEQ Figure \* ARABIC </w:instrText>
      </w:r>
      <w:r>
        <w:fldChar w:fldCharType="separate"/>
      </w:r>
      <w:r w:rsidR="004171B1">
        <w:rPr>
          <w:noProof/>
        </w:rPr>
        <w:t>3</w:t>
      </w:r>
      <w:r>
        <w:fldChar w:fldCharType="end"/>
      </w:r>
      <w:r w:rsidRPr="009B70D4">
        <w:t>.</w:t>
      </w:r>
      <w:r w:rsidR="00D83C75" w:rsidRPr="009B70D4">
        <w:t xml:space="preserve"> Annual precipitation map of Mongolia</w:t>
      </w:r>
      <w:r w:rsidR="00D83C75">
        <w:rPr>
          <w:b/>
          <w:bCs/>
        </w:rPr>
        <w:t xml:space="preserve"> </w:t>
      </w:r>
      <w:r w:rsidR="00D83C75">
        <w:t>(Source: researchgate.net)</w:t>
      </w:r>
    </w:p>
    <w:p w14:paraId="56C0A7DA" w14:textId="77777777" w:rsidR="00D83C75" w:rsidRDefault="00D83C75" w:rsidP="00D16E24">
      <w:pPr>
        <w:spacing w:before="120" w:after="120" w:line="240" w:lineRule="auto"/>
        <w:contextualSpacing w:val="0"/>
        <w:jc w:val="center"/>
      </w:pPr>
    </w:p>
    <w:p w14:paraId="4804CBAC" w14:textId="77777777" w:rsidR="00D83C75" w:rsidRPr="00E35798" w:rsidRDefault="00D83C75" w:rsidP="00D16E24">
      <w:pPr>
        <w:spacing w:after="120" w:line="240" w:lineRule="auto"/>
        <w:contextualSpacing w:val="0"/>
        <w:jc w:val="center"/>
      </w:pPr>
    </w:p>
    <w:p w14:paraId="1B10B32F" w14:textId="755B3362" w:rsidR="00292AE0" w:rsidRPr="00E35798" w:rsidRDefault="00292AE0" w:rsidP="00EB489E"/>
    <w:p w14:paraId="0546300A" w14:textId="5CBE746D" w:rsidR="00292AE0" w:rsidRPr="00E35798" w:rsidRDefault="00292AE0" w:rsidP="00EB489E"/>
    <w:p w14:paraId="176200B5" w14:textId="415BF24D" w:rsidR="00A56B5A" w:rsidRDefault="00D83C75" w:rsidP="00D16E24">
      <w:pPr>
        <w:spacing w:after="120" w:line="240" w:lineRule="auto"/>
        <w:contextualSpacing w:val="0"/>
        <w:jc w:val="center"/>
      </w:pPr>
      <w:r>
        <w:rPr>
          <w:noProof/>
        </w:rPr>
        <w:lastRenderedPageBreak/>
        <w:drawing>
          <wp:inline distT="0" distB="0" distL="0" distR="0" wp14:anchorId="33AA6C21" wp14:editId="3BBB2333">
            <wp:extent cx="5760000" cy="3464497"/>
            <wp:effectExtent l="0" t="0" r="0" b="3175"/>
            <wp:docPr id="1463855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55196" name="Graphic 1"/>
                    <pic:cNvPicPr>
                      <a:picLocks noChangeAspect="1"/>
                    </pic:cNvPicPr>
                  </pic:nvPicPr>
                  <pic:blipFill rotWithShape="1">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rcRect l="2591" t="4337" r="14792" b="7307"/>
                    <a:stretch>
                      <a:fillRect/>
                    </a:stretch>
                  </pic:blipFill>
                  <pic:spPr bwMode="auto">
                    <a:xfrm>
                      <a:off x="0" y="0"/>
                      <a:ext cx="5760000" cy="3464497"/>
                    </a:xfrm>
                    <a:prstGeom prst="rect">
                      <a:avLst/>
                    </a:prstGeom>
                    <a:ln>
                      <a:noFill/>
                    </a:ln>
                    <a:extLst>
                      <a:ext uri="{53640926-AAD7-44D8-BBD7-CCE9431645EC}">
                        <a14:shadowObscured xmlns:a14="http://schemas.microsoft.com/office/drawing/2010/main"/>
                      </a:ext>
                    </a:extLst>
                  </pic:spPr>
                </pic:pic>
              </a:graphicData>
            </a:graphic>
          </wp:inline>
        </w:drawing>
      </w:r>
    </w:p>
    <w:p w14:paraId="688AEE46" w14:textId="6ADC5C3E" w:rsidR="00D83C75" w:rsidRPr="00D16E24" w:rsidRDefault="009B70D4" w:rsidP="009B70D4">
      <w:pPr>
        <w:pStyle w:val="Caption"/>
        <w:framePr w:wrap="notBeside"/>
        <w:rPr>
          <w:b/>
          <w:bCs/>
        </w:rPr>
      </w:pPr>
      <w:r>
        <w:t xml:space="preserve">Figure </w:t>
      </w:r>
      <w:r>
        <w:fldChar w:fldCharType="begin"/>
      </w:r>
      <w:r>
        <w:instrText xml:space="preserve"> SEQ Figure \* ARABIC </w:instrText>
      </w:r>
      <w:r>
        <w:fldChar w:fldCharType="separate"/>
      </w:r>
      <w:r w:rsidR="004171B1">
        <w:rPr>
          <w:noProof/>
        </w:rPr>
        <w:t>4</w:t>
      </w:r>
      <w:r>
        <w:fldChar w:fldCharType="end"/>
      </w:r>
      <w:r w:rsidRPr="009B70D4">
        <w:t>.</w:t>
      </w:r>
      <w:r w:rsidR="00D83C75" w:rsidRPr="009B70D4">
        <w:t xml:space="preserve"> Annual mean temperature map of Mongolia (</w:t>
      </w:r>
      <w:r w:rsidR="00D83C75">
        <w:t>Source: researchgate.net)</w:t>
      </w:r>
    </w:p>
    <w:p w14:paraId="1DED9799" w14:textId="0000C821" w:rsidR="0026030B" w:rsidRDefault="00A56B5A" w:rsidP="00D16E24">
      <w:pPr>
        <w:keepNext/>
        <w:spacing w:after="120" w:line="240" w:lineRule="auto"/>
        <w:contextualSpacing w:val="0"/>
        <w:jc w:val="center"/>
      </w:pPr>
      <w:r>
        <w:rPr>
          <w:noProof/>
        </w:rPr>
        <w:drawing>
          <wp:inline distT="0" distB="0" distL="0" distR="0" wp14:anchorId="04FD519B" wp14:editId="4C7D5A5F">
            <wp:extent cx="6048000" cy="3104666"/>
            <wp:effectExtent l="0" t="0" r="0" b="0"/>
            <wp:docPr id="13898768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48000" cy="3104666"/>
                    </a:xfrm>
                    <a:prstGeom prst="rect">
                      <a:avLst/>
                    </a:prstGeom>
                    <a:noFill/>
                    <a:ln>
                      <a:noFill/>
                    </a:ln>
                  </pic:spPr>
                </pic:pic>
              </a:graphicData>
            </a:graphic>
          </wp:inline>
        </w:drawing>
      </w:r>
    </w:p>
    <w:p w14:paraId="64EBC55D" w14:textId="2D335B5D" w:rsidR="00D83C75" w:rsidRDefault="009B70D4" w:rsidP="009B70D4">
      <w:pPr>
        <w:pStyle w:val="Caption"/>
        <w:framePr w:wrap="notBeside"/>
      </w:pPr>
      <w:r>
        <w:t xml:space="preserve">Figure </w:t>
      </w:r>
      <w:r>
        <w:fldChar w:fldCharType="begin"/>
      </w:r>
      <w:r>
        <w:instrText xml:space="preserve"> SEQ Figure \* ARABIC </w:instrText>
      </w:r>
      <w:r>
        <w:fldChar w:fldCharType="separate"/>
      </w:r>
      <w:r w:rsidR="004171B1">
        <w:rPr>
          <w:noProof/>
        </w:rPr>
        <w:t>5</w:t>
      </w:r>
      <w:r>
        <w:fldChar w:fldCharType="end"/>
      </w:r>
      <w:r>
        <w:t>.</w:t>
      </w:r>
      <w:r w:rsidR="00D83C75">
        <w:rPr>
          <w:b/>
          <w:bCs/>
        </w:rPr>
        <w:t xml:space="preserve"> </w:t>
      </w:r>
      <w:r w:rsidR="00D83C75" w:rsidRPr="009B70D4">
        <w:t xml:space="preserve">Administrative maps of Uvurkhangai (left) and Dundgovi </w:t>
      </w:r>
      <w:proofErr w:type="spellStart"/>
      <w:r w:rsidR="00D83C75" w:rsidRPr="009B70D4">
        <w:t>aimags</w:t>
      </w:r>
      <w:proofErr w:type="spellEnd"/>
      <w:r w:rsidR="00D83C75">
        <w:rPr>
          <w:b/>
          <w:bCs/>
        </w:rPr>
        <w:t xml:space="preserve"> </w:t>
      </w:r>
      <w:r w:rsidR="00D83C75">
        <w:t>(Source: wikipedia.org)</w:t>
      </w:r>
    </w:p>
    <w:p w14:paraId="797ECDE6" w14:textId="107BD1EF" w:rsidR="0083030F" w:rsidRDefault="0083030F">
      <w:pPr>
        <w:spacing w:after="160" w:line="259" w:lineRule="auto"/>
        <w:contextualSpacing w:val="0"/>
        <w:jc w:val="left"/>
      </w:pPr>
      <w:r>
        <w:br w:type="page"/>
      </w:r>
    </w:p>
    <w:p w14:paraId="793186A7" w14:textId="77777777" w:rsidR="0083030F" w:rsidRDefault="0083030F" w:rsidP="00D16E24">
      <w:pPr>
        <w:spacing w:after="120" w:line="240" w:lineRule="auto"/>
        <w:contextualSpacing w:val="0"/>
        <w:jc w:val="center"/>
        <w:rPr>
          <w:b/>
          <w:bCs/>
        </w:rPr>
      </w:pPr>
    </w:p>
    <w:p w14:paraId="114027EB" w14:textId="591E6C81" w:rsidR="00D83C75" w:rsidRDefault="00D83C75" w:rsidP="00D16E24">
      <w:pPr>
        <w:keepNext/>
        <w:spacing w:after="120" w:line="240" w:lineRule="auto"/>
        <w:contextualSpacing w:val="0"/>
        <w:jc w:val="center"/>
      </w:pPr>
    </w:p>
    <w:p w14:paraId="7F358094" w14:textId="62E00EFD" w:rsidR="00D16E24" w:rsidRPr="00D16E24" w:rsidRDefault="00D16E24" w:rsidP="00D16E24">
      <w:pPr>
        <w:keepNext/>
        <w:spacing w:after="120" w:line="240" w:lineRule="auto"/>
        <w:contextualSpacing w:val="0"/>
        <w:jc w:val="left"/>
        <w:rPr>
          <w:b/>
          <w:bCs/>
        </w:rPr>
      </w:pPr>
      <w:r>
        <w:rPr>
          <w:b/>
          <w:bCs/>
        </w:rPr>
        <w:t>Table 8. Geographical and administrative comparison of the target provinces (2024)</w:t>
      </w:r>
    </w:p>
    <w:tbl>
      <w:tblPr>
        <w:tblStyle w:val="PlainTable2"/>
        <w:tblW w:w="9360" w:type="dxa"/>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3120"/>
        <w:gridCol w:w="3120"/>
        <w:gridCol w:w="3120"/>
      </w:tblGrid>
      <w:tr w:rsidR="00871500" w:rsidRPr="00D83C75" w14:paraId="5E3855F9" w14:textId="77777777" w:rsidTr="00ED71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20" w:type="dxa"/>
            <w:tcBorders>
              <w:bottom w:val="none" w:sz="0" w:space="0" w:color="auto"/>
            </w:tcBorders>
            <w:shd w:val="clear" w:color="auto" w:fill="E99E6D" w:themeFill="accent3"/>
          </w:tcPr>
          <w:p w14:paraId="3712926C" w14:textId="77777777" w:rsidR="00871500" w:rsidRPr="00871500" w:rsidRDefault="00871500" w:rsidP="00ED71A8">
            <w:pPr>
              <w:pStyle w:val="OikoTables02"/>
            </w:pPr>
            <w:r>
              <w:t>Parameter</w:t>
            </w:r>
          </w:p>
        </w:tc>
        <w:tc>
          <w:tcPr>
            <w:tcW w:w="3120" w:type="dxa"/>
            <w:tcBorders>
              <w:bottom w:val="none" w:sz="0" w:space="0" w:color="auto"/>
            </w:tcBorders>
            <w:shd w:val="clear" w:color="auto" w:fill="E99E6D" w:themeFill="accent3"/>
          </w:tcPr>
          <w:p w14:paraId="660B9E65" w14:textId="6C8659A5" w:rsidR="00871500" w:rsidRPr="00871500" w:rsidRDefault="00871500" w:rsidP="00ED71A8">
            <w:pPr>
              <w:pStyle w:val="OikoTables02"/>
              <w:cnfStyle w:val="100000000000" w:firstRow="1" w:lastRow="0" w:firstColumn="0" w:lastColumn="0" w:oddVBand="0" w:evenVBand="0" w:oddHBand="0" w:evenHBand="0" w:firstRowFirstColumn="0" w:firstRowLastColumn="0" w:lastRowFirstColumn="0" w:lastRowLastColumn="0"/>
            </w:pPr>
            <w:r w:rsidRPr="7E00F032">
              <w:rPr>
                <w:lang w:val="en-GB"/>
              </w:rPr>
              <w:t>Dundgovi</w:t>
            </w:r>
          </w:p>
        </w:tc>
        <w:tc>
          <w:tcPr>
            <w:tcW w:w="3120" w:type="dxa"/>
            <w:tcBorders>
              <w:bottom w:val="none" w:sz="0" w:space="0" w:color="auto"/>
            </w:tcBorders>
            <w:shd w:val="clear" w:color="auto" w:fill="E99E6D" w:themeFill="accent3"/>
          </w:tcPr>
          <w:p w14:paraId="5E8807FC" w14:textId="1BF6CC62" w:rsidR="00871500" w:rsidRPr="00871500" w:rsidRDefault="00871500" w:rsidP="00ED71A8">
            <w:pPr>
              <w:pStyle w:val="OikoTables02"/>
              <w:cnfStyle w:val="100000000000" w:firstRow="1" w:lastRow="0" w:firstColumn="0" w:lastColumn="0" w:oddVBand="0" w:evenVBand="0" w:oddHBand="0" w:evenHBand="0" w:firstRowFirstColumn="0" w:firstRowLastColumn="0" w:lastRowFirstColumn="0" w:lastRowLastColumn="0"/>
            </w:pPr>
            <w:r w:rsidRPr="7E00F032">
              <w:rPr>
                <w:lang w:val="en-GB"/>
              </w:rPr>
              <w:t xml:space="preserve">Uvurkhangai </w:t>
            </w:r>
          </w:p>
        </w:tc>
      </w:tr>
      <w:tr w:rsidR="00871500" w:rsidRPr="00D83C75" w14:paraId="5B7C3E64"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324714F7" w14:textId="034E8F77" w:rsidR="00871500" w:rsidRPr="00871500" w:rsidRDefault="00871500" w:rsidP="00ED71A8">
            <w:pPr>
              <w:pStyle w:val="OikoTables03Content"/>
              <w:rPr>
                <w:b w:val="0"/>
                <w:bCs w:val="0"/>
              </w:rPr>
            </w:pPr>
            <w:r>
              <w:rPr>
                <w:b w:val="0"/>
                <w:bCs w:val="0"/>
              </w:rPr>
              <w:t>Total area</w:t>
            </w:r>
          </w:p>
        </w:tc>
        <w:tc>
          <w:tcPr>
            <w:tcW w:w="3120" w:type="dxa"/>
            <w:tcBorders>
              <w:top w:val="none" w:sz="0" w:space="0" w:color="auto"/>
              <w:bottom w:val="none" w:sz="0" w:space="0" w:color="auto"/>
            </w:tcBorders>
          </w:tcPr>
          <w:p w14:paraId="3491FDE0" w14:textId="7929F909"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74,690 km² (4.8 % of national territory)</w:t>
            </w:r>
          </w:p>
        </w:tc>
        <w:tc>
          <w:tcPr>
            <w:tcW w:w="3120" w:type="dxa"/>
            <w:tcBorders>
              <w:top w:val="none" w:sz="0" w:space="0" w:color="auto"/>
              <w:bottom w:val="none" w:sz="0" w:space="0" w:color="auto"/>
            </w:tcBorders>
          </w:tcPr>
          <w:p w14:paraId="6BFC0399" w14:textId="66C87DE1"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62,900 km² (4.0 % of national territory)</w:t>
            </w:r>
          </w:p>
        </w:tc>
      </w:tr>
      <w:tr w:rsidR="00871500" w:rsidRPr="00D83C75" w14:paraId="18686076"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48726216" w14:textId="41E47188" w:rsidR="00871500" w:rsidRPr="00871500" w:rsidRDefault="00871500" w:rsidP="00ED71A8">
            <w:pPr>
              <w:pStyle w:val="OikoTables03Content"/>
              <w:rPr>
                <w:b w:val="0"/>
                <w:bCs w:val="0"/>
              </w:rPr>
            </w:pPr>
            <w:r>
              <w:rPr>
                <w:b w:val="0"/>
                <w:bCs w:val="0"/>
              </w:rPr>
              <w:t>Population (2024)</w:t>
            </w:r>
          </w:p>
        </w:tc>
        <w:tc>
          <w:tcPr>
            <w:tcW w:w="3120" w:type="dxa"/>
          </w:tcPr>
          <w:p w14:paraId="2EF7C244" w14:textId="5A43D643"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~51,300</w:t>
            </w:r>
          </w:p>
        </w:tc>
        <w:tc>
          <w:tcPr>
            <w:tcW w:w="3120" w:type="dxa"/>
          </w:tcPr>
          <w:p w14:paraId="6729C513" w14:textId="5FC54BBF"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~114,500</w:t>
            </w:r>
          </w:p>
        </w:tc>
      </w:tr>
      <w:tr w:rsidR="00871500" w:rsidRPr="00D83C75" w14:paraId="381C3EBB"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774950F3" w14:textId="2A86D4E9" w:rsidR="00871500" w:rsidRPr="00871500" w:rsidRDefault="00871500" w:rsidP="00ED71A8">
            <w:pPr>
              <w:pStyle w:val="OikoTables03Content"/>
              <w:rPr>
                <w:b w:val="0"/>
                <w:bCs w:val="0"/>
              </w:rPr>
            </w:pPr>
            <w:r>
              <w:rPr>
                <w:b w:val="0"/>
                <w:bCs w:val="0"/>
              </w:rPr>
              <w:t>Population density</w:t>
            </w:r>
          </w:p>
        </w:tc>
        <w:tc>
          <w:tcPr>
            <w:tcW w:w="3120" w:type="dxa"/>
            <w:tcBorders>
              <w:top w:val="none" w:sz="0" w:space="0" w:color="auto"/>
              <w:bottom w:val="none" w:sz="0" w:space="0" w:color="auto"/>
            </w:tcBorders>
          </w:tcPr>
          <w:p w14:paraId="677871C2" w14:textId="777FBC40"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~0.69 persons/km²</w:t>
            </w:r>
          </w:p>
        </w:tc>
        <w:tc>
          <w:tcPr>
            <w:tcW w:w="3120" w:type="dxa"/>
            <w:tcBorders>
              <w:top w:val="none" w:sz="0" w:space="0" w:color="auto"/>
              <w:bottom w:val="none" w:sz="0" w:space="0" w:color="auto"/>
            </w:tcBorders>
          </w:tcPr>
          <w:p w14:paraId="52B3826C" w14:textId="71E48969"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~1.82 persons/km²</w:t>
            </w:r>
          </w:p>
        </w:tc>
      </w:tr>
      <w:tr w:rsidR="00871500" w:rsidRPr="00D83C75" w14:paraId="77C2C188"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2E9F5763" w14:textId="00C3268D" w:rsidR="00871500" w:rsidRPr="00871500" w:rsidRDefault="00871500" w:rsidP="00ED71A8">
            <w:pPr>
              <w:pStyle w:val="OikoTables03Content"/>
              <w:rPr>
                <w:b w:val="0"/>
                <w:bCs w:val="0"/>
              </w:rPr>
            </w:pPr>
            <w:r>
              <w:rPr>
                <w:b w:val="0"/>
                <w:bCs w:val="0"/>
              </w:rPr>
              <w:t>Provincial capital</w:t>
            </w:r>
          </w:p>
        </w:tc>
        <w:tc>
          <w:tcPr>
            <w:tcW w:w="3120" w:type="dxa"/>
          </w:tcPr>
          <w:p w14:paraId="3024A75E" w14:textId="7A65E360" w:rsidR="00871500" w:rsidRPr="002F7CA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rPr>
                <w:lang w:val="it-IT"/>
              </w:rPr>
            </w:pPr>
            <w:r w:rsidRPr="002F7CA0">
              <w:rPr>
                <w:lang w:val="it-IT"/>
              </w:rPr>
              <w:t>Mandalgovi (1,393 m a.s.l.)</w:t>
            </w:r>
          </w:p>
        </w:tc>
        <w:tc>
          <w:tcPr>
            <w:tcW w:w="3120" w:type="dxa"/>
          </w:tcPr>
          <w:p w14:paraId="31E8476F" w14:textId="12B11FFB"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proofErr w:type="spellStart"/>
            <w:r w:rsidRPr="7E00F032">
              <w:rPr>
                <w:lang w:val="en-GB"/>
              </w:rPr>
              <w:t>Arvaikheer</w:t>
            </w:r>
            <w:proofErr w:type="spellEnd"/>
            <w:r w:rsidRPr="7E00F032">
              <w:rPr>
                <w:lang w:val="en-GB"/>
              </w:rPr>
              <w:t xml:space="preserve"> (1,813 m </w:t>
            </w:r>
            <w:proofErr w:type="spellStart"/>
            <w:r w:rsidRPr="7E00F032">
              <w:rPr>
                <w:lang w:val="en-GB"/>
              </w:rPr>
              <w:t>a.s.l</w:t>
            </w:r>
            <w:proofErr w:type="spellEnd"/>
            <w:r w:rsidRPr="7E00F032">
              <w:rPr>
                <w:lang w:val="en-GB"/>
              </w:rPr>
              <w:t>.)</w:t>
            </w:r>
          </w:p>
        </w:tc>
      </w:tr>
      <w:tr w:rsidR="00871500" w:rsidRPr="00D83C75" w14:paraId="18F0594E"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05878881" w14:textId="47B4FB8D" w:rsidR="00871500" w:rsidRPr="00871500" w:rsidRDefault="00871500" w:rsidP="00ED71A8">
            <w:pPr>
              <w:pStyle w:val="OikoTables03Content"/>
              <w:rPr>
                <w:b w:val="0"/>
                <w:bCs w:val="0"/>
              </w:rPr>
            </w:pPr>
            <w:r>
              <w:rPr>
                <w:b w:val="0"/>
                <w:bCs w:val="0"/>
              </w:rPr>
              <w:t>Number of soums</w:t>
            </w:r>
          </w:p>
        </w:tc>
        <w:tc>
          <w:tcPr>
            <w:tcW w:w="3120" w:type="dxa"/>
            <w:tcBorders>
              <w:top w:val="none" w:sz="0" w:space="0" w:color="auto"/>
              <w:bottom w:val="none" w:sz="0" w:space="0" w:color="auto"/>
            </w:tcBorders>
          </w:tcPr>
          <w:p w14:paraId="65FE0ACF" w14:textId="31D0CB18"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15</w:t>
            </w:r>
          </w:p>
        </w:tc>
        <w:tc>
          <w:tcPr>
            <w:tcW w:w="3120" w:type="dxa"/>
            <w:tcBorders>
              <w:top w:val="none" w:sz="0" w:space="0" w:color="auto"/>
              <w:bottom w:val="none" w:sz="0" w:space="0" w:color="auto"/>
            </w:tcBorders>
          </w:tcPr>
          <w:p w14:paraId="3B8C6759" w14:textId="09358A0F"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19</w:t>
            </w:r>
          </w:p>
        </w:tc>
      </w:tr>
      <w:tr w:rsidR="00871500" w:rsidRPr="00D83C75" w14:paraId="17499E36"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579ECCF7" w14:textId="15D97FDD" w:rsidR="00871500" w:rsidRPr="00871500" w:rsidRDefault="00871500" w:rsidP="00ED71A8">
            <w:pPr>
              <w:pStyle w:val="OikoTables03Content"/>
              <w:rPr>
                <w:b w:val="0"/>
                <w:bCs w:val="0"/>
              </w:rPr>
            </w:pPr>
            <w:r>
              <w:rPr>
                <w:b w:val="0"/>
                <w:bCs w:val="0"/>
              </w:rPr>
              <w:t>Number of meteorological stations (NAMEM)</w:t>
            </w:r>
          </w:p>
        </w:tc>
        <w:tc>
          <w:tcPr>
            <w:tcW w:w="3120" w:type="dxa"/>
          </w:tcPr>
          <w:p w14:paraId="16771CB8" w14:textId="320C1CE1"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rsidRPr="7E00F032">
              <w:rPr>
                <w:lang w:val="en-GB"/>
              </w:rPr>
              <w:t xml:space="preserve">15 (incl. </w:t>
            </w:r>
            <w:proofErr w:type="spellStart"/>
            <w:r w:rsidRPr="7E00F032">
              <w:rPr>
                <w:lang w:val="en-GB"/>
              </w:rPr>
              <w:t>Mandalgovi</w:t>
            </w:r>
            <w:proofErr w:type="spellEnd"/>
            <w:r w:rsidRPr="7E00F032">
              <w:rPr>
                <w:lang w:val="en-GB"/>
              </w:rPr>
              <w:t>, Sayhan-</w:t>
            </w:r>
            <w:proofErr w:type="spellStart"/>
            <w:r w:rsidRPr="7E00F032">
              <w:rPr>
                <w:lang w:val="en-GB"/>
              </w:rPr>
              <w:t>Ovoo</w:t>
            </w:r>
            <w:proofErr w:type="spellEnd"/>
            <w:r w:rsidRPr="7E00F032">
              <w:rPr>
                <w:lang w:val="en-GB"/>
              </w:rPr>
              <w:t xml:space="preserve">, </w:t>
            </w:r>
            <w:proofErr w:type="spellStart"/>
            <w:r w:rsidRPr="7E00F032">
              <w:rPr>
                <w:lang w:val="en-GB"/>
              </w:rPr>
              <w:t>Erdenedalai</w:t>
            </w:r>
            <w:proofErr w:type="spellEnd"/>
            <w:r w:rsidRPr="7E00F032">
              <w:rPr>
                <w:lang w:val="en-GB"/>
              </w:rPr>
              <w:t xml:space="preserve">, </w:t>
            </w:r>
            <w:proofErr w:type="spellStart"/>
            <w:r w:rsidRPr="7E00F032">
              <w:rPr>
                <w:lang w:val="en-GB"/>
              </w:rPr>
              <w:t>Gurvansaikhan</w:t>
            </w:r>
            <w:proofErr w:type="spellEnd"/>
            <w:r w:rsidRPr="7E00F032">
              <w:rPr>
                <w:lang w:val="en-GB"/>
              </w:rPr>
              <w:t>)</w:t>
            </w:r>
          </w:p>
        </w:tc>
        <w:tc>
          <w:tcPr>
            <w:tcW w:w="3120" w:type="dxa"/>
          </w:tcPr>
          <w:p w14:paraId="022A1273" w14:textId="5DF18B3A"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rsidRPr="7E00F032">
              <w:rPr>
                <w:lang w:val="en-GB"/>
              </w:rPr>
              <w:t xml:space="preserve">19 (one per soum, plus </w:t>
            </w:r>
            <w:proofErr w:type="spellStart"/>
            <w:r w:rsidRPr="7E00F032">
              <w:rPr>
                <w:lang w:val="en-GB"/>
              </w:rPr>
              <w:t>Arvaikheer</w:t>
            </w:r>
            <w:proofErr w:type="spellEnd"/>
            <w:r w:rsidRPr="7E00F032">
              <w:rPr>
                <w:lang w:val="en-GB"/>
              </w:rPr>
              <w:t>)</w:t>
            </w:r>
          </w:p>
        </w:tc>
      </w:tr>
      <w:tr w:rsidR="00871500" w:rsidRPr="00D83C75" w14:paraId="110028C7"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7E4745C5" w14:textId="52AF69C1" w:rsidR="00871500" w:rsidRPr="00871500" w:rsidRDefault="00871500" w:rsidP="00ED71A8">
            <w:pPr>
              <w:pStyle w:val="OikoTables03Content"/>
              <w:rPr>
                <w:b w:val="0"/>
                <w:bCs w:val="0"/>
              </w:rPr>
            </w:pPr>
            <w:r>
              <w:rPr>
                <w:b w:val="0"/>
                <w:bCs w:val="0"/>
              </w:rPr>
              <w:t>Dominant ecological zone</w:t>
            </w:r>
          </w:p>
        </w:tc>
        <w:tc>
          <w:tcPr>
            <w:tcW w:w="3120" w:type="dxa"/>
            <w:tcBorders>
              <w:top w:val="none" w:sz="0" w:space="0" w:color="auto"/>
              <w:bottom w:val="none" w:sz="0" w:space="0" w:color="auto"/>
            </w:tcBorders>
          </w:tcPr>
          <w:p w14:paraId="6C7D2C5F" w14:textId="15BCB051"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Dry steppe (north) and Gobi semi-desert (</w:t>
            </w:r>
            <w:proofErr w:type="spellStart"/>
            <w:r>
              <w:t>centre</w:t>
            </w:r>
            <w:proofErr w:type="spellEnd"/>
            <w:r>
              <w:t xml:space="preserve"> and south)</w:t>
            </w:r>
          </w:p>
        </w:tc>
        <w:tc>
          <w:tcPr>
            <w:tcW w:w="3120" w:type="dxa"/>
            <w:tcBorders>
              <w:top w:val="none" w:sz="0" w:space="0" w:color="auto"/>
              <w:bottom w:val="none" w:sz="0" w:space="0" w:color="auto"/>
            </w:tcBorders>
          </w:tcPr>
          <w:p w14:paraId="0F4C93B3" w14:textId="729580DA"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proofErr w:type="spellStart"/>
            <w:r w:rsidRPr="7E00F032">
              <w:rPr>
                <w:lang w:val="en-GB"/>
              </w:rPr>
              <w:t>Khangai</w:t>
            </w:r>
            <w:proofErr w:type="spellEnd"/>
            <w:r w:rsidRPr="7E00F032">
              <w:rPr>
                <w:lang w:val="en-GB"/>
              </w:rPr>
              <w:t xml:space="preserve"> forest-steppe (north) → steppe (centre) → Gobi desert-steppe (south)</w:t>
            </w:r>
          </w:p>
        </w:tc>
      </w:tr>
      <w:tr w:rsidR="00871500" w:rsidRPr="00D83C75" w14:paraId="0DB97886"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4AA00B9D" w14:textId="0C5DB6DC" w:rsidR="00871500" w:rsidRPr="00871500" w:rsidRDefault="00871500" w:rsidP="00ED71A8">
            <w:pPr>
              <w:pStyle w:val="OikoTables03Content"/>
              <w:rPr>
                <w:b w:val="0"/>
                <w:bCs w:val="0"/>
              </w:rPr>
            </w:pPr>
            <w:r>
              <w:rPr>
                <w:b w:val="0"/>
                <w:bCs w:val="0"/>
              </w:rPr>
              <w:t>Elevation range</w:t>
            </w:r>
          </w:p>
        </w:tc>
        <w:tc>
          <w:tcPr>
            <w:tcW w:w="3120" w:type="dxa"/>
          </w:tcPr>
          <w:p w14:paraId="65D34E9D" w14:textId="02C4DF55"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rsidRPr="7E00F032">
              <w:rPr>
                <w:lang w:val="en-GB"/>
              </w:rPr>
              <w:t xml:space="preserve">1,000 – 1,926 m (highest point </w:t>
            </w:r>
            <w:proofErr w:type="spellStart"/>
            <w:r w:rsidRPr="7E00F032">
              <w:rPr>
                <w:lang w:val="en-GB"/>
              </w:rPr>
              <w:t>Delgerkhangai</w:t>
            </w:r>
            <w:proofErr w:type="spellEnd"/>
            <w:r w:rsidRPr="7E00F032">
              <w:rPr>
                <w:lang w:val="en-GB"/>
              </w:rPr>
              <w:t xml:space="preserve"> </w:t>
            </w:r>
            <w:proofErr w:type="spellStart"/>
            <w:r w:rsidRPr="7E00F032">
              <w:rPr>
                <w:lang w:val="en-GB"/>
              </w:rPr>
              <w:t>uul</w:t>
            </w:r>
            <w:proofErr w:type="spellEnd"/>
            <w:r w:rsidRPr="7E00F032">
              <w:rPr>
                <w:lang w:val="en-GB"/>
              </w:rPr>
              <w:t>)</w:t>
            </w:r>
          </w:p>
        </w:tc>
        <w:tc>
          <w:tcPr>
            <w:tcW w:w="3120" w:type="dxa"/>
          </w:tcPr>
          <w:p w14:paraId="78EA530F" w14:textId="191C180C"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rsidRPr="7E00F032">
              <w:rPr>
                <w:lang w:val="en-GB"/>
              </w:rPr>
              <w:t>1,500 – 2,500+ m (</w:t>
            </w:r>
            <w:proofErr w:type="spellStart"/>
            <w:r w:rsidRPr="7E00F032">
              <w:rPr>
                <w:lang w:val="en-GB"/>
              </w:rPr>
              <w:t>Khangai</w:t>
            </w:r>
            <w:proofErr w:type="spellEnd"/>
            <w:r w:rsidRPr="7E00F032">
              <w:rPr>
                <w:lang w:val="en-GB"/>
              </w:rPr>
              <w:t xml:space="preserve"> uplands above 3,500 m)</w:t>
            </w:r>
          </w:p>
        </w:tc>
      </w:tr>
      <w:tr w:rsidR="00871500" w:rsidRPr="00D83C75" w14:paraId="211C2920"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04ECD5E0" w14:textId="417100A5" w:rsidR="00871500" w:rsidRPr="00871500" w:rsidRDefault="00871500" w:rsidP="00ED71A8">
            <w:pPr>
              <w:pStyle w:val="OikoTables03Content"/>
              <w:rPr>
                <w:b w:val="0"/>
                <w:bCs w:val="0"/>
              </w:rPr>
            </w:pPr>
            <w:r>
              <w:rPr>
                <w:b w:val="0"/>
                <w:bCs w:val="0"/>
              </w:rPr>
              <w:t>Major rivers</w:t>
            </w:r>
          </w:p>
        </w:tc>
        <w:tc>
          <w:tcPr>
            <w:tcW w:w="3120" w:type="dxa"/>
            <w:tcBorders>
              <w:top w:val="none" w:sz="0" w:space="0" w:color="auto"/>
              <w:bottom w:val="none" w:sz="0" w:space="0" w:color="auto"/>
            </w:tcBorders>
          </w:tcPr>
          <w:p w14:paraId="032C20AA" w14:textId="55B8736E"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proofErr w:type="spellStart"/>
            <w:r w:rsidRPr="7E00F032">
              <w:rPr>
                <w:lang w:val="en-GB"/>
              </w:rPr>
              <w:t>Ongi</w:t>
            </w:r>
            <w:proofErr w:type="spellEnd"/>
            <w:r w:rsidRPr="7E00F032">
              <w:rPr>
                <w:lang w:val="en-GB"/>
              </w:rPr>
              <w:t xml:space="preserve"> (lower reach, ephemeral); no other permanent watercourse</w:t>
            </w:r>
          </w:p>
        </w:tc>
        <w:tc>
          <w:tcPr>
            <w:tcW w:w="3120" w:type="dxa"/>
            <w:tcBorders>
              <w:top w:val="none" w:sz="0" w:space="0" w:color="auto"/>
              <w:bottom w:val="none" w:sz="0" w:space="0" w:color="auto"/>
            </w:tcBorders>
          </w:tcPr>
          <w:p w14:paraId="0CD596B8" w14:textId="767BB719"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rsidRPr="7E00F032">
              <w:rPr>
                <w:lang w:val="en-GB"/>
              </w:rPr>
              <w:t xml:space="preserve">Orkhon, </w:t>
            </w:r>
            <w:proofErr w:type="spellStart"/>
            <w:r w:rsidRPr="7E00F032">
              <w:rPr>
                <w:lang w:val="en-GB"/>
              </w:rPr>
              <w:t>Ongi</w:t>
            </w:r>
            <w:proofErr w:type="spellEnd"/>
            <w:r w:rsidRPr="7E00F032">
              <w:rPr>
                <w:lang w:val="en-GB"/>
              </w:rPr>
              <w:t xml:space="preserve">, </w:t>
            </w:r>
            <w:proofErr w:type="spellStart"/>
            <w:r w:rsidRPr="7E00F032">
              <w:rPr>
                <w:lang w:val="en-GB"/>
              </w:rPr>
              <w:t>Taats</w:t>
            </w:r>
            <w:proofErr w:type="spellEnd"/>
            <w:r w:rsidRPr="7E00F032">
              <w:rPr>
                <w:lang w:val="en-GB"/>
              </w:rPr>
              <w:t xml:space="preserve">, </w:t>
            </w:r>
            <w:proofErr w:type="spellStart"/>
            <w:r w:rsidRPr="7E00F032">
              <w:rPr>
                <w:lang w:val="en-GB"/>
              </w:rPr>
              <w:t>Buurd</w:t>
            </w:r>
            <w:proofErr w:type="spellEnd"/>
          </w:p>
        </w:tc>
      </w:tr>
      <w:tr w:rsidR="00871500" w:rsidRPr="00D83C75" w14:paraId="602B144D"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67CF0E80" w14:textId="4CF7FBB8" w:rsidR="00871500" w:rsidRPr="00871500" w:rsidRDefault="00871500" w:rsidP="00ED71A8">
            <w:pPr>
              <w:pStyle w:val="OikoTables03Content"/>
              <w:rPr>
                <w:b w:val="0"/>
                <w:bCs w:val="0"/>
              </w:rPr>
            </w:pPr>
            <w:r>
              <w:rPr>
                <w:b w:val="0"/>
                <w:bCs w:val="0"/>
              </w:rPr>
              <w:t>Forest cover</w:t>
            </w:r>
          </w:p>
        </w:tc>
        <w:tc>
          <w:tcPr>
            <w:tcW w:w="3120" w:type="dxa"/>
          </w:tcPr>
          <w:p w14:paraId="11FE9E76" w14:textId="20311B9B"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&lt; 0.1 % (saxaul stands)</w:t>
            </w:r>
          </w:p>
        </w:tc>
        <w:tc>
          <w:tcPr>
            <w:tcW w:w="3120" w:type="dxa"/>
          </w:tcPr>
          <w:p w14:paraId="0D6C3173" w14:textId="4EEDC07F"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~2 % (larch, pine, birch, poplar)</w:t>
            </w:r>
          </w:p>
        </w:tc>
      </w:tr>
      <w:tr w:rsidR="00871500" w:rsidRPr="00D83C75" w14:paraId="6B4A7C13"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5692CAD0" w14:textId="4733994D" w:rsidR="00871500" w:rsidRPr="00871500" w:rsidRDefault="00871500" w:rsidP="00ED71A8">
            <w:pPr>
              <w:pStyle w:val="OikoTables03Content"/>
              <w:rPr>
                <w:b w:val="0"/>
                <w:bCs w:val="0"/>
              </w:rPr>
            </w:pPr>
            <w:r>
              <w:rPr>
                <w:b w:val="0"/>
                <w:bCs w:val="0"/>
              </w:rPr>
              <w:t>Total agricultural land</w:t>
            </w:r>
          </w:p>
        </w:tc>
        <w:tc>
          <w:tcPr>
            <w:tcW w:w="3120" w:type="dxa"/>
            <w:tcBorders>
              <w:top w:val="none" w:sz="0" w:space="0" w:color="auto"/>
              <w:bottom w:val="none" w:sz="0" w:space="0" w:color="auto"/>
            </w:tcBorders>
          </w:tcPr>
          <w:p w14:paraId="74625399" w14:textId="16FCCF38"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6,784.4 thousand ha (&gt;99 % pasture)</w:t>
            </w:r>
          </w:p>
        </w:tc>
        <w:tc>
          <w:tcPr>
            <w:tcW w:w="3120" w:type="dxa"/>
            <w:tcBorders>
              <w:top w:val="none" w:sz="0" w:space="0" w:color="auto"/>
              <w:bottom w:val="none" w:sz="0" w:space="0" w:color="auto"/>
            </w:tcBorders>
          </w:tcPr>
          <w:p w14:paraId="587B70C4" w14:textId="7011C292"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5,929.7 thousand ha (&gt;99 % pasture)</w:t>
            </w:r>
          </w:p>
        </w:tc>
      </w:tr>
      <w:tr w:rsidR="00871500" w:rsidRPr="00D83C75" w14:paraId="7904FFC6"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39FD4549" w14:textId="588DDC39" w:rsidR="00871500" w:rsidRPr="00871500" w:rsidRDefault="00871500" w:rsidP="00ED71A8">
            <w:pPr>
              <w:pStyle w:val="OikoTables03Content"/>
              <w:rPr>
                <w:b w:val="0"/>
                <w:bCs w:val="0"/>
              </w:rPr>
            </w:pPr>
            <w:r>
              <w:rPr>
                <w:b w:val="0"/>
                <w:bCs w:val="0"/>
              </w:rPr>
              <w:t>Cultivated land (sown area, 2024)</w:t>
            </w:r>
          </w:p>
        </w:tc>
        <w:tc>
          <w:tcPr>
            <w:tcW w:w="3120" w:type="dxa"/>
          </w:tcPr>
          <w:p w14:paraId="2DA1A5A7" w14:textId="7BA65CE0"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0.1 thousand ha (national rank: 21st, tied bottom)</w:t>
            </w:r>
          </w:p>
        </w:tc>
        <w:tc>
          <w:tcPr>
            <w:tcW w:w="3120" w:type="dxa"/>
          </w:tcPr>
          <w:p w14:paraId="4457D1FE" w14:textId="7B2DF875"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19.7 thousand ha (national rank: 5th)</w:t>
            </w:r>
          </w:p>
        </w:tc>
      </w:tr>
      <w:tr w:rsidR="00871500" w:rsidRPr="00D83C75" w14:paraId="473D0C3A"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0BB7C141" w14:textId="2B4935E9" w:rsidR="00871500" w:rsidRPr="00871500" w:rsidRDefault="00871500" w:rsidP="00ED71A8">
            <w:pPr>
              <w:pStyle w:val="OikoTables03Content"/>
              <w:rPr>
                <w:b w:val="0"/>
                <w:bCs w:val="0"/>
              </w:rPr>
            </w:pPr>
            <w:r>
              <w:rPr>
                <w:b w:val="0"/>
                <w:bCs w:val="0"/>
              </w:rPr>
              <w:t>Vegetable growing area, ha (2024–2025)</w:t>
            </w:r>
          </w:p>
        </w:tc>
        <w:tc>
          <w:tcPr>
            <w:tcW w:w="3120" w:type="dxa"/>
            <w:tcBorders>
              <w:top w:val="none" w:sz="0" w:space="0" w:color="auto"/>
              <w:bottom w:val="none" w:sz="0" w:space="0" w:color="auto"/>
            </w:tcBorders>
          </w:tcPr>
          <w:p w14:paraId="5B9688A4" w14:textId="3845ECCB"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23.6–29</w:t>
            </w:r>
          </w:p>
        </w:tc>
        <w:tc>
          <w:tcPr>
            <w:tcW w:w="3120" w:type="dxa"/>
            <w:tcBorders>
              <w:top w:val="none" w:sz="0" w:space="0" w:color="auto"/>
              <w:bottom w:val="none" w:sz="0" w:space="0" w:color="auto"/>
            </w:tcBorders>
          </w:tcPr>
          <w:p w14:paraId="237DA3D2" w14:textId="2D5CC8F7"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271–281</w:t>
            </w:r>
          </w:p>
        </w:tc>
      </w:tr>
      <w:tr w:rsidR="00871500" w:rsidRPr="00D83C75" w14:paraId="4FDE9C27"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4C434F45" w14:textId="0EEDCDB9" w:rsidR="00871500" w:rsidRPr="00871500" w:rsidRDefault="00871500" w:rsidP="00ED71A8">
            <w:pPr>
              <w:pStyle w:val="OikoTables03Content"/>
              <w:rPr>
                <w:b w:val="0"/>
                <w:bCs w:val="0"/>
              </w:rPr>
            </w:pPr>
            <w:r>
              <w:rPr>
                <w:b w:val="0"/>
                <w:bCs w:val="0"/>
              </w:rPr>
              <w:t xml:space="preserve">Greenhouse harvest, </w:t>
            </w:r>
            <w:proofErr w:type="spellStart"/>
            <w:r>
              <w:rPr>
                <w:b w:val="0"/>
                <w:bCs w:val="0"/>
              </w:rPr>
              <w:t>tonnes</w:t>
            </w:r>
            <w:proofErr w:type="spellEnd"/>
            <w:r>
              <w:rPr>
                <w:b w:val="0"/>
                <w:bCs w:val="0"/>
              </w:rPr>
              <w:t xml:space="preserve"> (2024–2025)</w:t>
            </w:r>
          </w:p>
        </w:tc>
        <w:tc>
          <w:tcPr>
            <w:tcW w:w="3120" w:type="dxa"/>
          </w:tcPr>
          <w:p w14:paraId="0AD52C07" w14:textId="6D9A057B"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44.6 (2024) → 163 (2025)</w:t>
            </w:r>
          </w:p>
        </w:tc>
        <w:tc>
          <w:tcPr>
            <w:tcW w:w="3120" w:type="dxa"/>
          </w:tcPr>
          <w:p w14:paraId="4D44DFB5" w14:textId="3904DE69"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214.6 (2024)</w:t>
            </w:r>
          </w:p>
        </w:tc>
      </w:tr>
      <w:tr w:rsidR="00871500" w:rsidRPr="00D83C75" w14:paraId="4864A3E7"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0BD858C7" w14:textId="56C219BC" w:rsidR="00871500" w:rsidRPr="00871500" w:rsidRDefault="00871500" w:rsidP="00ED71A8">
            <w:pPr>
              <w:pStyle w:val="OikoTables03Content"/>
              <w:rPr>
                <w:b w:val="0"/>
                <w:bCs w:val="0"/>
              </w:rPr>
            </w:pPr>
            <w:r>
              <w:rPr>
                <w:b w:val="0"/>
                <w:bCs w:val="0"/>
              </w:rPr>
              <w:t>Livestock (start-of-year head, 2024)</w:t>
            </w:r>
          </w:p>
        </w:tc>
        <w:tc>
          <w:tcPr>
            <w:tcW w:w="3120" w:type="dxa"/>
            <w:tcBorders>
              <w:top w:val="none" w:sz="0" w:space="0" w:color="auto"/>
              <w:bottom w:val="none" w:sz="0" w:space="0" w:color="auto"/>
            </w:tcBorders>
          </w:tcPr>
          <w:p w14:paraId="30F79706" w14:textId="48D12270"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~3.8 million (national rank: 9th)</w:t>
            </w:r>
          </w:p>
        </w:tc>
        <w:tc>
          <w:tcPr>
            <w:tcW w:w="3120" w:type="dxa"/>
            <w:tcBorders>
              <w:top w:val="none" w:sz="0" w:space="0" w:color="auto"/>
              <w:bottom w:val="none" w:sz="0" w:space="0" w:color="auto"/>
            </w:tcBorders>
          </w:tcPr>
          <w:p w14:paraId="05D28C9C" w14:textId="2F06BFC4" w:rsidR="00871500" w:rsidRPr="00871500" w:rsidRDefault="00871500" w:rsidP="00ED71A8">
            <w:pPr>
              <w:pStyle w:val="OikoTables03Content"/>
              <w:cnfStyle w:val="000000100000" w:firstRow="0" w:lastRow="0" w:firstColumn="0" w:lastColumn="0" w:oddVBand="0" w:evenVBand="0" w:oddHBand="1" w:evenHBand="0" w:firstRowFirstColumn="0" w:firstRowLastColumn="0" w:lastRowFirstColumn="0" w:lastRowLastColumn="0"/>
            </w:pPr>
            <w:r>
              <w:t>~5.1 million (national rank: 2nd)</w:t>
            </w:r>
          </w:p>
        </w:tc>
      </w:tr>
      <w:tr w:rsidR="00871500" w:rsidRPr="00D83C75" w14:paraId="60F0EBDF"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01E68134" w14:textId="4974DE93" w:rsidR="00871500" w:rsidRPr="00871500" w:rsidRDefault="00871500" w:rsidP="00ED71A8">
            <w:pPr>
              <w:pStyle w:val="OikoTables03Content"/>
              <w:rPr>
                <w:b w:val="0"/>
                <w:bCs w:val="0"/>
              </w:rPr>
            </w:pPr>
            <w:r>
              <w:rPr>
                <w:b w:val="0"/>
                <w:bCs w:val="0"/>
              </w:rPr>
              <w:t>Herder households (2024)</w:t>
            </w:r>
          </w:p>
        </w:tc>
        <w:tc>
          <w:tcPr>
            <w:tcW w:w="3120" w:type="dxa"/>
          </w:tcPr>
          <w:p w14:paraId="5D3979D6" w14:textId="1A230C1D"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7,558</w:t>
            </w:r>
          </w:p>
        </w:tc>
        <w:tc>
          <w:tcPr>
            <w:tcW w:w="3120" w:type="dxa"/>
          </w:tcPr>
          <w:p w14:paraId="02F76842" w14:textId="25698C56" w:rsidR="00871500" w:rsidRPr="00871500" w:rsidRDefault="00871500" w:rsidP="00ED71A8">
            <w:pPr>
              <w:pStyle w:val="OikoTables03Content"/>
              <w:cnfStyle w:val="000000000000" w:firstRow="0" w:lastRow="0" w:firstColumn="0" w:lastColumn="0" w:oddVBand="0" w:evenVBand="0" w:oddHBand="0" w:evenHBand="0" w:firstRowFirstColumn="0" w:firstRowLastColumn="0" w:lastRowFirstColumn="0" w:lastRowLastColumn="0"/>
            </w:pPr>
            <w:r>
              <w:t>18,524</w:t>
            </w:r>
          </w:p>
        </w:tc>
      </w:tr>
    </w:tbl>
    <w:p w14:paraId="4051397D" w14:textId="40D816F6" w:rsidR="00292AE0" w:rsidRPr="00871500" w:rsidRDefault="00871500" w:rsidP="00871500">
      <w:pPr>
        <w:spacing w:before="120" w:after="120" w:line="240" w:lineRule="auto"/>
        <w:contextualSpacing w:val="0"/>
        <w:rPr>
          <w:i/>
          <w:iCs/>
        </w:rPr>
      </w:pPr>
      <w:r>
        <w:rPr>
          <w:i/>
          <w:iCs/>
        </w:rPr>
        <w:t>Sources: NSO (2025</w:t>
      </w:r>
      <w:proofErr w:type="gramStart"/>
      <w:r>
        <w:rPr>
          <w:i/>
          <w:iCs/>
        </w:rPr>
        <w:t>a)</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43]</w:t>
      </w:r>
      <w:r>
        <w:rPr>
          <w:i/>
          <w:iCs/>
        </w:rPr>
        <w:t>, NSO (2025</w:t>
      </w:r>
      <w:proofErr w:type="gramStart"/>
      <w:r>
        <w:rPr>
          <w:i/>
          <w:iCs/>
        </w:rPr>
        <w:t>b)</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44]</w:t>
      </w:r>
      <w:r>
        <w:rPr>
          <w:i/>
          <w:iCs/>
        </w:rPr>
        <w:t xml:space="preserve">, Gazar </w:t>
      </w:r>
      <w:proofErr w:type="spellStart"/>
      <w:r>
        <w:rPr>
          <w:i/>
          <w:iCs/>
        </w:rPr>
        <w:t>Delkhii</w:t>
      </w:r>
      <w:proofErr w:type="spellEnd"/>
      <w:r>
        <w:rPr>
          <w:i/>
          <w:iCs/>
        </w:rPr>
        <w:t xml:space="preserve"> LLC (</w:t>
      </w:r>
      <w:proofErr w:type="gramStart"/>
      <w:r>
        <w:rPr>
          <w:i/>
          <w:iCs/>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21]</w:t>
      </w:r>
      <w:r>
        <w:rPr>
          <w:i/>
          <w:iCs/>
        </w:rPr>
        <w:t>, Department of Food and Agriculture of Dundgovi aimag (</w:t>
      </w:r>
      <w:proofErr w:type="gramStart"/>
      <w:r>
        <w:rPr>
          <w:i/>
          <w:iCs/>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12]</w:t>
      </w:r>
      <w:r>
        <w:rPr>
          <w:i/>
          <w:iCs/>
        </w:rPr>
        <w:t>, Department of Food and Agriculture of Uvurkhangai aimag (</w:t>
      </w:r>
      <w:proofErr w:type="gramStart"/>
      <w:r>
        <w:rPr>
          <w:i/>
          <w:iCs/>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13]</w:t>
      </w:r>
      <w:r>
        <w:rPr>
          <w:i/>
          <w:iCs/>
        </w:rPr>
        <w:t>, Department of Environment and Tourism of Dundgovi aimag (</w:t>
      </w:r>
      <w:proofErr w:type="gramStart"/>
      <w:r>
        <w:rPr>
          <w:i/>
          <w:iCs/>
        </w:rPr>
        <w:t>2023)</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11]</w:t>
      </w:r>
      <w:r>
        <w:rPr>
          <w:i/>
          <w:iCs/>
        </w:rPr>
        <w:t>.</w:t>
      </w:r>
    </w:p>
    <w:p w14:paraId="22252C30" w14:textId="042F810D" w:rsidR="005C2DF4" w:rsidRPr="00E35798" w:rsidRDefault="00525E32" w:rsidP="00EB489E">
      <w:r>
        <w:t xml:space="preserve"> </w:t>
      </w:r>
    </w:p>
    <w:p w14:paraId="40D7F22A" w14:textId="50E484DC" w:rsidR="00953CF7" w:rsidRPr="00E35798" w:rsidRDefault="00953CF7" w:rsidP="00D16E24">
      <w:pPr>
        <w:pStyle w:val="Heading3"/>
        <w:spacing w:line="240" w:lineRule="auto"/>
        <w:contextualSpacing w:val="0"/>
      </w:pPr>
      <w:bookmarkStart w:id="37" w:name="_Toc233981252"/>
      <w:r>
        <w:t>Dundgovi</w:t>
      </w:r>
      <w:bookmarkEnd w:id="37"/>
      <w:r>
        <w:t xml:space="preserve"> </w:t>
      </w:r>
    </w:p>
    <w:p w14:paraId="7EF05510" w14:textId="7F16FE8D" w:rsidR="007B236B" w:rsidRDefault="00641399" w:rsidP="00EB489E">
      <w:r>
        <w:t xml:space="preserve">Dundgovi (“Middle Gobi”) is one of the country’s southernmost agricultural provinces and the second-least populated aimag in Mongolia. The provincial capital, </w:t>
      </w:r>
      <w:proofErr w:type="spellStart"/>
      <w:r>
        <w:t>Mandalgovi</w:t>
      </w:r>
      <w:proofErr w:type="spellEnd"/>
      <w:r>
        <w:t xml:space="preserve">, is approximately 260 km south of Ulaanbaatar at 1,393 m above sea level. Dundgovi covers 74,690 km² of gently undulating Gobi semi-desert plateau ranging from 1,100 to 1,926 m </w:t>
      </w:r>
      <w:proofErr w:type="spellStart"/>
      <w:r>
        <w:t>a.s.l</w:t>
      </w:r>
      <w:proofErr w:type="spellEnd"/>
      <w:r>
        <w:t xml:space="preserve">., the highest point being </w:t>
      </w:r>
      <w:proofErr w:type="spellStart"/>
      <w:r>
        <w:t>Delgerkhangai</w:t>
      </w:r>
      <w:proofErr w:type="spellEnd"/>
      <w:r>
        <w:t xml:space="preserve"> mountain. Two prominent granite massifs — </w:t>
      </w:r>
      <w:proofErr w:type="spellStart"/>
      <w:r>
        <w:t>Ikh</w:t>
      </w:r>
      <w:proofErr w:type="spellEnd"/>
      <w:r>
        <w:t xml:space="preserve"> </w:t>
      </w:r>
      <w:proofErr w:type="spellStart"/>
      <w:r>
        <w:t>Gazriin</w:t>
      </w:r>
      <w:proofErr w:type="spellEnd"/>
      <w:r>
        <w:t xml:space="preserve"> </w:t>
      </w:r>
      <w:proofErr w:type="spellStart"/>
      <w:r>
        <w:t>Chuluu</w:t>
      </w:r>
      <w:proofErr w:type="spellEnd"/>
      <w:r>
        <w:t xml:space="preserve"> and Baga </w:t>
      </w:r>
      <w:proofErr w:type="spellStart"/>
      <w:r>
        <w:t>Gazriin</w:t>
      </w:r>
      <w:proofErr w:type="spellEnd"/>
      <w:r>
        <w:t xml:space="preserve"> </w:t>
      </w:r>
      <w:proofErr w:type="spellStart"/>
      <w:r>
        <w:t>Chuluu</w:t>
      </w:r>
      <w:proofErr w:type="spellEnd"/>
      <w:r>
        <w:t xml:space="preserve"> — punctuate the landscape, but otherwise the territory is dominated by featureless plains, low-relief hills and rocky outcrops. There are no permanent rivers of any significance: the </w:t>
      </w:r>
      <w:proofErr w:type="spellStart"/>
      <w:r>
        <w:t>Ongi</w:t>
      </w:r>
      <w:proofErr w:type="spellEnd"/>
      <w:r>
        <w:t xml:space="preserve"> reaches the western fringe of the province but is heavily abstracted upstream and is increasingly ephemeral.</w:t>
      </w:r>
      <w:r w:rsidR="008C4CCF" w:rsidRPr="008C4CCF">
        <w:rPr>
          <w:vertAlign w:val="superscript"/>
        </w:rPr>
        <w:t>[7]</w:t>
      </w:r>
      <w:r>
        <w:t xml:space="preserve"> Surface water is restricted to seasonal streams, a small number of saline lakes and pans, and isolated depressions which collect runoff after the rare convective summer events.</w:t>
      </w:r>
    </w:p>
    <w:p w14:paraId="26A8C5B7" w14:textId="77777777" w:rsidR="00ED71A8" w:rsidRDefault="00ED71A8" w:rsidP="00EB489E"/>
    <w:p w14:paraId="1413D8A2" w14:textId="0377D165" w:rsidR="007B236B" w:rsidRPr="00E35798" w:rsidRDefault="007B236B" w:rsidP="00EB489E">
      <w:r>
        <w:t>The vegetation is the typical Gobi steppe association, dominated by saxaul (</w:t>
      </w:r>
      <w:proofErr w:type="spellStart"/>
      <w:r>
        <w:rPr>
          <w:i/>
          <w:iCs/>
        </w:rPr>
        <w:t>Haloxylon</w:t>
      </w:r>
      <w:proofErr w:type="spellEnd"/>
      <w:r>
        <w:rPr>
          <w:i/>
          <w:iCs/>
        </w:rPr>
        <w:t xml:space="preserve"> </w:t>
      </w:r>
      <w:proofErr w:type="spellStart"/>
      <w:r>
        <w:rPr>
          <w:i/>
          <w:iCs/>
        </w:rPr>
        <w:t>ammodendron</w:t>
      </w:r>
      <w:proofErr w:type="spellEnd"/>
      <w:r>
        <w:t>), Siberian elm (</w:t>
      </w:r>
      <w:r>
        <w:rPr>
          <w:i/>
          <w:iCs/>
        </w:rPr>
        <w:t>Ulmus pumila</w:t>
      </w:r>
      <w:r>
        <w:t>), tamarisk, almond (</w:t>
      </w:r>
      <w:r>
        <w:rPr>
          <w:i/>
          <w:iCs/>
        </w:rPr>
        <w:t xml:space="preserve">Amygdalus </w:t>
      </w:r>
      <w:proofErr w:type="spellStart"/>
      <w:r>
        <w:rPr>
          <w:i/>
          <w:iCs/>
        </w:rPr>
        <w:t>mongolica</w:t>
      </w:r>
      <w:proofErr w:type="spellEnd"/>
      <w:r>
        <w:t>), wild leek (</w:t>
      </w:r>
      <w:r>
        <w:rPr>
          <w:i/>
          <w:iCs/>
        </w:rPr>
        <w:t xml:space="preserve">Allium </w:t>
      </w:r>
      <w:proofErr w:type="spellStart"/>
      <w:r>
        <w:rPr>
          <w:i/>
          <w:iCs/>
        </w:rPr>
        <w:t>mongolicum</w:t>
      </w:r>
      <w:proofErr w:type="spellEnd"/>
      <w:r>
        <w:t>) and a range of medicinal herbs. Forest cover is essentially zero. Agricultural land is overwhelmingly classified as pasture: 7,110,980 ha out of 7,469,032 ha of total provincial land, or 95.3%.</w:t>
      </w:r>
      <w:r>
        <w:rPr>
          <w:vertAlign w:val="superscript"/>
        </w:rPr>
        <w:t>[11]</w:t>
      </w:r>
      <w:r>
        <w:t xml:space="preserve"> Crop production is correspondingly marginal: only about 112 ha were planted in 2025, distributed across all 15 soums and held by 7 cooperatives, 18 enterprises and 114 individual growers.</w:t>
      </w:r>
      <w:r>
        <w:rPr>
          <w:vertAlign w:val="superscript"/>
        </w:rPr>
        <w:t>[14]</w:t>
      </w:r>
      <w:r>
        <w:t xml:space="preserve"> The province nevertheless meets a non-trivial share of household food demand from this small base — 23.2 % of combined potato and vegetable demand in 2025 — and the trend is upward. Greenhouse activity has grown from 152 to 156 units between 2024 and 2025 </w:t>
      </w:r>
      <w:r>
        <w:lastRenderedPageBreak/>
        <w:t>and from 88.2 t to 163 t of harvest over the same period, with active expansion into the winter-greenhouse niche on a small but increasing scale (2,980 m² of winter greenhouses operated by one enterprise and five individual growers in 2025).</w:t>
      </w:r>
      <w:r>
        <w:rPr>
          <w:vertAlign w:val="superscript"/>
        </w:rPr>
        <w:t>[14]</w:t>
      </w:r>
    </w:p>
    <w:p w14:paraId="3B98BAFC" w14:textId="66970B58" w:rsidR="00953CF7" w:rsidRPr="00E35798" w:rsidRDefault="000B0B96" w:rsidP="00D16E24">
      <w:pPr>
        <w:pStyle w:val="Heading3"/>
        <w:spacing w:line="240" w:lineRule="auto"/>
        <w:contextualSpacing w:val="0"/>
      </w:pPr>
      <w:bookmarkStart w:id="38" w:name="_Toc233981253"/>
      <w:r>
        <w:t>Uvurkhangai</w:t>
      </w:r>
      <w:bookmarkEnd w:id="38"/>
      <w:r>
        <w:t xml:space="preserve"> </w:t>
      </w:r>
    </w:p>
    <w:p w14:paraId="3909B488" w14:textId="53F59A8B" w:rsidR="00B456F1" w:rsidRPr="00E35798" w:rsidRDefault="00B456F1" w:rsidP="00EB489E">
      <w:r>
        <w:t xml:space="preserve">Uvurkhangai (“Southern </w:t>
      </w:r>
      <w:proofErr w:type="spellStart"/>
      <w:r>
        <w:t>Khangai</w:t>
      </w:r>
      <w:proofErr w:type="spellEnd"/>
      <w:r>
        <w:t xml:space="preserve">”) lies in central Mongolia and is the second-most populous of the two target provinces. The provincial capital, </w:t>
      </w:r>
      <w:proofErr w:type="spellStart"/>
      <w:r>
        <w:t>Arvaikheer</w:t>
      </w:r>
      <w:proofErr w:type="spellEnd"/>
      <w:r>
        <w:t xml:space="preserve">, is approximately 430 km south-west of Ulaanbaatar at 1,813 m above sea level. The province extends roughly 350 km north–south, traversing three of Mongolia’s four major ecological zones: the high mountain and forest-steppe of the </w:t>
      </w:r>
      <w:proofErr w:type="spellStart"/>
      <w:r>
        <w:t>Khangai</w:t>
      </w:r>
      <w:proofErr w:type="spellEnd"/>
      <w:r>
        <w:t xml:space="preserve"> range in the north, the open steppe in the centre, and the Gobi desert-steppe along the southern fringe. Roughly 2% of the territory is forested (predominantly larch, Siberian pine, birch and poplar). The remainder is divided between mountain steppe in the north, true steppe in the centre, and semi-desert in the south.</w:t>
      </w:r>
    </w:p>
    <w:p w14:paraId="346E386F" w14:textId="77777777" w:rsidR="00ED71A8" w:rsidRDefault="00ED71A8" w:rsidP="00EB489E"/>
    <w:p w14:paraId="445FA65D" w14:textId="283C82AF" w:rsidR="00B456F1" w:rsidRPr="00E35798" w:rsidRDefault="00B456F1" w:rsidP="00EB489E">
      <w:r>
        <w:t xml:space="preserve">Hydrologically, Uvurkhangai is one of Mongolia’s better-endowed provinces. The Orkhon river — Mongolia’s longest river — crosses the northern part of the territory, and the </w:t>
      </w:r>
      <w:proofErr w:type="spellStart"/>
      <w:r>
        <w:t>Ongi</w:t>
      </w:r>
      <w:proofErr w:type="spellEnd"/>
      <w:r>
        <w:t xml:space="preserve"> river, together with the </w:t>
      </w:r>
      <w:proofErr w:type="spellStart"/>
      <w:r>
        <w:t>Taats</w:t>
      </w:r>
      <w:proofErr w:type="spellEnd"/>
      <w:r>
        <w:t xml:space="preserve"> and </w:t>
      </w:r>
      <w:proofErr w:type="spellStart"/>
      <w:r>
        <w:t>Buurd</w:t>
      </w:r>
      <w:proofErr w:type="spellEnd"/>
      <w:r>
        <w:t xml:space="preserve"> and a series of spring-fed streams, provides perennial flow through several of the central soums. Numerous mineral springs occur, the most famous of which is the </w:t>
      </w:r>
      <w:proofErr w:type="spellStart"/>
      <w:r>
        <w:t>Khujirt</w:t>
      </w:r>
      <w:proofErr w:type="spellEnd"/>
      <w:r>
        <w:t xml:space="preserve"> hot spring system. The </w:t>
      </w:r>
      <w:proofErr w:type="spellStart"/>
      <w:r>
        <w:t>Khangai</w:t>
      </w:r>
      <w:proofErr w:type="spellEnd"/>
      <w:r>
        <w:t xml:space="preserve"> foothill aquifer, which supplies most of the province’s settlements, is comparatively shallow and recharges from snowmelt and orographic precipitation along the northern uplands.</w:t>
      </w:r>
    </w:p>
    <w:p w14:paraId="34331F17" w14:textId="77777777" w:rsidR="00ED71A8" w:rsidRDefault="00ED71A8" w:rsidP="00EB489E"/>
    <w:p w14:paraId="1E9422AB" w14:textId="4127F01B" w:rsidR="00C71045" w:rsidRPr="00E35798" w:rsidRDefault="00B456F1" w:rsidP="00EB489E">
      <w:r>
        <w:t xml:space="preserve">Administratively, the province is divided into 19 soums and the aimag centre. Vegetable production is concentrated in approximately seven soums — </w:t>
      </w:r>
      <w:proofErr w:type="spellStart"/>
      <w:r>
        <w:t>Arvaikheer</w:t>
      </w:r>
      <w:proofErr w:type="spellEnd"/>
      <w:r>
        <w:t xml:space="preserve">, Kharkhorin, </w:t>
      </w:r>
      <w:proofErr w:type="spellStart"/>
      <w:r>
        <w:t>Yesönzüil</w:t>
      </w:r>
      <w:proofErr w:type="spellEnd"/>
      <w:r>
        <w:t>, Bat-</w:t>
      </w:r>
      <w:proofErr w:type="spellStart"/>
      <w:r>
        <w:t>Ölzii</w:t>
      </w:r>
      <w:proofErr w:type="spellEnd"/>
      <w:r>
        <w:t xml:space="preserve">, </w:t>
      </w:r>
      <w:proofErr w:type="spellStart"/>
      <w:r>
        <w:t>Khujirt</w:t>
      </w:r>
      <w:proofErr w:type="spellEnd"/>
      <w:r>
        <w:t xml:space="preserve">, </w:t>
      </w:r>
      <w:proofErr w:type="spellStart"/>
      <w:r>
        <w:t>Tarag</w:t>
      </w:r>
      <w:proofErr w:type="spellEnd"/>
      <w:r>
        <w:t xml:space="preserve"> and </w:t>
      </w:r>
      <w:proofErr w:type="spellStart"/>
      <w:r>
        <w:t>Bayangol</w:t>
      </w:r>
      <w:proofErr w:type="spellEnd"/>
      <w:r>
        <w:t xml:space="preserve"> — that combine adequate water access along the Orkhon–</w:t>
      </w:r>
      <w:proofErr w:type="spellStart"/>
      <w:r>
        <w:t>Ongi</w:t>
      </w:r>
      <w:proofErr w:type="spellEnd"/>
      <w:r>
        <w:t xml:space="preserve"> corridor with comparatively favourable soils and growing conditions. Kharkhorin soum alone accounts for roughly 40 % of the province’s annual vegetable harvest (1,127.6 t in 2023, against an aimag total of 2,817 t).</w:t>
      </w:r>
      <w:r>
        <w:rPr>
          <w:vertAlign w:val="superscript"/>
        </w:rPr>
        <w:t>[21]</w:t>
      </w:r>
      <w:r>
        <w:t xml:space="preserve"> The provincial Department of Food and Agriculture operates a demonstration farm at </w:t>
      </w:r>
      <w:proofErr w:type="spellStart"/>
      <w:r>
        <w:t>Arvaikheer</w:t>
      </w:r>
      <w:proofErr w:type="spellEnd"/>
      <w:r>
        <w:t xml:space="preserve"> that produced 81,000 onion seedlings of the Japanese ‘</w:t>
      </w:r>
      <w:proofErr w:type="spellStart"/>
      <w:r>
        <w:t>Kitavase</w:t>
      </w:r>
      <w:proofErr w:type="spellEnd"/>
      <w:r>
        <w:t>’ variety for 40 farmers across 8 soums in 2025, and 24 t of certified ‘Gala’ seed potato for 12 farmers across 5 soums.</w:t>
      </w:r>
      <w:r>
        <w:rPr>
          <w:vertAlign w:val="superscript"/>
        </w:rPr>
        <w:t>[13]</w:t>
      </w:r>
    </w:p>
    <w:p w14:paraId="0CE8C107" w14:textId="77777777" w:rsidR="00953CF7" w:rsidRPr="00E35798" w:rsidRDefault="00953CF7" w:rsidP="00EB489E"/>
    <w:p w14:paraId="73E2624D" w14:textId="500DDC3C" w:rsidR="00953CF7" w:rsidRPr="00E35798" w:rsidRDefault="00A14FE8" w:rsidP="00D16E24">
      <w:pPr>
        <w:pStyle w:val="Heading2"/>
        <w:spacing w:line="240" w:lineRule="auto"/>
        <w:contextualSpacing w:val="0"/>
      </w:pPr>
      <w:bookmarkStart w:id="39" w:name="_Toc233981254"/>
      <w:r>
        <w:t>Climate characteristics</w:t>
      </w:r>
      <w:bookmarkEnd w:id="39"/>
    </w:p>
    <w:p w14:paraId="74D32968" w14:textId="550D17E4" w:rsidR="00C47EEF" w:rsidRPr="00E35798" w:rsidRDefault="00C47EEF" w:rsidP="00EB489E">
      <w:r>
        <w:t>Both provinces share Mongolia's broadly continental climate — long cold winters, short warm summers, low and summer-concentrated precipitation, high solar radiation, and large diurnal temperature ranges. Beneath this common envelope, however, Dundgovi and Uvurkhangai differ systematically across every parameter that matters for technology design.</w:t>
      </w:r>
    </w:p>
    <w:p w14:paraId="01D0FD24" w14:textId="39B23F37" w:rsidR="00A14FE8" w:rsidRPr="00E35798" w:rsidRDefault="00AF1E6C" w:rsidP="00D16E24">
      <w:pPr>
        <w:pStyle w:val="Heading3"/>
        <w:spacing w:line="240" w:lineRule="auto"/>
        <w:contextualSpacing w:val="0"/>
      </w:pPr>
      <w:bookmarkStart w:id="40" w:name="_Toc233981255"/>
      <w:r>
        <w:t>Temperature regime</w:t>
      </w:r>
      <w:bookmarkEnd w:id="40"/>
    </w:p>
    <w:p w14:paraId="1B0A7FFA" w14:textId="0CA1FEF6" w:rsidR="005150EB" w:rsidRPr="00E35798" w:rsidRDefault="005150EB" w:rsidP="00EB489E">
      <w:r>
        <w:t xml:space="preserve">In Uvurkhangai, mean annual temperature ranges from –1.3 °C in the cold northern </w:t>
      </w:r>
      <w:proofErr w:type="spellStart"/>
      <w:r>
        <w:t>Khangai</w:t>
      </w:r>
      <w:proofErr w:type="spellEnd"/>
      <w:r>
        <w:t xml:space="preserve">-fringe soums (e.g., </w:t>
      </w:r>
      <w:proofErr w:type="spellStart"/>
      <w:r>
        <w:t>Uyanga</w:t>
      </w:r>
      <w:proofErr w:type="spellEnd"/>
      <w:r>
        <w:t xml:space="preserve"> and </w:t>
      </w:r>
      <w:proofErr w:type="spellStart"/>
      <w:r>
        <w:t>Khujirt</w:t>
      </w:r>
      <w:proofErr w:type="spellEnd"/>
      <w:r>
        <w:t>) to +4.3 °C in the warmer southern Gobi-facing soums (</w:t>
      </w:r>
      <w:proofErr w:type="spellStart"/>
      <w:r>
        <w:t>Bogd</w:t>
      </w:r>
      <w:proofErr w:type="spellEnd"/>
      <w:r>
        <w:t xml:space="preserve"> and </w:t>
      </w:r>
      <w:proofErr w:type="spellStart"/>
      <w:r>
        <w:t>Baruunbayan-Ulaan</w:t>
      </w:r>
      <w:proofErr w:type="spellEnd"/>
      <w:r>
        <w:t xml:space="preserve">). The provincial mean is approximately +2.1 °C at </w:t>
      </w:r>
      <w:proofErr w:type="spellStart"/>
      <w:r>
        <w:t>Arvaikheer</w:t>
      </w:r>
      <w:proofErr w:type="spellEnd"/>
      <w:r>
        <w:t xml:space="preserve"> station for the 1991–2020 normal period. January means range from –14.3 °C at </w:t>
      </w:r>
      <w:proofErr w:type="spellStart"/>
      <w:r>
        <w:t>Arvaikheer</w:t>
      </w:r>
      <w:proofErr w:type="spellEnd"/>
      <w:r>
        <w:t xml:space="preserve"> to –21.2 °C at </w:t>
      </w:r>
      <w:proofErr w:type="spellStart"/>
      <w:r>
        <w:t>Khujirt</w:t>
      </w:r>
      <w:proofErr w:type="spellEnd"/>
      <w:r>
        <w:t xml:space="preserve">, and July means from +15.4 °C at </w:t>
      </w:r>
      <w:proofErr w:type="spellStart"/>
      <w:r>
        <w:t>Arvaikheer</w:t>
      </w:r>
      <w:proofErr w:type="spellEnd"/>
      <w:r>
        <w:t xml:space="preserve"> to +22.6 °C at </w:t>
      </w:r>
      <w:proofErr w:type="spellStart"/>
      <w:r>
        <w:t>Baruunbayan-Ulaan</w:t>
      </w:r>
      <w:proofErr w:type="spellEnd"/>
      <w:r>
        <w:t>. Absolute minima recorded over the 1991–2020 reference period reach –45.7 °C (</w:t>
      </w:r>
      <w:proofErr w:type="spellStart"/>
      <w:r>
        <w:t>Khujirt</w:t>
      </w:r>
      <w:proofErr w:type="spellEnd"/>
      <w:r>
        <w:t>) and absolute maxima reach +41.4 °C (</w:t>
      </w:r>
      <w:proofErr w:type="spellStart"/>
      <w:r>
        <w:t>Baruunbayan-Ulaan</w:t>
      </w:r>
      <w:proofErr w:type="spellEnd"/>
      <w:r>
        <w:t>), giving an extreme range of more than 86 °C across the province.</w:t>
      </w:r>
      <w:r>
        <w:rPr>
          <w:vertAlign w:val="superscript"/>
        </w:rPr>
        <w:t>[21]</w:t>
      </w:r>
      <w:r>
        <w:t xml:space="preserve"> For 2024 specifically, </w:t>
      </w:r>
      <w:proofErr w:type="spellStart"/>
      <w:r>
        <w:t>Arvaikheer</w:t>
      </w:r>
      <w:proofErr w:type="spellEnd"/>
      <w:r>
        <w:t xml:space="preserve"> station recorded a mean annual temperature of +3.4 °C (1.3 °C above the 1991–2020 norm), 19 cm of maximum snow cover, and 114 days with measurable precipitation.</w:t>
      </w:r>
      <w:r>
        <w:rPr>
          <w:vertAlign w:val="superscript"/>
        </w:rPr>
        <w:t>[27]</w:t>
      </w:r>
    </w:p>
    <w:p w14:paraId="7D76C320" w14:textId="77777777" w:rsidR="00ED71A8" w:rsidRDefault="00ED71A8" w:rsidP="00EB489E"/>
    <w:p w14:paraId="122D6E75" w14:textId="2A2235CD" w:rsidR="005150EB" w:rsidRPr="00E35798" w:rsidRDefault="005150EB" w:rsidP="00EB489E">
      <w:r>
        <w:t>In Dundgovi, mean annual temperatures range from +1.1 °C in the colder northern soums (</w:t>
      </w:r>
      <w:proofErr w:type="spellStart"/>
      <w:r>
        <w:t>Erdenedalai</w:t>
      </w:r>
      <w:proofErr w:type="spellEnd"/>
      <w:r>
        <w:t xml:space="preserve">, </w:t>
      </w:r>
      <w:proofErr w:type="spellStart"/>
      <w:r>
        <w:t>Adaatsag</w:t>
      </w:r>
      <w:proofErr w:type="spellEnd"/>
      <w:r>
        <w:t>) to +4.5 °C in the warmer southern soums (Sayhan-</w:t>
      </w:r>
      <w:proofErr w:type="spellStart"/>
      <w:r>
        <w:t>Ovoo</w:t>
      </w:r>
      <w:proofErr w:type="spellEnd"/>
      <w:r>
        <w:t xml:space="preserve">, </w:t>
      </w:r>
      <w:proofErr w:type="spellStart"/>
      <w:r>
        <w:t>Gurvansaikhan</w:t>
      </w:r>
      <w:proofErr w:type="spellEnd"/>
      <w:r>
        <w:t>). Over the 2001–2020 period the warmest year on record was 2007 (~+4.9 °C provincial mean) and the coldest was 2012 (~+1.7 °C). The 2019–2021 trio averaged +3.4, +3.3 and +3.9 °C respectively — i.e., 0.4–1.0 °C above the long-term mean — confirming a clear warming trend.</w:t>
      </w:r>
      <w:r>
        <w:rPr>
          <w:vertAlign w:val="superscript"/>
        </w:rPr>
        <w:t>[24]</w:t>
      </w:r>
      <w:r>
        <w:t xml:space="preserve"> The absolute minimum on record is –41.0 °C (Sayhan-</w:t>
      </w:r>
      <w:proofErr w:type="spellStart"/>
      <w:r>
        <w:t>Ovoo</w:t>
      </w:r>
      <w:proofErr w:type="spellEnd"/>
      <w:r>
        <w:t>, 2002) and the absolute maximum is +41.0 °C (</w:t>
      </w:r>
      <w:proofErr w:type="spellStart"/>
      <w:r>
        <w:t>Gurvansaikhan</w:t>
      </w:r>
      <w:proofErr w:type="spellEnd"/>
      <w:r>
        <w:t xml:space="preserve">, 2017). In 2019 alone, +30 °C summer temperatures were exceeded on 11–45 days across the province (45 days at </w:t>
      </w:r>
      <w:proofErr w:type="spellStart"/>
      <w:r>
        <w:t>Gurvansaikhan</w:t>
      </w:r>
      <w:proofErr w:type="spellEnd"/>
      <w:r>
        <w:t xml:space="preserve"> and Khuld), and –30 °C winter temperatures were recorded on 1–24 days (24 days at </w:t>
      </w:r>
      <w:proofErr w:type="spellStart"/>
      <w:r>
        <w:t>Erdenedalai</w:t>
      </w:r>
      <w:proofErr w:type="spellEnd"/>
      <w:r>
        <w:t>).</w:t>
      </w:r>
      <w:r>
        <w:rPr>
          <w:vertAlign w:val="superscript"/>
        </w:rPr>
        <w:t>[24]</w:t>
      </w:r>
    </w:p>
    <w:p w14:paraId="3F692E74" w14:textId="77777777" w:rsidR="00ED71A8" w:rsidRDefault="00ED71A8" w:rsidP="00072D0C">
      <w:pPr>
        <w:pStyle w:val="BodyText"/>
        <w:spacing w:line="240" w:lineRule="auto"/>
        <w:contextualSpacing w:val="0"/>
      </w:pPr>
    </w:p>
    <w:p w14:paraId="5EF62E1B" w14:textId="502891AB" w:rsidR="00AF1E6C" w:rsidRPr="00E35798" w:rsidRDefault="00370AF7" w:rsidP="00072D0C">
      <w:pPr>
        <w:pStyle w:val="BodyText"/>
        <w:spacing w:line="240" w:lineRule="auto"/>
        <w:contextualSpacing w:val="0"/>
      </w:pPr>
      <w:r>
        <w:t xml:space="preserve">For technology design, three temperature parameters matter most: (a) the annual mean and amplitude (which determine passive solar greenhouse performance and define whether supplementary heating is required to </w:t>
      </w:r>
      <w:r>
        <w:lastRenderedPageBreak/>
        <w:t>extend the operating season into the winter); (b) the diurnal temperature range during the cropping season (which influences crop growth and was explicitly identified by the Uvurkhangai DFA as a primary cause of poor tomato, potato and leafy vegetable performance in 2025);</w:t>
      </w:r>
      <w:r>
        <w:rPr>
          <w:vertAlign w:val="superscript"/>
        </w:rPr>
        <w:t>[13]</w:t>
      </w:r>
      <w:r>
        <w:t xml:space="preserve"> and (c) the absolute extremes (which determine structural design loads and the safe operating envelope of any glazed structure). On all three counts, Dundgovi presents a marginally more demanding envelope than Uvurkhangai: warmer summer maxima inside any closed structure, comparable winter minima, and slightly shorter durations of frost.</w:t>
      </w:r>
    </w:p>
    <w:p w14:paraId="3C5BCCD3" w14:textId="3241F37A" w:rsidR="00164D6C" w:rsidRPr="00E35798" w:rsidRDefault="00164D6C" w:rsidP="00D16E24">
      <w:pPr>
        <w:pStyle w:val="Caption"/>
        <w:keepNext/>
        <w:framePr w:wrap="notBeside"/>
        <w:spacing w:after="120"/>
        <w:contextualSpacing w:val="0"/>
      </w:pPr>
      <w:r>
        <w:t>Table 9. Selected temperature norms at representative stations, 1991–2020 (°C)</w:t>
      </w:r>
    </w:p>
    <w:tbl>
      <w:tblPr>
        <w:tblStyle w:val="Table"/>
        <w:tblW w:w="5000" w:type="pct"/>
        <w:tblBorders>
          <w:top w:val="single" w:sz="4" w:space="0" w:color="BCBCBC" w:themeColor="background1"/>
          <w:bottom w:val="single" w:sz="4" w:space="0" w:color="BCBCBC" w:themeColor="background1"/>
          <w:insideH w:val="single" w:sz="4" w:space="0" w:color="BCBCBC" w:themeColor="background1"/>
        </w:tblBorders>
        <w:tblLook w:val="0020" w:firstRow="1" w:lastRow="0" w:firstColumn="0" w:lastColumn="0" w:noHBand="0" w:noVBand="0"/>
      </w:tblPr>
      <w:tblGrid>
        <w:gridCol w:w="1614"/>
        <w:gridCol w:w="1322"/>
        <w:gridCol w:w="1471"/>
        <w:gridCol w:w="1178"/>
        <w:gridCol w:w="1299"/>
        <w:gridCol w:w="1376"/>
        <w:gridCol w:w="1378"/>
      </w:tblGrid>
      <w:tr w:rsidR="007C2765" w:rsidRPr="00E35798" w14:paraId="25EF493A" w14:textId="77777777" w:rsidTr="00ED71A8">
        <w:trPr>
          <w:cnfStyle w:val="100000000000" w:firstRow="1" w:lastRow="0" w:firstColumn="0" w:lastColumn="0" w:oddVBand="0" w:evenVBand="0" w:oddHBand="0" w:evenHBand="0" w:firstRowFirstColumn="0" w:firstRowLastColumn="0" w:lastRowFirstColumn="0" w:lastRowLastColumn="0"/>
          <w:tblHeader/>
        </w:trPr>
        <w:tc>
          <w:tcPr>
            <w:tcW w:w="837" w:type="pct"/>
            <w:tcBorders>
              <w:bottom w:val="none" w:sz="0" w:space="0" w:color="auto"/>
            </w:tcBorders>
            <w:shd w:val="clear" w:color="auto" w:fill="E99E6D" w:themeFill="accent3"/>
            <w:vAlign w:val="center"/>
          </w:tcPr>
          <w:p w14:paraId="35A8A22D" w14:textId="77777777" w:rsidR="007C2765" w:rsidRPr="00E35798" w:rsidRDefault="007C2765" w:rsidP="00ED71A8">
            <w:pPr>
              <w:pStyle w:val="OikoTables02"/>
            </w:pPr>
            <w:r>
              <w:t>Station (</w:t>
            </w:r>
            <w:proofErr w:type="spellStart"/>
            <w:r>
              <w:t>soum</w:t>
            </w:r>
            <w:proofErr w:type="spellEnd"/>
            <w:r>
              <w:t>)</w:t>
            </w:r>
          </w:p>
        </w:tc>
        <w:tc>
          <w:tcPr>
            <w:tcW w:w="686" w:type="pct"/>
            <w:tcBorders>
              <w:bottom w:val="none" w:sz="0" w:space="0" w:color="auto"/>
            </w:tcBorders>
            <w:shd w:val="clear" w:color="auto" w:fill="E99E6D" w:themeFill="accent3"/>
            <w:vAlign w:val="center"/>
          </w:tcPr>
          <w:p w14:paraId="21627962" w14:textId="77777777" w:rsidR="007C2765" w:rsidRPr="00E35798" w:rsidRDefault="007C2765" w:rsidP="00ED71A8">
            <w:pPr>
              <w:pStyle w:val="OikoTables02"/>
            </w:pPr>
            <w:r>
              <w:t>Province</w:t>
            </w:r>
          </w:p>
        </w:tc>
        <w:tc>
          <w:tcPr>
            <w:tcW w:w="763" w:type="pct"/>
            <w:tcBorders>
              <w:bottom w:val="none" w:sz="0" w:space="0" w:color="auto"/>
            </w:tcBorders>
            <w:shd w:val="clear" w:color="auto" w:fill="E99E6D" w:themeFill="accent3"/>
            <w:vAlign w:val="center"/>
          </w:tcPr>
          <w:p w14:paraId="59D760B1" w14:textId="77777777" w:rsidR="007C2765" w:rsidRPr="00E35798" w:rsidRDefault="007C2765" w:rsidP="00ED71A8">
            <w:pPr>
              <w:pStyle w:val="OikoTables02"/>
            </w:pPr>
            <w:proofErr w:type="spellStart"/>
            <w:r>
              <w:t>Annual</w:t>
            </w:r>
            <w:proofErr w:type="spellEnd"/>
            <w:r>
              <w:t xml:space="preserve"> mean</w:t>
            </w:r>
          </w:p>
        </w:tc>
        <w:tc>
          <w:tcPr>
            <w:tcW w:w="611" w:type="pct"/>
            <w:tcBorders>
              <w:bottom w:val="none" w:sz="0" w:space="0" w:color="auto"/>
            </w:tcBorders>
            <w:shd w:val="clear" w:color="auto" w:fill="E99E6D" w:themeFill="accent3"/>
            <w:vAlign w:val="center"/>
          </w:tcPr>
          <w:p w14:paraId="36A55A11" w14:textId="77777777" w:rsidR="007C2765" w:rsidRPr="00E35798" w:rsidRDefault="007C2765" w:rsidP="00ED71A8">
            <w:pPr>
              <w:pStyle w:val="OikoTables02"/>
            </w:pPr>
            <w:r>
              <w:t>January mean</w:t>
            </w:r>
          </w:p>
        </w:tc>
        <w:tc>
          <w:tcPr>
            <w:tcW w:w="674" w:type="pct"/>
            <w:tcBorders>
              <w:bottom w:val="none" w:sz="0" w:space="0" w:color="auto"/>
            </w:tcBorders>
            <w:shd w:val="clear" w:color="auto" w:fill="E99E6D" w:themeFill="accent3"/>
            <w:vAlign w:val="center"/>
          </w:tcPr>
          <w:p w14:paraId="007D0A02" w14:textId="77777777" w:rsidR="007C2765" w:rsidRPr="00E35798" w:rsidRDefault="007C2765" w:rsidP="00ED71A8">
            <w:pPr>
              <w:pStyle w:val="OikoTables02"/>
            </w:pPr>
            <w:proofErr w:type="spellStart"/>
            <w:r>
              <w:t>July</w:t>
            </w:r>
            <w:proofErr w:type="spellEnd"/>
            <w:r>
              <w:t xml:space="preserve"> mean</w:t>
            </w:r>
          </w:p>
        </w:tc>
        <w:tc>
          <w:tcPr>
            <w:tcW w:w="714" w:type="pct"/>
            <w:tcBorders>
              <w:bottom w:val="none" w:sz="0" w:space="0" w:color="auto"/>
            </w:tcBorders>
            <w:shd w:val="clear" w:color="auto" w:fill="E99E6D" w:themeFill="accent3"/>
            <w:vAlign w:val="center"/>
          </w:tcPr>
          <w:p w14:paraId="57F59B4F" w14:textId="77777777" w:rsidR="007C2765" w:rsidRPr="00E35798" w:rsidRDefault="007C2765" w:rsidP="00ED71A8">
            <w:pPr>
              <w:pStyle w:val="OikoTables02"/>
            </w:pPr>
            <w:r>
              <w:t xml:space="preserve">Absolute </w:t>
            </w:r>
            <w:proofErr w:type="spellStart"/>
            <w:r>
              <w:t>max</w:t>
            </w:r>
            <w:proofErr w:type="spellEnd"/>
          </w:p>
        </w:tc>
        <w:tc>
          <w:tcPr>
            <w:tcW w:w="714" w:type="pct"/>
            <w:tcBorders>
              <w:bottom w:val="none" w:sz="0" w:space="0" w:color="auto"/>
            </w:tcBorders>
            <w:shd w:val="clear" w:color="auto" w:fill="E99E6D" w:themeFill="accent3"/>
            <w:vAlign w:val="center"/>
          </w:tcPr>
          <w:p w14:paraId="04540277" w14:textId="77777777" w:rsidR="007C2765" w:rsidRPr="00E35798" w:rsidRDefault="007C2765" w:rsidP="00ED71A8">
            <w:pPr>
              <w:pStyle w:val="OikoTables02"/>
            </w:pPr>
            <w:r>
              <w:t>Absolute min</w:t>
            </w:r>
          </w:p>
        </w:tc>
      </w:tr>
      <w:tr w:rsidR="007C2765" w:rsidRPr="00E35798" w14:paraId="0D4B88BF" w14:textId="77777777" w:rsidTr="006235C6">
        <w:tc>
          <w:tcPr>
            <w:tcW w:w="837" w:type="pct"/>
            <w:vAlign w:val="center"/>
          </w:tcPr>
          <w:p w14:paraId="67D9002C" w14:textId="77777777" w:rsidR="007C2765" w:rsidRPr="00E35798" w:rsidRDefault="007C2765" w:rsidP="00D16E24">
            <w:pPr>
              <w:pStyle w:val="OikoTables03Content"/>
              <w:spacing w:after="120" w:line="240" w:lineRule="auto"/>
              <w:rPr>
                <w:lang w:val="en-GB"/>
              </w:rPr>
            </w:pPr>
            <w:proofErr w:type="spellStart"/>
            <w:r>
              <w:rPr>
                <w:lang w:val="en-GB"/>
              </w:rPr>
              <w:t>Arvaikheer</w:t>
            </w:r>
            <w:proofErr w:type="spellEnd"/>
          </w:p>
        </w:tc>
        <w:tc>
          <w:tcPr>
            <w:tcW w:w="686" w:type="pct"/>
            <w:vAlign w:val="center"/>
          </w:tcPr>
          <w:p w14:paraId="0AE88A7A" w14:textId="77777777" w:rsidR="007C2765" w:rsidRPr="00E35798" w:rsidRDefault="007C2765" w:rsidP="00D16E24">
            <w:pPr>
              <w:pStyle w:val="OikoTables03Content"/>
              <w:spacing w:after="120" w:line="240" w:lineRule="auto"/>
              <w:rPr>
                <w:lang w:val="en-GB"/>
              </w:rPr>
            </w:pPr>
            <w:r>
              <w:rPr>
                <w:lang w:val="en-GB"/>
              </w:rPr>
              <w:t>Uvurkhangai</w:t>
            </w:r>
          </w:p>
        </w:tc>
        <w:tc>
          <w:tcPr>
            <w:tcW w:w="763" w:type="pct"/>
            <w:vAlign w:val="center"/>
          </w:tcPr>
          <w:p w14:paraId="161532C7" w14:textId="77777777" w:rsidR="007C2765" w:rsidRPr="00E35798" w:rsidRDefault="007C2765" w:rsidP="00D16E24">
            <w:pPr>
              <w:pStyle w:val="OikoTables03Content"/>
              <w:spacing w:after="120" w:line="240" w:lineRule="auto"/>
              <w:rPr>
                <w:lang w:val="en-GB"/>
              </w:rPr>
            </w:pPr>
            <w:r>
              <w:rPr>
                <w:lang w:val="en-GB"/>
              </w:rPr>
              <w:t>+2.1</w:t>
            </w:r>
          </w:p>
        </w:tc>
        <w:tc>
          <w:tcPr>
            <w:tcW w:w="611" w:type="pct"/>
            <w:vAlign w:val="center"/>
          </w:tcPr>
          <w:p w14:paraId="4649C892" w14:textId="77777777" w:rsidR="007C2765" w:rsidRPr="00E35798" w:rsidRDefault="007C2765" w:rsidP="00D16E24">
            <w:pPr>
              <w:pStyle w:val="OikoTables03Content"/>
              <w:spacing w:after="120" w:line="240" w:lineRule="auto"/>
              <w:rPr>
                <w:lang w:val="en-GB"/>
              </w:rPr>
            </w:pPr>
            <w:r>
              <w:rPr>
                <w:lang w:val="en-GB"/>
              </w:rPr>
              <w:t>–14.3</w:t>
            </w:r>
          </w:p>
        </w:tc>
        <w:tc>
          <w:tcPr>
            <w:tcW w:w="674" w:type="pct"/>
            <w:vAlign w:val="center"/>
          </w:tcPr>
          <w:p w14:paraId="17A05F6F" w14:textId="77777777" w:rsidR="007C2765" w:rsidRPr="00E35798" w:rsidRDefault="007C2765" w:rsidP="00D16E24">
            <w:pPr>
              <w:pStyle w:val="OikoTables03Content"/>
              <w:spacing w:after="120" w:line="240" w:lineRule="auto"/>
              <w:rPr>
                <w:lang w:val="en-GB"/>
              </w:rPr>
            </w:pPr>
            <w:r>
              <w:rPr>
                <w:lang w:val="en-GB"/>
              </w:rPr>
              <w:t>+17.5</w:t>
            </w:r>
          </w:p>
        </w:tc>
        <w:tc>
          <w:tcPr>
            <w:tcW w:w="714" w:type="pct"/>
            <w:vAlign w:val="center"/>
          </w:tcPr>
          <w:p w14:paraId="7E79E95B" w14:textId="77777777" w:rsidR="007C2765" w:rsidRPr="00E35798" w:rsidRDefault="007C2765" w:rsidP="00D16E24">
            <w:pPr>
              <w:pStyle w:val="OikoTables03Content"/>
              <w:spacing w:after="120" w:line="240" w:lineRule="auto"/>
              <w:rPr>
                <w:lang w:val="en-GB"/>
              </w:rPr>
            </w:pPr>
            <w:r>
              <w:rPr>
                <w:lang w:val="en-GB"/>
              </w:rPr>
              <w:t>+35.5</w:t>
            </w:r>
          </w:p>
        </w:tc>
        <w:tc>
          <w:tcPr>
            <w:tcW w:w="714" w:type="pct"/>
            <w:vAlign w:val="center"/>
          </w:tcPr>
          <w:p w14:paraId="25FA4591" w14:textId="77777777" w:rsidR="007C2765" w:rsidRPr="00E35798" w:rsidRDefault="007C2765" w:rsidP="00D16E24">
            <w:pPr>
              <w:pStyle w:val="OikoTables03Content"/>
              <w:spacing w:after="120" w:line="240" w:lineRule="auto"/>
              <w:rPr>
                <w:lang w:val="en-GB"/>
              </w:rPr>
            </w:pPr>
            <w:r>
              <w:rPr>
                <w:lang w:val="en-GB"/>
              </w:rPr>
              <w:t>–36.6</w:t>
            </w:r>
          </w:p>
        </w:tc>
      </w:tr>
      <w:tr w:rsidR="007C2765" w:rsidRPr="00E35798" w14:paraId="19D08A14" w14:textId="77777777" w:rsidTr="006235C6">
        <w:tc>
          <w:tcPr>
            <w:tcW w:w="837" w:type="pct"/>
            <w:vAlign w:val="center"/>
          </w:tcPr>
          <w:p w14:paraId="25C9BC4A" w14:textId="77777777" w:rsidR="007C2765" w:rsidRPr="00E35798" w:rsidRDefault="007C2765" w:rsidP="00D16E24">
            <w:pPr>
              <w:pStyle w:val="OikoTables03Content"/>
              <w:spacing w:after="120" w:line="240" w:lineRule="auto"/>
              <w:rPr>
                <w:lang w:val="en-GB"/>
              </w:rPr>
            </w:pPr>
            <w:r>
              <w:rPr>
                <w:lang w:val="en-GB"/>
              </w:rPr>
              <w:t>Kharkhorin</w:t>
            </w:r>
          </w:p>
        </w:tc>
        <w:tc>
          <w:tcPr>
            <w:tcW w:w="686" w:type="pct"/>
            <w:vAlign w:val="center"/>
          </w:tcPr>
          <w:p w14:paraId="47491F80" w14:textId="77777777" w:rsidR="007C2765" w:rsidRPr="00E35798" w:rsidRDefault="007C2765" w:rsidP="00D16E24">
            <w:pPr>
              <w:pStyle w:val="OikoTables03Content"/>
              <w:spacing w:after="120" w:line="240" w:lineRule="auto"/>
              <w:rPr>
                <w:lang w:val="en-GB"/>
              </w:rPr>
            </w:pPr>
            <w:r>
              <w:rPr>
                <w:lang w:val="en-GB"/>
              </w:rPr>
              <w:t>Uvurkhangai</w:t>
            </w:r>
          </w:p>
        </w:tc>
        <w:tc>
          <w:tcPr>
            <w:tcW w:w="763" w:type="pct"/>
            <w:vAlign w:val="center"/>
          </w:tcPr>
          <w:p w14:paraId="5B4A4951" w14:textId="77777777" w:rsidR="007C2765" w:rsidRPr="00E35798" w:rsidRDefault="007C2765" w:rsidP="00D16E24">
            <w:pPr>
              <w:pStyle w:val="OikoTables03Content"/>
              <w:spacing w:after="120" w:line="240" w:lineRule="auto"/>
              <w:rPr>
                <w:lang w:val="en-GB"/>
              </w:rPr>
            </w:pPr>
            <w:r>
              <w:rPr>
                <w:lang w:val="en-GB"/>
              </w:rPr>
              <w:t>+1.8</w:t>
            </w:r>
          </w:p>
        </w:tc>
        <w:tc>
          <w:tcPr>
            <w:tcW w:w="611" w:type="pct"/>
            <w:vAlign w:val="center"/>
          </w:tcPr>
          <w:p w14:paraId="4BEB7DC5" w14:textId="77777777" w:rsidR="007C2765" w:rsidRPr="00E35798" w:rsidRDefault="007C2765" w:rsidP="00D16E24">
            <w:pPr>
              <w:pStyle w:val="OikoTables03Content"/>
              <w:spacing w:after="120" w:line="240" w:lineRule="auto"/>
              <w:rPr>
                <w:lang w:val="en-GB"/>
              </w:rPr>
            </w:pPr>
            <w:r>
              <w:rPr>
                <w:lang w:val="en-GB"/>
              </w:rPr>
              <w:t>–16.9</w:t>
            </w:r>
          </w:p>
        </w:tc>
        <w:tc>
          <w:tcPr>
            <w:tcW w:w="674" w:type="pct"/>
            <w:vAlign w:val="center"/>
          </w:tcPr>
          <w:p w14:paraId="2444C423" w14:textId="77777777" w:rsidR="007C2765" w:rsidRPr="00E35798" w:rsidRDefault="007C2765" w:rsidP="00D16E24">
            <w:pPr>
              <w:pStyle w:val="OikoTables03Content"/>
              <w:spacing w:after="120" w:line="240" w:lineRule="auto"/>
              <w:rPr>
                <w:lang w:val="en-GB"/>
              </w:rPr>
            </w:pPr>
            <w:r>
              <w:rPr>
                <w:lang w:val="en-GB"/>
              </w:rPr>
              <w:t>+18.1</w:t>
            </w:r>
          </w:p>
        </w:tc>
        <w:tc>
          <w:tcPr>
            <w:tcW w:w="714" w:type="pct"/>
            <w:vAlign w:val="center"/>
          </w:tcPr>
          <w:p w14:paraId="7D2536D2" w14:textId="77777777" w:rsidR="007C2765" w:rsidRPr="00E35798" w:rsidRDefault="007C2765" w:rsidP="00D16E24">
            <w:pPr>
              <w:pStyle w:val="OikoTables03Content"/>
              <w:spacing w:after="120" w:line="240" w:lineRule="auto"/>
              <w:rPr>
                <w:lang w:val="en-GB"/>
              </w:rPr>
            </w:pPr>
            <w:r>
              <w:rPr>
                <w:lang w:val="en-GB"/>
              </w:rPr>
              <w:t>+37.5</w:t>
            </w:r>
          </w:p>
        </w:tc>
        <w:tc>
          <w:tcPr>
            <w:tcW w:w="714" w:type="pct"/>
            <w:vAlign w:val="center"/>
          </w:tcPr>
          <w:p w14:paraId="17B51AC4" w14:textId="77777777" w:rsidR="007C2765" w:rsidRPr="00E35798" w:rsidRDefault="007C2765" w:rsidP="00D16E24">
            <w:pPr>
              <w:pStyle w:val="OikoTables03Content"/>
              <w:spacing w:after="120" w:line="240" w:lineRule="auto"/>
              <w:rPr>
                <w:lang w:val="en-GB"/>
              </w:rPr>
            </w:pPr>
            <w:r>
              <w:rPr>
                <w:lang w:val="en-GB"/>
              </w:rPr>
              <w:t>–38.2</w:t>
            </w:r>
          </w:p>
        </w:tc>
      </w:tr>
      <w:tr w:rsidR="007C2765" w:rsidRPr="00E35798" w14:paraId="75C6C192" w14:textId="77777777" w:rsidTr="006235C6">
        <w:tc>
          <w:tcPr>
            <w:tcW w:w="837" w:type="pct"/>
            <w:vAlign w:val="center"/>
          </w:tcPr>
          <w:p w14:paraId="704DCF92" w14:textId="77777777" w:rsidR="007C2765" w:rsidRPr="00E35798" w:rsidRDefault="007C2765" w:rsidP="00D16E24">
            <w:pPr>
              <w:pStyle w:val="OikoTables03Content"/>
              <w:spacing w:after="120" w:line="240" w:lineRule="auto"/>
              <w:rPr>
                <w:lang w:val="en-GB"/>
              </w:rPr>
            </w:pPr>
            <w:proofErr w:type="spellStart"/>
            <w:r>
              <w:rPr>
                <w:lang w:val="en-GB"/>
              </w:rPr>
              <w:t>Khujirt</w:t>
            </w:r>
            <w:proofErr w:type="spellEnd"/>
          </w:p>
        </w:tc>
        <w:tc>
          <w:tcPr>
            <w:tcW w:w="686" w:type="pct"/>
            <w:vAlign w:val="center"/>
          </w:tcPr>
          <w:p w14:paraId="7420F79E" w14:textId="77777777" w:rsidR="007C2765" w:rsidRPr="00E35798" w:rsidRDefault="007C2765" w:rsidP="00D16E24">
            <w:pPr>
              <w:pStyle w:val="OikoTables03Content"/>
              <w:spacing w:after="120" w:line="240" w:lineRule="auto"/>
              <w:rPr>
                <w:lang w:val="en-GB"/>
              </w:rPr>
            </w:pPr>
            <w:r>
              <w:rPr>
                <w:lang w:val="en-GB"/>
              </w:rPr>
              <w:t>Uvurkhangai</w:t>
            </w:r>
          </w:p>
        </w:tc>
        <w:tc>
          <w:tcPr>
            <w:tcW w:w="763" w:type="pct"/>
            <w:vAlign w:val="center"/>
          </w:tcPr>
          <w:p w14:paraId="2FC851AD" w14:textId="77777777" w:rsidR="007C2765" w:rsidRPr="00E35798" w:rsidRDefault="007C2765" w:rsidP="00D16E24">
            <w:pPr>
              <w:pStyle w:val="OikoTables03Content"/>
              <w:spacing w:after="120" w:line="240" w:lineRule="auto"/>
              <w:rPr>
                <w:lang w:val="en-GB"/>
              </w:rPr>
            </w:pPr>
            <w:r>
              <w:rPr>
                <w:lang w:val="en-GB"/>
              </w:rPr>
              <w:t>–0.6</w:t>
            </w:r>
          </w:p>
        </w:tc>
        <w:tc>
          <w:tcPr>
            <w:tcW w:w="611" w:type="pct"/>
            <w:vAlign w:val="center"/>
          </w:tcPr>
          <w:p w14:paraId="32F21544" w14:textId="77777777" w:rsidR="007C2765" w:rsidRPr="00E35798" w:rsidRDefault="007C2765" w:rsidP="00D16E24">
            <w:pPr>
              <w:pStyle w:val="OikoTables03Content"/>
              <w:spacing w:after="120" w:line="240" w:lineRule="auto"/>
              <w:rPr>
                <w:lang w:val="en-GB"/>
              </w:rPr>
            </w:pPr>
            <w:r>
              <w:rPr>
                <w:lang w:val="en-GB"/>
              </w:rPr>
              <w:t>–21.2</w:t>
            </w:r>
          </w:p>
        </w:tc>
        <w:tc>
          <w:tcPr>
            <w:tcW w:w="674" w:type="pct"/>
            <w:vAlign w:val="center"/>
          </w:tcPr>
          <w:p w14:paraId="0C26AD1E" w14:textId="77777777" w:rsidR="007C2765" w:rsidRPr="00E35798" w:rsidRDefault="007C2765" w:rsidP="00D16E24">
            <w:pPr>
              <w:pStyle w:val="OikoTables03Content"/>
              <w:spacing w:after="120" w:line="240" w:lineRule="auto"/>
              <w:rPr>
                <w:lang w:val="en-GB"/>
              </w:rPr>
            </w:pPr>
            <w:r>
              <w:rPr>
                <w:lang w:val="en-GB"/>
              </w:rPr>
              <w:t>+16.6</w:t>
            </w:r>
          </w:p>
        </w:tc>
        <w:tc>
          <w:tcPr>
            <w:tcW w:w="714" w:type="pct"/>
            <w:vAlign w:val="center"/>
          </w:tcPr>
          <w:p w14:paraId="42CC2274" w14:textId="77777777" w:rsidR="007C2765" w:rsidRPr="00E35798" w:rsidRDefault="007C2765" w:rsidP="00D16E24">
            <w:pPr>
              <w:pStyle w:val="OikoTables03Content"/>
              <w:spacing w:after="120" w:line="240" w:lineRule="auto"/>
              <w:rPr>
                <w:lang w:val="en-GB"/>
              </w:rPr>
            </w:pPr>
            <w:r>
              <w:rPr>
                <w:lang w:val="en-GB"/>
              </w:rPr>
              <w:t>+35.9</w:t>
            </w:r>
          </w:p>
        </w:tc>
        <w:tc>
          <w:tcPr>
            <w:tcW w:w="714" w:type="pct"/>
            <w:vAlign w:val="center"/>
          </w:tcPr>
          <w:p w14:paraId="2C528BB7" w14:textId="77777777" w:rsidR="007C2765" w:rsidRPr="00E35798" w:rsidRDefault="007C2765" w:rsidP="00D16E24">
            <w:pPr>
              <w:pStyle w:val="OikoTables03Content"/>
              <w:spacing w:after="120" w:line="240" w:lineRule="auto"/>
              <w:rPr>
                <w:lang w:val="en-GB"/>
              </w:rPr>
            </w:pPr>
            <w:r>
              <w:rPr>
                <w:lang w:val="en-GB"/>
              </w:rPr>
              <w:t>–45.7</w:t>
            </w:r>
          </w:p>
        </w:tc>
      </w:tr>
      <w:tr w:rsidR="007C2765" w:rsidRPr="00E35798" w14:paraId="7BE72B40" w14:textId="77777777" w:rsidTr="006235C6">
        <w:tc>
          <w:tcPr>
            <w:tcW w:w="837" w:type="pct"/>
            <w:vAlign w:val="center"/>
          </w:tcPr>
          <w:p w14:paraId="64FCF2ED" w14:textId="77777777" w:rsidR="007C2765" w:rsidRPr="00E35798" w:rsidRDefault="007C2765" w:rsidP="00D16E24">
            <w:pPr>
              <w:pStyle w:val="OikoTables03Content"/>
              <w:spacing w:after="120" w:line="240" w:lineRule="auto"/>
              <w:rPr>
                <w:lang w:val="en-GB"/>
              </w:rPr>
            </w:pPr>
            <w:proofErr w:type="spellStart"/>
            <w:r>
              <w:rPr>
                <w:lang w:val="en-GB"/>
              </w:rPr>
              <w:t>Bogd</w:t>
            </w:r>
            <w:proofErr w:type="spellEnd"/>
          </w:p>
        </w:tc>
        <w:tc>
          <w:tcPr>
            <w:tcW w:w="686" w:type="pct"/>
            <w:vAlign w:val="center"/>
          </w:tcPr>
          <w:p w14:paraId="570055B9" w14:textId="77777777" w:rsidR="007C2765" w:rsidRPr="00E35798" w:rsidRDefault="007C2765" w:rsidP="00D16E24">
            <w:pPr>
              <w:pStyle w:val="OikoTables03Content"/>
              <w:spacing w:after="120" w:line="240" w:lineRule="auto"/>
              <w:rPr>
                <w:lang w:val="en-GB"/>
              </w:rPr>
            </w:pPr>
            <w:r>
              <w:rPr>
                <w:lang w:val="en-GB"/>
              </w:rPr>
              <w:t>Uvurkhangai</w:t>
            </w:r>
          </w:p>
        </w:tc>
        <w:tc>
          <w:tcPr>
            <w:tcW w:w="763" w:type="pct"/>
            <w:vAlign w:val="center"/>
          </w:tcPr>
          <w:p w14:paraId="42E57C10" w14:textId="77777777" w:rsidR="007C2765" w:rsidRPr="00E35798" w:rsidRDefault="007C2765" w:rsidP="00D16E24">
            <w:pPr>
              <w:pStyle w:val="OikoTables03Content"/>
              <w:spacing w:after="120" w:line="240" w:lineRule="auto"/>
              <w:rPr>
                <w:lang w:val="en-GB"/>
              </w:rPr>
            </w:pPr>
            <w:r>
              <w:rPr>
                <w:lang w:val="en-GB"/>
              </w:rPr>
              <w:t>+4.3</w:t>
            </w:r>
          </w:p>
        </w:tc>
        <w:tc>
          <w:tcPr>
            <w:tcW w:w="611" w:type="pct"/>
            <w:vAlign w:val="center"/>
          </w:tcPr>
          <w:p w14:paraId="78D55431" w14:textId="77777777" w:rsidR="007C2765" w:rsidRPr="00E35798" w:rsidRDefault="007C2765" w:rsidP="00D16E24">
            <w:pPr>
              <w:pStyle w:val="OikoTables03Content"/>
              <w:spacing w:after="120" w:line="240" w:lineRule="auto"/>
              <w:rPr>
                <w:lang w:val="en-GB"/>
              </w:rPr>
            </w:pPr>
            <w:r>
              <w:rPr>
                <w:lang w:val="en-GB"/>
              </w:rPr>
              <w:t>–15.7</w:t>
            </w:r>
          </w:p>
        </w:tc>
        <w:tc>
          <w:tcPr>
            <w:tcW w:w="674" w:type="pct"/>
            <w:vAlign w:val="center"/>
          </w:tcPr>
          <w:p w14:paraId="2B0BC899" w14:textId="77777777" w:rsidR="007C2765" w:rsidRPr="00E35798" w:rsidRDefault="007C2765" w:rsidP="00D16E24">
            <w:pPr>
              <w:pStyle w:val="OikoTables03Content"/>
              <w:spacing w:after="120" w:line="240" w:lineRule="auto"/>
              <w:rPr>
                <w:lang w:val="en-GB"/>
              </w:rPr>
            </w:pPr>
            <w:r>
              <w:rPr>
                <w:lang w:val="en-GB"/>
              </w:rPr>
              <w:t>+21.6</w:t>
            </w:r>
          </w:p>
        </w:tc>
        <w:tc>
          <w:tcPr>
            <w:tcW w:w="714" w:type="pct"/>
            <w:vAlign w:val="center"/>
          </w:tcPr>
          <w:p w14:paraId="7E1B6587" w14:textId="77777777" w:rsidR="007C2765" w:rsidRPr="00E35798" w:rsidRDefault="007C2765" w:rsidP="00D16E24">
            <w:pPr>
              <w:pStyle w:val="OikoTables03Content"/>
              <w:spacing w:after="120" w:line="240" w:lineRule="auto"/>
              <w:rPr>
                <w:lang w:val="en-GB"/>
              </w:rPr>
            </w:pPr>
            <w:r>
              <w:rPr>
                <w:lang w:val="en-GB"/>
              </w:rPr>
              <w:t>+38.7</w:t>
            </w:r>
          </w:p>
        </w:tc>
        <w:tc>
          <w:tcPr>
            <w:tcW w:w="714" w:type="pct"/>
            <w:vAlign w:val="center"/>
          </w:tcPr>
          <w:p w14:paraId="7C12E4F9" w14:textId="77777777" w:rsidR="007C2765" w:rsidRPr="00E35798" w:rsidRDefault="007C2765" w:rsidP="00D16E24">
            <w:pPr>
              <w:pStyle w:val="OikoTables03Content"/>
              <w:spacing w:after="120" w:line="240" w:lineRule="auto"/>
              <w:rPr>
                <w:lang w:val="en-GB"/>
              </w:rPr>
            </w:pPr>
            <w:r>
              <w:rPr>
                <w:lang w:val="en-GB"/>
              </w:rPr>
              <w:t>–40.1</w:t>
            </w:r>
          </w:p>
        </w:tc>
      </w:tr>
      <w:tr w:rsidR="007C2765" w:rsidRPr="00E35798" w14:paraId="05922485" w14:textId="77777777" w:rsidTr="006235C6">
        <w:tc>
          <w:tcPr>
            <w:tcW w:w="837" w:type="pct"/>
            <w:vAlign w:val="center"/>
          </w:tcPr>
          <w:p w14:paraId="6E732DC2" w14:textId="77777777" w:rsidR="007C2765" w:rsidRPr="00E35798" w:rsidRDefault="007C2765" w:rsidP="00D16E24">
            <w:pPr>
              <w:pStyle w:val="OikoTables03Content"/>
              <w:spacing w:after="120" w:line="240" w:lineRule="auto"/>
              <w:rPr>
                <w:lang w:val="en-GB"/>
              </w:rPr>
            </w:pPr>
            <w:proofErr w:type="spellStart"/>
            <w:r>
              <w:rPr>
                <w:lang w:val="en-GB"/>
              </w:rPr>
              <w:t>Baruunbayan-Ulaan</w:t>
            </w:r>
            <w:proofErr w:type="spellEnd"/>
          </w:p>
        </w:tc>
        <w:tc>
          <w:tcPr>
            <w:tcW w:w="686" w:type="pct"/>
            <w:vAlign w:val="center"/>
          </w:tcPr>
          <w:p w14:paraId="53AF60E3" w14:textId="77777777" w:rsidR="007C2765" w:rsidRPr="00E35798" w:rsidRDefault="007C2765" w:rsidP="00D16E24">
            <w:pPr>
              <w:pStyle w:val="OikoTables03Content"/>
              <w:spacing w:after="120" w:line="240" w:lineRule="auto"/>
              <w:rPr>
                <w:lang w:val="en-GB"/>
              </w:rPr>
            </w:pPr>
            <w:r>
              <w:rPr>
                <w:lang w:val="en-GB"/>
              </w:rPr>
              <w:t>Uvurkhangai</w:t>
            </w:r>
          </w:p>
        </w:tc>
        <w:tc>
          <w:tcPr>
            <w:tcW w:w="763" w:type="pct"/>
            <w:vAlign w:val="center"/>
          </w:tcPr>
          <w:p w14:paraId="0A24D696" w14:textId="77777777" w:rsidR="007C2765" w:rsidRPr="00E35798" w:rsidRDefault="007C2765" w:rsidP="00D16E24">
            <w:pPr>
              <w:pStyle w:val="OikoTables03Content"/>
              <w:spacing w:after="120" w:line="240" w:lineRule="auto"/>
              <w:rPr>
                <w:lang w:val="en-GB"/>
              </w:rPr>
            </w:pPr>
            <w:r>
              <w:rPr>
                <w:lang w:val="en-GB"/>
              </w:rPr>
              <w:t>+3.9</w:t>
            </w:r>
          </w:p>
        </w:tc>
        <w:tc>
          <w:tcPr>
            <w:tcW w:w="611" w:type="pct"/>
            <w:vAlign w:val="center"/>
          </w:tcPr>
          <w:p w14:paraId="4248DE1B" w14:textId="77777777" w:rsidR="007C2765" w:rsidRPr="00E35798" w:rsidRDefault="007C2765" w:rsidP="00D16E24">
            <w:pPr>
              <w:pStyle w:val="OikoTables03Content"/>
              <w:spacing w:after="120" w:line="240" w:lineRule="auto"/>
              <w:rPr>
                <w:lang w:val="en-GB"/>
              </w:rPr>
            </w:pPr>
            <w:r>
              <w:rPr>
                <w:lang w:val="en-GB"/>
              </w:rPr>
              <w:t>–17.7</w:t>
            </w:r>
          </w:p>
        </w:tc>
        <w:tc>
          <w:tcPr>
            <w:tcW w:w="674" w:type="pct"/>
            <w:vAlign w:val="center"/>
          </w:tcPr>
          <w:p w14:paraId="007D92B2" w14:textId="77777777" w:rsidR="007C2765" w:rsidRPr="00E35798" w:rsidRDefault="007C2765" w:rsidP="00D16E24">
            <w:pPr>
              <w:pStyle w:val="OikoTables03Content"/>
              <w:spacing w:after="120" w:line="240" w:lineRule="auto"/>
              <w:rPr>
                <w:lang w:val="en-GB"/>
              </w:rPr>
            </w:pPr>
            <w:r>
              <w:rPr>
                <w:lang w:val="en-GB"/>
              </w:rPr>
              <w:t>+22.6</w:t>
            </w:r>
          </w:p>
        </w:tc>
        <w:tc>
          <w:tcPr>
            <w:tcW w:w="714" w:type="pct"/>
            <w:vAlign w:val="center"/>
          </w:tcPr>
          <w:p w14:paraId="6C7164D1" w14:textId="77777777" w:rsidR="007C2765" w:rsidRPr="00E35798" w:rsidRDefault="007C2765" w:rsidP="00D16E24">
            <w:pPr>
              <w:pStyle w:val="OikoTables03Content"/>
              <w:spacing w:after="120" w:line="240" w:lineRule="auto"/>
              <w:rPr>
                <w:lang w:val="en-GB"/>
              </w:rPr>
            </w:pPr>
            <w:r>
              <w:rPr>
                <w:lang w:val="en-GB"/>
              </w:rPr>
              <w:t>+41.4</w:t>
            </w:r>
          </w:p>
        </w:tc>
        <w:tc>
          <w:tcPr>
            <w:tcW w:w="714" w:type="pct"/>
            <w:vAlign w:val="center"/>
          </w:tcPr>
          <w:p w14:paraId="5535A1EF" w14:textId="77777777" w:rsidR="007C2765" w:rsidRPr="00E35798" w:rsidRDefault="007C2765" w:rsidP="00D16E24">
            <w:pPr>
              <w:pStyle w:val="OikoTables03Content"/>
              <w:spacing w:after="120" w:line="240" w:lineRule="auto"/>
              <w:rPr>
                <w:lang w:val="en-GB"/>
              </w:rPr>
            </w:pPr>
            <w:r>
              <w:rPr>
                <w:lang w:val="en-GB"/>
              </w:rPr>
              <w:t>–41.6</w:t>
            </w:r>
          </w:p>
        </w:tc>
      </w:tr>
      <w:tr w:rsidR="007C2765" w:rsidRPr="00E35798" w14:paraId="2E8B2192" w14:textId="77777777" w:rsidTr="006235C6">
        <w:tc>
          <w:tcPr>
            <w:tcW w:w="837" w:type="pct"/>
            <w:vAlign w:val="center"/>
          </w:tcPr>
          <w:p w14:paraId="528FBBDC" w14:textId="77777777" w:rsidR="007C2765" w:rsidRPr="00E35798" w:rsidRDefault="007C2765" w:rsidP="00D16E24">
            <w:pPr>
              <w:pStyle w:val="OikoTables03Content"/>
              <w:spacing w:after="120" w:line="240" w:lineRule="auto"/>
              <w:rPr>
                <w:lang w:val="en-GB"/>
              </w:rPr>
            </w:pPr>
            <w:proofErr w:type="spellStart"/>
            <w:r>
              <w:rPr>
                <w:lang w:val="en-GB"/>
              </w:rPr>
              <w:t>Mandalgobi</w:t>
            </w:r>
            <w:proofErr w:type="spellEnd"/>
          </w:p>
        </w:tc>
        <w:tc>
          <w:tcPr>
            <w:tcW w:w="686" w:type="pct"/>
            <w:vAlign w:val="center"/>
          </w:tcPr>
          <w:p w14:paraId="6F26D3F1" w14:textId="3F714B3C" w:rsidR="007C2765" w:rsidRPr="00E35798" w:rsidRDefault="00641399" w:rsidP="00D16E24">
            <w:pPr>
              <w:pStyle w:val="OikoTables03Content"/>
              <w:spacing w:after="120" w:line="240" w:lineRule="auto"/>
              <w:rPr>
                <w:lang w:val="en-GB"/>
              </w:rPr>
            </w:pPr>
            <w:r>
              <w:rPr>
                <w:lang w:val="en-GB"/>
              </w:rPr>
              <w:t>Dundgovi</w:t>
            </w:r>
          </w:p>
        </w:tc>
        <w:tc>
          <w:tcPr>
            <w:tcW w:w="763" w:type="pct"/>
            <w:vAlign w:val="center"/>
          </w:tcPr>
          <w:p w14:paraId="3F9DA968" w14:textId="77777777" w:rsidR="007C2765" w:rsidRPr="00E35798" w:rsidRDefault="007C2765" w:rsidP="00D16E24">
            <w:pPr>
              <w:pStyle w:val="OikoTables03Content"/>
              <w:spacing w:after="120" w:line="240" w:lineRule="auto"/>
              <w:rPr>
                <w:lang w:val="en-GB"/>
              </w:rPr>
            </w:pPr>
            <w:r>
              <w:rPr>
                <w:lang w:val="en-GB"/>
              </w:rPr>
              <w:t>+3.5 (period mean)</w:t>
            </w:r>
          </w:p>
        </w:tc>
        <w:tc>
          <w:tcPr>
            <w:tcW w:w="611" w:type="pct"/>
            <w:vAlign w:val="center"/>
          </w:tcPr>
          <w:p w14:paraId="1E78C124" w14:textId="77777777" w:rsidR="007C2765" w:rsidRPr="00E35798" w:rsidRDefault="007C2765" w:rsidP="00D16E24">
            <w:pPr>
              <w:pStyle w:val="OikoTables03Content"/>
              <w:spacing w:after="120" w:line="240" w:lineRule="auto"/>
              <w:rPr>
                <w:lang w:val="en-GB"/>
              </w:rPr>
            </w:pPr>
            <w:r>
              <w:rPr>
                <w:lang w:val="en-GB"/>
              </w:rPr>
              <w:t>≈ –17</w:t>
            </w:r>
          </w:p>
        </w:tc>
        <w:tc>
          <w:tcPr>
            <w:tcW w:w="674" w:type="pct"/>
            <w:vAlign w:val="center"/>
          </w:tcPr>
          <w:p w14:paraId="19964B10" w14:textId="77777777" w:rsidR="007C2765" w:rsidRPr="00E35798" w:rsidRDefault="007C2765" w:rsidP="00D16E24">
            <w:pPr>
              <w:pStyle w:val="OikoTables03Content"/>
              <w:spacing w:after="120" w:line="240" w:lineRule="auto"/>
              <w:rPr>
                <w:lang w:val="en-GB"/>
              </w:rPr>
            </w:pPr>
            <w:r>
              <w:rPr>
                <w:lang w:val="en-GB"/>
              </w:rPr>
              <w:t>+20–21</w:t>
            </w:r>
          </w:p>
        </w:tc>
        <w:tc>
          <w:tcPr>
            <w:tcW w:w="714" w:type="pct"/>
            <w:vAlign w:val="center"/>
          </w:tcPr>
          <w:p w14:paraId="35CA5524" w14:textId="77777777" w:rsidR="007C2765" w:rsidRPr="00E35798" w:rsidRDefault="007C2765" w:rsidP="00D16E24">
            <w:pPr>
              <w:pStyle w:val="OikoTables03Content"/>
              <w:spacing w:after="120" w:line="240" w:lineRule="auto"/>
              <w:rPr>
                <w:lang w:val="en-GB"/>
              </w:rPr>
            </w:pPr>
            <w:r>
              <w:rPr>
                <w:lang w:val="en-GB"/>
              </w:rPr>
              <w:t>&gt; +35</w:t>
            </w:r>
          </w:p>
        </w:tc>
        <w:tc>
          <w:tcPr>
            <w:tcW w:w="714" w:type="pct"/>
            <w:vAlign w:val="center"/>
          </w:tcPr>
          <w:p w14:paraId="2E3125FD" w14:textId="77777777" w:rsidR="007C2765" w:rsidRPr="00E35798" w:rsidRDefault="007C2765" w:rsidP="00D16E24">
            <w:pPr>
              <w:pStyle w:val="OikoTables03Content"/>
              <w:spacing w:after="120" w:line="240" w:lineRule="auto"/>
              <w:rPr>
                <w:lang w:val="en-GB"/>
              </w:rPr>
            </w:pPr>
            <w:r>
              <w:rPr>
                <w:lang w:val="en-GB"/>
              </w:rPr>
              <w:t>–35.9 (2020)</w:t>
            </w:r>
          </w:p>
        </w:tc>
      </w:tr>
      <w:tr w:rsidR="007C2765" w:rsidRPr="00E35798" w14:paraId="3E7FF8B6" w14:textId="77777777" w:rsidTr="006235C6">
        <w:tc>
          <w:tcPr>
            <w:tcW w:w="837" w:type="pct"/>
            <w:vAlign w:val="center"/>
          </w:tcPr>
          <w:p w14:paraId="2A939C88" w14:textId="77777777" w:rsidR="007C2765" w:rsidRPr="00E35798" w:rsidRDefault="007C2765" w:rsidP="00D16E24">
            <w:pPr>
              <w:pStyle w:val="OikoTables03Content"/>
              <w:spacing w:after="120" w:line="240" w:lineRule="auto"/>
              <w:rPr>
                <w:lang w:val="en-GB"/>
              </w:rPr>
            </w:pPr>
            <w:proofErr w:type="spellStart"/>
            <w:r>
              <w:rPr>
                <w:lang w:val="en-GB"/>
              </w:rPr>
              <w:t>Erdenedalai</w:t>
            </w:r>
            <w:proofErr w:type="spellEnd"/>
          </w:p>
        </w:tc>
        <w:tc>
          <w:tcPr>
            <w:tcW w:w="686" w:type="pct"/>
            <w:vAlign w:val="center"/>
          </w:tcPr>
          <w:p w14:paraId="7BE8D39C" w14:textId="1A3452AC" w:rsidR="007C2765" w:rsidRPr="00E35798" w:rsidRDefault="00641399" w:rsidP="00D16E24">
            <w:pPr>
              <w:pStyle w:val="OikoTables03Content"/>
              <w:spacing w:after="120" w:line="240" w:lineRule="auto"/>
              <w:rPr>
                <w:lang w:val="en-GB"/>
              </w:rPr>
            </w:pPr>
            <w:r>
              <w:rPr>
                <w:lang w:val="en-GB"/>
              </w:rPr>
              <w:t>Dundgovi</w:t>
            </w:r>
          </w:p>
        </w:tc>
        <w:tc>
          <w:tcPr>
            <w:tcW w:w="763" w:type="pct"/>
            <w:vAlign w:val="center"/>
          </w:tcPr>
          <w:p w14:paraId="2E0B0F71" w14:textId="77777777" w:rsidR="007C2765" w:rsidRPr="00E35798" w:rsidRDefault="007C2765" w:rsidP="00D16E24">
            <w:pPr>
              <w:pStyle w:val="OikoTables03Content"/>
              <w:spacing w:after="120" w:line="240" w:lineRule="auto"/>
              <w:rPr>
                <w:lang w:val="en-GB"/>
              </w:rPr>
            </w:pPr>
            <w:r>
              <w:rPr>
                <w:lang w:val="en-GB"/>
              </w:rPr>
              <w:t>+1.1 (period mean)</w:t>
            </w:r>
          </w:p>
        </w:tc>
        <w:tc>
          <w:tcPr>
            <w:tcW w:w="611" w:type="pct"/>
            <w:vAlign w:val="center"/>
          </w:tcPr>
          <w:p w14:paraId="795C40FB" w14:textId="77777777" w:rsidR="007C2765" w:rsidRPr="00E35798" w:rsidRDefault="007C2765" w:rsidP="00D16E24">
            <w:pPr>
              <w:pStyle w:val="OikoTables03Content"/>
              <w:spacing w:after="120" w:line="240" w:lineRule="auto"/>
              <w:rPr>
                <w:lang w:val="en-GB"/>
              </w:rPr>
            </w:pPr>
            <w:r>
              <w:rPr>
                <w:lang w:val="en-GB"/>
              </w:rPr>
              <w:t>≈ –17</w:t>
            </w:r>
          </w:p>
        </w:tc>
        <w:tc>
          <w:tcPr>
            <w:tcW w:w="674" w:type="pct"/>
            <w:vAlign w:val="center"/>
          </w:tcPr>
          <w:p w14:paraId="6335E2B4" w14:textId="77777777" w:rsidR="007C2765" w:rsidRPr="00E35798" w:rsidRDefault="007C2765" w:rsidP="00D16E24">
            <w:pPr>
              <w:pStyle w:val="OikoTables03Content"/>
              <w:spacing w:after="120" w:line="240" w:lineRule="auto"/>
              <w:rPr>
                <w:lang w:val="en-GB"/>
              </w:rPr>
            </w:pPr>
            <w:r>
              <w:rPr>
                <w:lang w:val="en-GB"/>
              </w:rPr>
              <w:t>≈ +20</w:t>
            </w:r>
          </w:p>
        </w:tc>
        <w:tc>
          <w:tcPr>
            <w:tcW w:w="714" w:type="pct"/>
            <w:vAlign w:val="center"/>
          </w:tcPr>
          <w:p w14:paraId="2547079B" w14:textId="77777777" w:rsidR="007C2765" w:rsidRPr="00E35798" w:rsidRDefault="007C2765" w:rsidP="00D16E24">
            <w:pPr>
              <w:pStyle w:val="OikoTables03Content"/>
              <w:spacing w:after="120" w:line="240" w:lineRule="auto"/>
              <w:rPr>
                <w:lang w:val="en-GB"/>
              </w:rPr>
            </w:pPr>
            <w:r>
              <w:rPr>
                <w:lang w:val="en-GB"/>
              </w:rPr>
              <w:t>+36.7</w:t>
            </w:r>
          </w:p>
        </w:tc>
        <w:tc>
          <w:tcPr>
            <w:tcW w:w="714" w:type="pct"/>
            <w:vAlign w:val="center"/>
          </w:tcPr>
          <w:p w14:paraId="30FB9495" w14:textId="77777777" w:rsidR="007C2765" w:rsidRPr="00E35798" w:rsidRDefault="007C2765" w:rsidP="00D16E24">
            <w:pPr>
              <w:pStyle w:val="OikoTables03Content"/>
              <w:spacing w:after="120" w:line="240" w:lineRule="auto"/>
              <w:rPr>
                <w:lang w:val="en-GB"/>
              </w:rPr>
            </w:pPr>
            <w:r>
              <w:rPr>
                <w:lang w:val="en-GB"/>
              </w:rPr>
              <w:t>–38.7</w:t>
            </w:r>
          </w:p>
        </w:tc>
      </w:tr>
      <w:tr w:rsidR="007C2765" w:rsidRPr="00E35798" w14:paraId="4B569356" w14:textId="77777777" w:rsidTr="006235C6">
        <w:tc>
          <w:tcPr>
            <w:tcW w:w="837" w:type="pct"/>
            <w:vAlign w:val="center"/>
          </w:tcPr>
          <w:p w14:paraId="4E753D20" w14:textId="77777777" w:rsidR="007C2765" w:rsidRPr="00E35798" w:rsidRDefault="007C2765" w:rsidP="00D16E24">
            <w:pPr>
              <w:pStyle w:val="OikoTables03Content"/>
              <w:spacing w:after="120" w:line="240" w:lineRule="auto"/>
              <w:rPr>
                <w:lang w:val="en-GB"/>
              </w:rPr>
            </w:pPr>
            <w:r>
              <w:rPr>
                <w:lang w:val="en-GB"/>
              </w:rPr>
              <w:t>Sayhan-</w:t>
            </w:r>
            <w:proofErr w:type="spellStart"/>
            <w:r>
              <w:rPr>
                <w:lang w:val="en-GB"/>
              </w:rPr>
              <w:t>Ovoo</w:t>
            </w:r>
            <w:proofErr w:type="spellEnd"/>
          </w:p>
        </w:tc>
        <w:tc>
          <w:tcPr>
            <w:tcW w:w="686" w:type="pct"/>
            <w:vAlign w:val="center"/>
          </w:tcPr>
          <w:p w14:paraId="02B6DAC2" w14:textId="12A5A4AD" w:rsidR="007C2765" w:rsidRPr="00E35798" w:rsidRDefault="00641399" w:rsidP="00D16E24">
            <w:pPr>
              <w:pStyle w:val="OikoTables03Content"/>
              <w:spacing w:after="120" w:line="240" w:lineRule="auto"/>
              <w:rPr>
                <w:lang w:val="en-GB"/>
              </w:rPr>
            </w:pPr>
            <w:r>
              <w:rPr>
                <w:lang w:val="en-GB"/>
              </w:rPr>
              <w:t>Dundgovi</w:t>
            </w:r>
          </w:p>
        </w:tc>
        <w:tc>
          <w:tcPr>
            <w:tcW w:w="763" w:type="pct"/>
            <w:vAlign w:val="center"/>
          </w:tcPr>
          <w:p w14:paraId="3BF2E7B2" w14:textId="77777777" w:rsidR="007C2765" w:rsidRPr="00E35798" w:rsidRDefault="007C2765" w:rsidP="00D16E24">
            <w:pPr>
              <w:pStyle w:val="OikoTables03Content"/>
              <w:spacing w:after="120" w:line="240" w:lineRule="auto"/>
              <w:rPr>
                <w:lang w:val="en-GB"/>
              </w:rPr>
            </w:pPr>
            <w:r>
              <w:rPr>
                <w:lang w:val="en-GB"/>
              </w:rPr>
              <w:t>+4.5 (period mean)</w:t>
            </w:r>
          </w:p>
        </w:tc>
        <w:tc>
          <w:tcPr>
            <w:tcW w:w="611" w:type="pct"/>
            <w:vAlign w:val="center"/>
          </w:tcPr>
          <w:p w14:paraId="70AF5960" w14:textId="77777777" w:rsidR="007C2765" w:rsidRPr="00E35798" w:rsidRDefault="007C2765" w:rsidP="00D16E24">
            <w:pPr>
              <w:pStyle w:val="OikoTables03Content"/>
              <w:spacing w:after="120" w:line="240" w:lineRule="auto"/>
              <w:rPr>
                <w:lang w:val="en-GB"/>
              </w:rPr>
            </w:pPr>
            <w:r>
              <w:rPr>
                <w:lang w:val="en-GB"/>
              </w:rPr>
              <w:t>≈ –15</w:t>
            </w:r>
          </w:p>
        </w:tc>
        <w:tc>
          <w:tcPr>
            <w:tcW w:w="674" w:type="pct"/>
            <w:vAlign w:val="center"/>
          </w:tcPr>
          <w:p w14:paraId="1204B42F" w14:textId="77777777" w:rsidR="007C2765" w:rsidRPr="00E35798" w:rsidRDefault="007C2765" w:rsidP="00D16E24">
            <w:pPr>
              <w:pStyle w:val="OikoTables03Content"/>
              <w:spacing w:after="120" w:line="240" w:lineRule="auto"/>
              <w:rPr>
                <w:lang w:val="en-GB"/>
              </w:rPr>
            </w:pPr>
            <w:r>
              <w:rPr>
                <w:lang w:val="en-GB"/>
              </w:rPr>
              <w:t>≈ +21</w:t>
            </w:r>
          </w:p>
        </w:tc>
        <w:tc>
          <w:tcPr>
            <w:tcW w:w="714" w:type="pct"/>
            <w:vAlign w:val="center"/>
          </w:tcPr>
          <w:p w14:paraId="59812FBC" w14:textId="77777777" w:rsidR="007C2765" w:rsidRPr="00E35798" w:rsidRDefault="007C2765" w:rsidP="00D16E24">
            <w:pPr>
              <w:pStyle w:val="OikoTables03Content"/>
              <w:spacing w:after="120" w:line="240" w:lineRule="auto"/>
              <w:rPr>
                <w:lang w:val="en-GB"/>
              </w:rPr>
            </w:pPr>
            <w:r>
              <w:rPr>
                <w:lang w:val="en-GB"/>
              </w:rPr>
              <w:t>+36.7</w:t>
            </w:r>
          </w:p>
        </w:tc>
        <w:tc>
          <w:tcPr>
            <w:tcW w:w="714" w:type="pct"/>
            <w:vAlign w:val="center"/>
          </w:tcPr>
          <w:p w14:paraId="4C113622" w14:textId="77777777" w:rsidR="007C2765" w:rsidRPr="00E35798" w:rsidRDefault="007C2765" w:rsidP="00D16E24">
            <w:pPr>
              <w:pStyle w:val="OikoTables03Content"/>
              <w:spacing w:after="120" w:line="240" w:lineRule="auto"/>
              <w:rPr>
                <w:lang w:val="en-GB"/>
              </w:rPr>
            </w:pPr>
            <w:r>
              <w:rPr>
                <w:lang w:val="en-GB"/>
              </w:rPr>
              <w:t>–41.0 (2002)</w:t>
            </w:r>
          </w:p>
        </w:tc>
      </w:tr>
      <w:tr w:rsidR="007C2765" w:rsidRPr="00E35798" w14:paraId="686B8A3F" w14:textId="77777777" w:rsidTr="006235C6">
        <w:tc>
          <w:tcPr>
            <w:tcW w:w="837" w:type="pct"/>
            <w:vAlign w:val="center"/>
          </w:tcPr>
          <w:p w14:paraId="535F340A" w14:textId="77777777" w:rsidR="007C2765" w:rsidRPr="00E35798" w:rsidRDefault="007C2765" w:rsidP="00D16E24">
            <w:pPr>
              <w:pStyle w:val="OikoTables03Content"/>
              <w:spacing w:after="120" w:line="240" w:lineRule="auto"/>
              <w:rPr>
                <w:lang w:val="en-GB"/>
              </w:rPr>
            </w:pPr>
            <w:proofErr w:type="spellStart"/>
            <w:r>
              <w:rPr>
                <w:lang w:val="en-GB"/>
              </w:rPr>
              <w:t>Gurvansaikhan</w:t>
            </w:r>
            <w:proofErr w:type="spellEnd"/>
          </w:p>
        </w:tc>
        <w:tc>
          <w:tcPr>
            <w:tcW w:w="686" w:type="pct"/>
            <w:vAlign w:val="center"/>
          </w:tcPr>
          <w:p w14:paraId="065C4FC2" w14:textId="7F9593B7" w:rsidR="007C2765" w:rsidRPr="00E35798" w:rsidRDefault="00641399" w:rsidP="00D16E24">
            <w:pPr>
              <w:pStyle w:val="OikoTables03Content"/>
              <w:spacing w:after="120" w:line="240" w:lineRule="auto"/>
              <w:rPr>
                <w:lang w:val="en-GB"/>
              </w:rPr>
            </w:pPr>
            <w:r>
              <w:rPr>
                <w:lang w:val="en-GB"/>
              </w:rPr>
              <w:t>Dundgovi</w:t>
            </w:r>
          </w:p>
        </w:tc>
        <w:tc>
          <w:tcPr>
            <w:tcW w:w="763" w:type="pct"/>
            <w:vAlign w:val="center"/>
          </w:tcPr>
          <w:p w14:paraId="1E6C7D13" w14:textId="77777777" w:rsidR="007C2765" w:rsidRPr="00E35798" w:rsidRDefault="007C2765" w:rsidP="00D16E24">
            <w:pPr>
              <w:pStyle w:val="OikoTables03Content"/>
              <w:spacing w:after="120" w:line="240" w:lineRule="auto"/>
              <w:rPr>
                <w:lang w:val="en-GB"/>
              </w:rPr>
            </w:pPr>
            <w:r>
              <w:rPr>
                <w:lang w:val="en-GB"/>
              </w:rPr>
              <w:t>+4.5 (period mean)</w:t>
            </w:r>
          </w:p>
        </w:tc>
        <w:tc>
          <w:tcPr>
            <w:tcW w:w="611" w:type="pct"/>
            <w:vAlign w:val="center"/>
          </w:tcPr>
          <w:p w14:paraId="43071333" w14:textId="77777777" w:rsidR="007C2765" w:rsidRPr="00E35798" w:rsidRDefault="007C2765" w:rsidP="00D16E24">
            <w:pPr>
              <w:pStyle w:val="OikoTables03Content"/>
              <w:spacing w:after="120" w:line="240" w:lineRule="auto"/>
              <w:rPr>
                <w:lang w:val="en-GB"/>
              </w:rPr>
            </w:pPr>
            <w:r>
              <w:rPr>
                <w:lang w:val="en-GB"/>
              </w:rPr>
              <w:t>≈ –15</w:t>
            </w:r>
          </w:p>
        </w:tc>
        <w:tc>
          <w:tcPr>
            <w:tcW w:w="674" w:type="pct"/>
            <w:vAlign w:val="center"/>
          </w:tcPr>
          <w:p w14:paraId="01786871" w14:textId="77777777" w:rsidR="007C2765" w:rsidRPr="00E35798" w:rsidRDefault="007C2765" w:rsidP="00D16E24">
            <w:pPr>
              <w:pStyle w:val="OikoTables03Content"/>
              <w:spacing w:after="120" w:line="240" w:lineRule="auto"/>
              <w:rPr>
                <w:lang w:val="en-GB"/>
              </w:rPr>
            </w:pPr>
            <w:r>
              <w:rPr>
                <w:lang w:val="en-GB"/>
              </w:rPr>
              <w:t>≈ +22</w:t>
            </w:r>
          </w:p>
        </w:tc>
        <w:tc>
          <w:tcPr>
            <w:tcW w:w="714" w:type="pct"/>
            <w:vAlign w:val="center"/>
          </w:tcPr>
          <w:p w14:paraId="034B7386" w14:textId="77777777" w:rsidR="007C2765" w:rsidRPr="00E35798" w:rsidRDefault="007C2765" w:rsidP="00D16E24">
            <w:pPr>
              <w:pStyle w:val="OikoTables03Content"/>
              <w:spacing w:after="120" w:line="240" w:lineRule="auto"/>
              <w:rPr>
                <w:lang w:val="en-GB"/>
              </w:rPr>
            </w:pPr>
            <w:r>
              <w:rPr>
                <w:lang w:val="en-GB"/>
              </w:rPr>
              <w:t>+41.0 (2017)</w:t>
            </w:r>
          </w:p>
        </w:tc>
        <w:tc>
          <w:tcPr>
            <w:tcW w:w="714" w:type="pct"/>
            <w:vAlign w:val="center"/>
          </w:tcPr>
          <w:p w14:paraId="009B7F33" w14:textId="77777777" w:rsidR="007C2765" w:rsidRPr="00E35798" w:rsidRDefault="007C2765" w:rsidP="00D16E24">
            <w:pPr>
              <w:pStyle w:val="OikoTables03Content"/>
              <w:spacing w:after="120" w:line="240" w:lineRule="auto"/>
              <w:rPr>
                <w:lang w:val="en-GB"/>
              </w:rPr>
            </w:pPr>
            <w:r>
              <w:rPr>
                <w:lang w:val="en-GB"/>
              </w:rPr>
              <w:t>–35.0 (period)</w:t>
            </w:r>
          </w:p>
        </w:tc>
      </w:tr>
      <w:tr w:rsidR="00563DA0" w:rsidRPr="00E35798" w14:paraId="3659D0E4" w14:textId="77777777" w:rsidTr="006235C6">
        <w:tc>
          <w:tcPr>
            <w:tcW w:w="5000" w:type="pct"/>
            <w:gridSpan w:val="7"/>
            <w:vAlign w:val="center"/>
          </w:tcPr>
          <w:p w14:paraId="6A46B9FB" w14:textId="1182F281" w:rsidR="00563DA0" w:rsidRPr="00E35798" w:rsidRDefault="008907E6" w:rsidP="00D16E24">
            <w:pPr>
              <w:pStyle w:val="OikoTables03Content"/>
              <w:spacing w:after="120" w:line="240" w:lineRule="auto"/>
              <w:rPr>
                <w:lang w:val="en-GB"/>
              </w:rPr>
            </w:pPr>
            <w:r>
              <w:rPr>
                <w:lang w:val="en-GB"/>
              </w:rPr>
              <w:t xml:space="preserve">Sources: Gazar </w:t>
            </w:r>
            <w:proofErr w:type="spellStart"/>
            <w:r>
              <w:rPr>
                <w:lang w:val="en-GB"/>
              </w:rPr>
              <w:t>Delkhii</w:t>
            </w:r>
            <w:proofErr w:type="spellEnd"/>
            <w:r>
              <w:rPr>
                <w:lang w:val="en-GB"/>
              </w:rPr>
              <w:t xml:space="preserve"> LLC (</w:t>
            </w:r>
            <w:proofErr w:type="gramStart"/>
            <w:r>
              <w:rPr>
                <w:lang w:val="en-GB"/>
              </w:rPr>
              <w:t>2025)</w:t>
            </w:r>
            <w:r w:rsidRPr="002F7CA0">
              <w:rPr>
                <w:vertAlign w:val="superscript"/>
                <w:lang w:val="en-GB"/>
              </w:rPr>
              <w:t>[</w:t>
            </w:r>
            <w:proofErr w:type="gramEnd"/>
            <w:r w:rsidRPr="002F7CA0">
              <w:rPr>
                <w:vertAlign w:val="superscript"/>
                <w:lang w:val="en-GB"/>
              </w:rPr>
              <w:t>21]</w:t>
            </w:r>
            <w:r>
              <w:rPr>
                <w:lang w:val="en-GB"/>
              </w:rPr>
              <w:t>; Department of Environment and Tourism of Dundgovi aimag (</w:t>
            </w:r>
            <w:proofErr w:type="gramStart"/>
            <w:r>
              <w:rPr>
                <w:lang w:val="en-GB"/>
              </w:rPr>
              <w:t>2023)</w:t>
            </w:r>
            <w:r w:rsidRPr="002F7CA0">
              <w:rPr>
                <w:vertAlign w:val="superscript"/>
                <w:lang w:val="en-GB"/>
              </w:rPr>
              <w:t>[</w:t>
            </w:r>
            <w:proofErr w:type="gramEnd"/>
            <w:r w:rsidRPr="002F7CA0">
              <w:rPr>
                <w:vertAlign w:val="superscript"/>
                <w:lang w:val="en-GB"/>
              </w:rPr>
              <w:t>11]</w:t>
            </w:r>
            <w:r>
              <w:rPr>
                <w:lang w:val="en-GB"/>
              </w:rPr>
              <w:t>; Governor’s Office of Dundgovi aimag (2022</w:t>
            </w:r>
            <w:proofErr w:type="gramStart"/>
            <w:r>
              <w:rPr>
                <w:lang w:val="en-GB"/>
              </w:rPr>
              <w:t>a)</w:t>
            </w:r>
            <w:r w:rsidRPr="002F7CA0">
              <w:rPr>
                <w:vertAlign w:val="superscript"/>
                <w:lang w:val="en-GB"/>
              </w:rPr>
              <w:t>[</w:t>
            </w:r>
            <w:proofErr w:type="gramEnd"/>
            <w:r w:rsidRPr="002F7CA0">
              <w:rPr>
                <w:vertAlign w:val="superscript"/>
                <w:lang w:val="en-GB"/>
              </w:rPr>
              <w:t>24]</w:t>
            </w:r>
            <w:r>
              <w:rPr>
                <w:lang w:val="en-GB"/>
              </w:rPr>
              <w:t>; Governor’s Office of Dundgovi aimag (2022</w:t>
            </w:r>
            <w:proofErr w:type="gramStart"/>
            <w:r>
              <w:rPr>
                <w:lang w:val="en-GB"/>
              </w:rPr>
              <w:t>b)</w:t>
            </w:r>
            <w:r w:rsidRPr="002F7CA0">
              <w:rPr>
                <w:vertAlign w:val="superscript"/>
                <w:lang w:val="en-GB"/>
              </w:rPr>
              <w:t>[</w:t>
            </w:r>
            <w:proofErr w:type="gramEnd"/>
            <w:r w:rsidRPr="002F7CA0">
              <w:rPr>
                <w:vertAlign w:val="superscript"/>
                <w:lang w:val="en-GB"/>
              </w:rPr>
              <w:t>26]</w:t>
            </w:r>
            <w:r>
              <w:rPr>
                <w:lang w:val="en-GB"/>
              </w:rPr>
              <w:t>, IRIMHE (</w:t>
            </w:r>
            <w:proofErr w:type="gramStart"/>
            <w:r>
              <w:rPr>
                <w:lang w:val="en-GB"/>
              </w:rPr>
              <w:t>2024)</w:t>
            </w:r>
            <w:r w:rsidRPr="002F7CA0">
              <w:rPr>
                <w:vertAlign w:val="superscript"/>
                <w:lang w:val="en-GB"/>
              </w:rPr>
              <w:t>[</w:t>
            </w:r>
            <w:proofErr w:type="gramEnd"/>
            <w:r w:rsidRPr="002F7CA0">
              <w:rPr>
                <w:vertAlign w:val="superscript"/>
                <w:lang w:val="en-GB"/>
              </w:rPr>
              <w:t>27]</w:t>
            </w:r>
          </w:p>
        </w:tc>
      </w:tr>
    </w:tbl>
    <w:p w14:paraId="0AA36122" w14:textId="77777777" w:rsidR="007C2765" w:rsidRPr="00E35798" w:rsidRDefault="007C2765" w:rsidP="00EB489E"/>
    <w:p w14:paraId="44501A8B" w14:textId="48116F13" w:rsidR="00AF1E6C" w:rsidRPr="00E35798" w:rsidRDefault="00AF1E6C" w:rsidP="00D16E24">
      <w:pPr>
        <w:pStyle w:val="Heading3"/>
        <w:spacing w:line="240" w:lineRule="auto"/>
        <w:contextualSpacing w:val="0"/>
      </w:pPr>
      <w:bookmarkStart w:id="41" w:name="_Toc233981256"/>
      <w:r>
        <w:t>Precipitation</w:t>
      </w:r>
      <w:bookmarkEnd w:id="41"/>
    </w:p>
    <w:p w14:paraId="5A421C50" w14:textId="77777777" w:rsidR="00865338" w:rsidRPr="00E35798" w:rsidRDefault="00865338" w:rsidP="00EB489E">
      <w:r>
        <w:t>Precipitation differs sharply between the two provinces and this difference — more than any other single factor — drives divergent irrigation system design.</w:t>
      </w:r>
    </w:p>
    <w:p w14:paraId="36F9F5D4" w14:textId="3133B564" w:rsidR="00546F49" w:rsidRPr="00E35798" w:rsidRDefault="00546F49" w:rsidP="00D16E24">
      <w:pPr>
        <w:suppressAutoHyphens/>
        <w:spacing w:before="120" w:after="120" w:line="240" w:lineRule="auto"/>
        <w:contextualSpacing w:val="0"/>
        <w:rPr>
          <w:rFonts w:eastAsia="Times New Roman" w:cs="Times New Roman"/>
          <w:szCs w:val="24"/>
        </w:rPr>
      </w:pPr>
      <w:proofErr w:type="spellStart"/>
      <w:r>
        <w:rPr>
          <w:rFonts w:eastAsia="Times New Roman" w:cs="Times New Roman"/>
          <w:szCs w:val="24"/>
        </w:rPr>
        <w:t>Uvurkhangai’s</w:t>
      </w:r>
      <w:proofErr w:type="spellEnd"/>
      <w:r>
        <w:rPr>
          <w:rFonts w:eastAsia="Times New Roman" w:cs="Times New Roman"/>
          <w:szCs w:val="24"/>
        </w:rPr>
        <w:t xml:space="preserve"> annual precipitation ranges from 80.3 mm in the southern </w:t>
      </w:r>
      <w:proofErr w:type="spellStart"/>
      <w:r>
        <w:rPr>
          <w:rFonts w:eastAsia="Times New Roman" w:cs="Times New Roman"/>
          <w:szCs w:val="24"/>
        </w:rPr>
        <w:t>Baruunbayan-Ulaan</w:t>
      </w:r>
      <w:proofErr w:type="spellEnd"/>
      <w:r>
        <w:rPr>
          <w:rFonts w:eastAsia="Times New Roman" w:cs="Times New Roman"/>
          <w:szCs w:val="24"/>
        </w:rPr>
        <w:t xml:space="preserve"> soum to 306.8 mm in the northern Kharkhorin (1991–2020 norms).</w:t>
      </w:r>
      <w:r>
        <w:rPr>
          <w:vertAlign w:val="superscript"/>
        </w:rPr>
        <w:t>[21]</w:t>
      </w:r>
      <w:r>
        <w:rPr>
          <w:rFonts w:eastAsia="Times New Roman" w:cs="Times New Roman"/>
          <w:szCs w:val="24"/>
        </w:rPr>
        <w:t xml:space="preserve"> The provincial mean is approximately 200–250 mm/year, distributed across a sharp north–south gradient. Roughly 70–80 % of the annual total falls between May and September, concentrated in July and August: at </w:t>
      </w:r>
      <w:proofErr w:type="spellStart"/>
      <w:r>
        <w:rPr>
          <w:rFonts w:eastAsia="Times New Roman" w:cs="Times New Roman"/>
          <w:szCs w:val="24"/>
        </w:rPr>
        <w:t>Arvaikheer</w:t>
      </w:r>
      <w:proofErr w:type="spellEnd"/>
      <w:r>
        <w:rPr>
          <w:rFonts w:eastAsia="Times New Roman" w:cs="Times New Roman"/>
          <w:szCs w:val="24"/>
        </w:rPr>
        <w:t xml:space="preserve"> the July mean is 84.5 mm and the August mean 60.7 mm — together accounting for over 60 % of the annual total of 234.1 mm. At </w:t>
      </w:r>
      <w:proofErr w:type="spellStart"/>
      <w:r>
        <w:rPr>
          <w:rFonts w:eastAsia="Times New Roman" w:cs="Times New Roman"/>
          <w:szCs w:val="24"/>
        </w:rPr>
        <w:t>Khujirt</w:t>
      </w:r>
      <w:proofErr w:type="spellEnd"/>
      <w:r>
        <w:rPr>
          <w:rFonts w:eastAsia="Times New Roman" w:cs="Times New Roman"/>
          <w:szCs w:val="24"/>
        </w:rPr>
        <w:t xml:space="preserve"> and </w:t>
      </w:r>
      <w:proofErr w:type="spellStart"/>
      <w:r>
        <w:rPr>
          <w:rFonts w:eastAsia="Times New Roman" w:cs="Times New Roman"/>
          <w:szCs w:val="24"/>
        </w:rPr>
        <w:t>Khharkhorin</w:t>
      </w:r>
      <w:proofErr w:type="spellEnd"/>
      <w:r>
        <w:rPr>
          <w:rFonts w:eastAsia="Times New Roman" w:cs="Times New Roman"/>
          <w:szCs w:val="24"/>
        </w:rPr>
        <w:t>, the wettest stations of the province, totals exceed 270 mm and 300 mm respectively. Daily precipitation maxima recorded over the reference period reach 117.0 mm (</w:t>
      </w:r>
      <w:proofErr w:type="spellStart"/>
      <w:r>
        <w:rPr>
          <w:rFonts w:eastAsia="Times New Roman" w:cs="Times New Roman"/>
          <w:szCs w:val="24"/>
        </w:rPr>
        <w:t>Bayangol</w:t>
      </w:r>
      <w:proofErr w:type="spellEnd"/>
      <w:r>
        <w:rPr>
          <w:rFonts w:eastAsia="Times New Roman" w:cs="Times New Roman"/>
          <w:szCs w:val="24"/>
        </w:rPr>
        <w:t>) and 100.4 mm (</w:t>
      </w:r>
      <w:proofErr w:type="spellStart"/>
      <w:r>
        <w:rPr>
          <w:rFonts w:eastAsia="Times New Roman" w:cs="Times New Roman"/>
          <w:szCs w:val="24"/>
        </w:rPr>
        <w:t>Arvaikheer</w:t>
      </w:r>
      <w:proofErr w:type="spellEnd"/>
      <w:r>
        <w:rPr>
          <w:rFonts w:eastAsia="Times New Roman" w:cs="Times New Roman"/>
          <w:szCs w:val="24"/>
        </w:rPr>
        <w:t xml:space="preserve"> in July), confirming that rainfall in the province is dominated by intense convective events rather than steady frontal precipitation. In 2024, </w:t>
      </w:r>
      <w:proofErr w:type="spellStart"/>
      <w:r>
        <w:rPr>
          <w:rFonts w:eastAsia="Times New Roman" w:cs="Times New Roman"/>
          <w:szCs w:val="24"/>
        </w:rPr>
        <w:t>Arvaikheer</w:t>
      </w:r>
      <w:proofErr w:type="spellEnd"/>
      <w:r>
        <w:rPr>
          <w:rFonts w:eastAsia="Times New Roman" w:cs="Times New Roman"/>
          <w:szCs w:val="24"/>
        </w:rPr>
        <w:t xml:space="preserve"> recorded 375.6 mm of total annual precipitation (60.5 mm above the 1991–2020 norm) — an unusually wet year reflecting the broader regional intensification of summer convection.</w:t>
      </w:r>
      <w:r>
        <w:rPr>
          <w:vertAlign w:val="superscript"/>
        </w:rPr>
        <w:t>[27]</w:t>
      </w:r>
    </w:p>
    <w:p w14:paraId="2E588F39" w14:textId="6C288AFE" w:rsidR="00546F49" w:rsidRPr="00E35798" w:rsidRDefault="00641399" w:rsidP="00D16E24">
      <w:pPr>
        <w:suppressAutoHyphens/>
        <w:spacing w:before="120" w:after="120" w:line="240" w:lineRule="auto"/>
        <w:contextualSpacing w:val="0"/>
        <w:rPr>
          <w:rFonts w:eastAsia="Times New Roman" w:cs="Times New Roman"/>
          <w:szCs w:val="24"/>
        </w:rPr>
      </w:pPr>
      <w:r>
        <w:rPr>
          <w:rFonts w:eastAsia="Times New Roman" w:cs="Times New Roman"/>
          <w:szCs w:val="24"/>
        </w:rPr>
        <w:t xml:space="preserve">Dundgovi receives substantially less. The provincial mean is approximately 120 mm/year, ranging from 96.1 mm in the southern soums to 209 mm in the northern fringe of the province — a span that is itself less than one-third of </w:t>
      </w:r>
      <w:proofErr w:type="spellStart"/>
      <w:r>
        <w:rPr>
          <w:rFonts w:eastAsia="Times New Roman" w:cs="Times New Roman"/>
          <w:szCs w:val="24"/>
        </w:rPr>
        <w:t>Uvurkhangai’s</w:t>
      </w:r>
      <w:proofErr w:type="spellEnd"/>
      <w:r>
        <w:rPr>
          <w:rFonts w:eastAsia="Times New Roman" w:cs="Times New Roman"/>
          <w:szCs w:val="24"/>
        </w:rPr>
        <w:t xml:space="preserve"> range.</w:t>
      </w:r>
      <w:r>
        <w:rPr>
          <w:vertAlign w:val="superscript"/>
        </w:rPr>
        <w:t>[26]</w:t>
      </w:r>
      <w:r>
        <w:rPr>
          <w:rFonts w:eastAsia="Times New Roman" w:cs="Times New Roman"/>
          <w:szCs w:val="24"/>
        </w:rPr>
        <w:t xml:space="preserve"> Long-term station records show wide interannual variability: </w:t>
      </w:r>
      <w:proofErr w:type="spellStart"/>
      <w:r>
        <w:rPr>
          <w:rFonts w:eastAsia="Times New Roman" w:cs="Times New Roman"/>
          <w:szCs w:val="24"/>
        </w:rPr>
        <w:t>Mandalgobi</w:t>
      </w:r>
      <w:proofErr w:type="spellEnd"/>
      <w:r>
        <w:rPr>
          <w:rFonts w:eastAsia="Times New Roman" w:cs="Times New Roman"/>
          <w:szCs w:val="24"/>
        </w:rPr>
        <w:t xml:space="preserve"> 84.6–188.0 mm, Sayhan-</w:t>
      </w:r>
      <w:proofErr w:type="spellStart"/>
      <w:r>
        <w:rPr>
          <w:rFonts w:eastAsia="Times New Roman" w:cs="Times New Roman"/>
          <w:szCs w:val="24"/>
        </w:rPr>
        <w:t>Ovoo</w:t>
      </w:r>
      <w:proofErr w:type="spellEnd"/>
      <w:r>
        <w:rPr>
          <w:rFonts w:eastAsia="Times New Roman" w:cs="Times New Roman"/>
          <w:szCs w:val="24"/>
        </w:rPr>
        <w:t xml:space="preserve"> 25.7–222.2 mm, </w:t>
      </w:r>
      <w:proofErr w:type="spellStart"/>
      <w:r>
        <w:rPr>
          <w:rFonts w:eastAsia="Times New Roman" w:cs="Times New Roman"/>
          <w:szCs w:val="24"/>
        </w:rPr>
        <w:t>Erdenedalai</w:t>
      </w:r>
      <w:proofErr w:type="spellEnd"/>
      <w:r>
        <w:rPr>
          <w:rFonts w:eastAsia="Times New Roman" w:cs="Times New Roman"/>
          <w:szCs w:val="24"/>
        </w:rPr>
        <w:t xml:space="preserve"> 68.5–241.1 mm, and </w:t>
      </w:r>
      <w:proofErr w:type="spellStart"/>
      <w:r>
        <w:rPr>
          <w:rFonts w:eastAsia="Times New Roman" w:cs="Times New Roman"/>
          <w:szCs w:val="24"/>
        </w:rPr>
        <w:t>Gurvansaikhan</w:t>
      </w:r>
      <w:proofErr w:type="spellEnd"/>
      <w:r>
        <w:rPr>
          <w:rFonts w:eastAsia="Times New Roman" w:cs="Times New Roman"/>
          <w:szCs w:val="24"/>
        </w:rPr>
        <w:t xml:space="preserve"> 46.5–195.1 mm over 2001–2020.</w:t>
      </w:r>
      <w:r>
        <w:rPr>
          <w:vertAlign w:val="superscript"/>
        </w:rPr>
        <w:t>[11]</w:t>
      </w:r>
      <w:r>
        <w:rPr>
          <w:rFonts w:eastAsia="Times New Roman" w:cs="Times New Roman"/>
          <w:szCs w:val="24"/>
        </w:rPr>
        <w:t xml:space="preserve"> As in Uvurkhangai, summer rainfall accounts for the overwhelming majority of the annual total — 85–95 % falls in the warm season (April to October), and most of that in two to three convective events in July and August. Winter precipitation is effectively zero (less than 10 mm December–February), and snow cover is thin and intermittent (typically 5–10 cm on average where it persists). In 2021, the wettest year </w:t>
      </w:r>
      <w:r>
        <w:rPr>
          <w:rFonts w:eastAsia="Times New Roman" w:cs="Times New Roman"/>
          <w:szCs w:val="24"/>
        </w:rPr>
        <w:lastRenderedPageBreak/>
        <w:t xml:space="preserve">of the most recent triennium, the highest provincial total was 244.8 mm at </w:t>
      </w:r>
      <w:proofErr w:type="spellStart"/>
      <w:r>
        <w:rPr>
          <w:rFonts w:eastAsia="Times New Roman" w:cs="Times New Roman"/>
          <w:szCs w:val="24"/>
        </w:rPr>
        <w:t>Tsagaandelger</w:t>
      </w:r>
      <w:proofErr w:type="spellEnd"/>
      <w:r>
        <w:rPr>
          <w:rFonts w:eastAsia="Times New Roman" w:cs="Times New Roman"/>
          <w:szCs w:val="24"/>
        </w:rPr>
        <w:t xml:space="preserve">; in 2019 the lowest was 44.1 mm at </w:t>
      </w:r>
      <w:proofErr w:type="spellStart"/>
      <w:r>
        <w:rPr>
          <w:rFonts w:eastAsia="Times New Roman" w:cs="Times New Roman"/>
          <w:szCs w:val="24"/>
        </w:rPr>
        <w:t>Bayanjargalan</w:t>
      </w:r>
      <w:proofErr w:type="spellEnd"/>
      <w:r>
        <w:rPr>
          <w:rFonts w:eastAsia="Times New Roman" w:cs="Times New Roman"/>
          <w:szCs w:val="24"/>
        </w:rPr>
        <w:t>.</w:t>
      </w:r>
      <w:r>
        <w:rPr>
          <w:vertAlign w:val="superscript"/>
        </w:rPr>
        <w:t>[24]</w:t>
      </w:r>
      <w:r>
        <w:rPr>
          <w:rFonts w:eastAsia="Times New Roman" w:cs="Times New Roman"/>
          <w:szCs w:val="24"/>
        </w:rPr>
        <w:t xml:space="preserve"> These figures place the entire province below the 200 mm/year threshold that is conventionally used to distinguish semi-arid from truly arid </w:t>
      </w:r>
      <w:proofErr w:type="gramStart"/>
      <w:r>
        <w:rPr>
          <w:rFonts w:eastAsia="Times New Roman" w:cs="Times New Roman"/>
          <w:szCs w:val="24"/>
        </w:rPr>
        <w:t>regimes, and</w:t>
      </w:r>
      <w:proofErr w:type="gramEnd"/>
      <w:r>
        <w:rPr>
          <w:rFonts w:eastAsia="Times New Roman" w:cs="Times New Roman"/>
          <w:szCs w:val="24"/>
        </w:rPr>
        <w:t xml:space="preserve"> explain unambiguously why open-field vegetable production without irrigation is not a realistic intervention target in Dundgovi.</w:t>
      </w:r>
    </w:p>
    <w:p w14:paraId="6F717F49" w14:textId="72411340" w:rsidR="000B27F3" w:rsidRPr="00E35798" w:rsidRDefault="00546F49" w:rsidP="00D16E24">
      <w:pPr>
        <w:suppressAutoHyphens/>
        <w:spacing w:before="120" w:after="120" w:line="240" w:lineRule="auto"/>
        <w:contextualSpacing w:val="0"/>
        <w:rPr>
          <w:rFonts w:eastAsia="Times New Roman" w:cs="Times New Roman"/>
          <w:szCs w:val="24"/>
        </w:rPr>
      </w:pPr>
      <w:r>
        <w:rPr>
          <w:rFonts w:eastAsia="Times New Roman" w:cs="Times New Roman"/>
          <w:szCs w:val="24"/>
        </w:rPr>
        <w:t>A consistent climatic trend across both provinces is the gradual increase in annual total precipitation with simultaneous decrease in the number of days with continuous moderate rain and increase in the number of high-intensity convective events.</w:t>
      </w:r>
      <w:r>
        <w:rPr>
          <w:vertAlign w:val="superscript"/>
        </w:rPr>
        <w:t>[24]</w:t>
      </w:r>
      <w:r>
        <w:rPr>
          <w:rFonts w:eastAsia="Times New Roman" w:cs="Times New Roman"/>
          <w:szCs w:val="24"/>
        </w:rPr>
        <w:t xml:space="preserve"> This combination — wetter summers but with rainfall delivered in fewer, more intense bursts — is operationally adverse for smallholder vegetable production: most of the additional water is lost to runoff and surface erosion rather than infiltrating into the root zone, and the higher volume of intense events raises the risk of hail damage and gully erosion on cultivated plots. It also implies that climate change is unlikely to relieve the irrigation imperative; if anything, it is intensifying it.</w:t>
      </w:r>
    </w:p>
    <w:p w14:paraId="1DB644A4" w14:textId="202A9E0C" w:rsidR="00645CC0" w:rsidRPr="00E35798" w:rsidRDefault="00645CC0" w:rsidP="00D16E24">
      <w:pPr>
        <w:pStyle w:val="Caption"/>
        <w:keepNext/>
        <w:framePr w:wrap="notBeside"/>
        <w:spacing w:after="120"/>
        <w:contextualSpacing w:val="0"/>
      </w:pPr>
      <w:r>
        <w:t>Table 10. Annual precipitation norms at representative stations, 1991–2020 (mm)</w:t>
      </w:r>
    </w:p>
    <w:tbl>
      <w:tblPr>
        <w:tblStyle w:val="Table1"/>
        <w:tblW w:w="5000" w:type="pct"/>
        <w:tblInd w:w="0" w:type="dxa"/>
        <w:tblBorders>
          <w:top w:val="single" w:sz="4" w:space="0" w:color="BCBCBC" w:themeColor="background1"/>
          <w:bottom w:val="single" w:sz="4" w:space="0" w:color="BCBCBC" w:themeColor="background1"/>
          <w:insideH w:val="single" w:sz="4" w:space="0" w:color="BCBCBC" w:themeColor="background1"/>
        </w:tblBorders>
        <w:tblLayout w:type="fixed"/>
        <w:tblLook w:val="0020" w:firstRow="1" w:lastRow="0" w:firstColumn="0" w:lastColumn="0" w:noHBand="0" w:noVBand="0"/>
      </w:tblPr>
      <w:tblGrid>
        <w:gridCol w:w="1607"/>
        <w:gridCol w:w="1605"/>
        <w:gridCol w:w="1606"/>
        <w:gridCol w:w="1608"/>
        <w:gridCol w:w="1606"/>
        <w:gridCol w:w="1606"/>
      </w:tblGrid>
      <w:tr w:rsidR="000B27F3" w:rsidRPr="00E35798" w14:paraId="6F032708" w14:textId="77777777" w:rsidTr="00ED71A8">
        <w:trPr>
          <w:cnfStyle w:val="100000000000" w:firstRow="1" w:lastRow="0" w:firstColumn="0" w:lastColumn="0" w:oddVBand="0" w:evenVBand="0" w:oddHBand="0" w:evenHBand="0" w:firstRowFirstColumn="0" w:firstRowLastColumn="0" w:lastRowFirstColumn="0" w:lastRowLastColumn="0"/>
          <w:tblHeader/>
        </w:trPr>
        <w:tc>
          <w:tcPr>
            <w:tcW w:w="834" w:type="pct"/>
            <w:tcBorders>
              <w:bottom w:val="none" w:sz="0" w:space="0" w:color="auto"/>
            </w:tcBorders>
            <w:shd w:val="clear" w:color="auto" w:fill="E99E6D" w:themeFill="accent3"/>
            <w:vAlign w:val="center"/>
          </w:tcPr>
          <w:p w14:paraId="708C1235" w14:textId="77777777" w:rsidR="000B27F3" w:rsidRPr="00E35798" w:rsidRDefault="000B27F3" w:rsidP="00ED71A8">
            <w:pPr>
              <w:pStyle w:val="OikoTables02"/>
              <w:rPr>
                <w:sz w:val="22"/>
              </w:rPr>
            </w:pPr>
            <w:r>
              <w:t>Station (</w:t>
            </w:r>
            <w:proofErr w:type="spellStart"/>
            <w:r>
              <w:t>soum</w:t>
            </w:r>
            <w:proofErr w:type="spellEnd"/>
            <w:r>
              <w:t>)</w:t>
            </w:r>
          </w:p>
        </w:tc>
        <w:tc>
          <w:tcPr>
            <w:tcW w:w="833" w:type="pct"/>
            <w:tcBorders>
              <w:bottom w:val="none" w:sz="0" w:space="0" w:color="auto"/>
            </w:tcBorders>
            <w:shd w:val="clear" w:color="auto" w:fill="E99E6D" w:themeFill="accent3"/>
            <w:vAlign w:val="center"/>
          </w:tcPr>
          <w:p w14:paraId="48A36F2B" w14:textId="77777777" w:rsidR="000B27F3" w:rsidRPr="00E35798" w:rsidRDefault="000B27F3" w:rsidP="00ED71A8">
            <w:pPr>
              <w:pStyle w:val="OikoTables02"/>
              <w:rPr>
                <w:sz w:val="22"/>
              </w:rPr>
            </w:pPr>
            <w:r>
              <w:t>Province</w:t>
            </w:r>
          </w:p>
        </w:tc>
        <w:tc>
          <w:tcPr>
            <w:tcW w:w="833" w:type="pct"/>
            <w:tcBorders>
              <w:bottom w:val="none" w:sz="0" w:space="0" w:color="auto"/>
            </w:tcBorders>
            <w:shd w:val="clear" w:color="auto" w:fill="E99E6D" w:themeFill="accent3"/>
            <w:vAlign w:val="center"/>
          </w:tcPr>
          <w:p w14:paraId="40EC9E76" w14:textId="77777777" w:rsidR="000B27F3" w:rsidRPr="00E35798" w:rsidRDefault="000B27F3" w:rsidP="00ED71A8">
            <w:pPr>
              <w:pStyle w:val="OikoTables02"/>
              <w:rPr>
                <w:sz w:val="22"/>
              </w:rPr>
            </w:pPr>
            <w:proofErr w:type="spellStart"/>
            <w:r>
              <w:t>Annual</w:t>
            </w:r>
            <w:proofErr w:type="spellEnd"/>
            <w:r>
              <w:t xml:space="preserve"> total</w:t>
            </w:r>
          </w:p>
        </w:tc>
        <w:tc>
          <w:tcPr>
            <w:tcW w:w="834" w:type="pct"/>
            <w:tcBorders>
              <w:bottom w:val="none" w:sz="0" w:space="0" w:color="auto"/>
            </w:tcBorders>
            <w:shd w:val="clear" w:color="auto" w:fill="E99E6D" w:themeFill="accent3"/>
            <w:vAlign w:val="center"/>
          </w:tcPr>
          <w:p w14:paraId="5087E68A" w14:textId="77777777" w:rsidR="000B27F3" w:rsidRPr="00E35798" w:rsidRDefault="000B27F3" w:rsidP="00ED71A8">
            <w:pPr>
              <w:pStyle w:val="OikoTables02"/>
              <w:rPr>
                <w:sz w:val="22"/>
              </w:rPr>
            </w:pPr>
            <w:proofErr w:type="spellStart"/>
            <w:r>
              <w:t>Apr</w:t>
            </w:r>
            <w:proofErr w:type="spellEnd"/>
            <w:r>
              <w:t>–Oct (</w:t>
            </w:r>
            <w:proofErr w:type="spellStart"/>
            <w:r>
              <w:t>warm-season</w:t>
            </w:r>
            <w:proofErr w:type="spellEnd"/>
            <w:r>
              <w:t>)</w:t>
            </w:r>
          </w:p>
        </w:tc>
        <w:tc>
          <w:tcPr>
            <w:tcW w:w="833" w:type="pct"/>
            <w:tcBorders>
              <w:bottom w:val="none" w:sz="0" w:space="0" w:color="auto"/>
            </w:tcBorders>
            <w:shd w:val="clear" w:color="auto" w:fill="E99E6D" w:themeFill="accent3"/>
            <w:vAlign w:val="center"/>
          </w:tcPr>
          <w:p w14:paraId="08A41587" w14:textId="77777777" w:rsidR="000B27F3" w:rsidRPr="00E35798" w:rsidRDefault="000B27F3" w:rsidP="00ED71A8">
            <w:pPr>
              <w:pStyle w:val="OikoTables02"/>
              <w:rPr>
                <w:sz w:val="22"/>
              </w:rPr>
            </w:pPr>
            <w:r>
              <w:t xml:space="preserve">Jul–Aug </w:t>
            </w:r>
            <w:proofErr w:type="spellStart"/>
            <w:r>
              <w:t>peak</w:t>
            </w:r>
            <w:proofErr w:type="spellEnd"/>
          </w:p>
        </w:tc>
        <w:tc>
          <w:tcPr>
            <w:tcW w:w="833" w:type="pct"/>
            <w:tcBorders>
              <w:bottom w:val="none" w:sz="0" w:space="0" w:color="auto"/>
            </w:tcBorders>
            <w:shd w:val="clear" w:color="auto" w:fill="E99E6D" w:themeFill="accent3"/>
            <w:vAlign w:val="center"/>
          </w:tcPr>
          <w:p w14:paraId="19DA83E8" w14:textId="77777777" w:rsidR="000B27F3" w:rsidRPr="00E35798" w:rsidRDefault="000B27F3" w:rsidP="00ED71A8">
            <w:pPr>
              <w:pStyle w:val="OikoTables02"/>
              <w:rPr>
                <w:sz w:val="22"/>
              </w:rPr>
            </w:pPr>
            <w:r>
              <w:t xml:space="preserve">Daily </w:t>
            </w:r>
            <w:proofErr w:type="spellStart"/>
            <w:r>
              <w:t>maximum</w:t>
            </w:r>
            <w:proofErr w:type="spellEnd"/>
            <w:r>
              <w:t xml:space="preserve"> </w:t>
            </w:r>
            <w:proofErr w:type="spellStart"/>
            <w:r>
              <w:t>on</w:t>
            </w:r>
            <w:proofErr w:type="spellEnd"/>
            <w:r>
              <w:t xml:space="preserve"> </w:t>
            </w:r>
            <w:proofErr w:type="spellStart"/>
            <w:r>
              <w:t>record</w:t>
            </w:r>
            <w:proofErr w:type="spellEnd"/>
          </w:p>
        </w:tc>
      </w:tr>
      <w:tr w:rsidR="000B27F3" w:rsidRPr="00E35798" w14:paraId="6A61A237" w14:textId="77777777" w:rsidTr="008D664D">
        <w:tc>
          <w:tcPr>
            <w:tcW w:w="834" w:type="pct"/>
            <w:vAlign w:val="center"/>
          </w:tcPr>
          <w:p w14:paraId="66FD503F" w14:textId="77777777" w:rsidR="000B27F3" w:rsidRPr="00E35798" w:rsidRDefault="000B27F3" w:rsidP="00D16E24">
            <w:pPr>
              <w:pStyle w:val="OikoTables03Content"/>
              <w:spacing w:after="120" w:line="240" w:lineRule="auto"/>
              <w:rPr>
                <w:lang w:val="en-GB"/>
              </w:rPr>
            </w:pPr>
            <w:proofErr w:type="spellStart"/>
            <w:r>
              <w:rPr>
                <w:lang w:val="en-GB"/>
              </w:rPr>
              <w:t>Arvaikheer</w:t>
            </w:r>
            <w:proofErr w:type="spellEnd"/>
          </w:p>
        </w:tc>
        <w:tc>
          <w:tcPr>
            <w:tcW w:w="833" w:type="pct"/>
            <w:vAlign w:val="center"/>
          </w:tcPr>
          <w:p w14:paraId="1EFC61EC" w14:textId="77777777" w:rsidR="000B27F3" w:rsidRPr="00E35798" w:rsidRDefault="000B27F3" w:rsidP="00D16E24">
            <w:pPr>
              <w:pStyle w:val="OikoTables03Content"/>
              <w:spacing w:after="120" w:line="240" w:lineRule="auto"/>
              <w:rPr>
                <w:lang w:val="en-GB"/>
              </w:rPr>
            </w:pPr>
            <w:r>
              <w:rPr>
                <w:lang w:val="en-GB"/>
              </w:rPr>
              <w:t>Uvurkhangai</w:t>
            </w:r>
          </w:p>
        </w:tc>
        <w:tc>
          <w:tcPr>
            <w:tcW w:w="833" w:type="pct"/>
            <w:vAlign w:val="center"/>
          </w:tcPr>
          <w:p w14:paraId="534556D3" w14:textId="77777777" w:rsidR="000B27F3" w:rsidRPr="00E35798" w:rsidRDefault="000B27F3" w:rsidP="00D16E24">
            <w:pPr>
              <w:pStyle w:val="OikoTables03Content"/>
              <w:spacing w:after="120" w:line="240" w:lineRule="auto"/>
              <w:rPr>
                <w:lang w:val="en-GB"/>
              </w:rPr>
            </w:pPr>
            <w:r>
              <w:rPr>
                <w:lang w:val="en-GB"/>
              </w:rPr>
              <w:t>234.1</w:t>
            </w:r>
          </w:p>
        </w:tc>
        <w:tc>
          <w:tcPr>
            <w:tcW w:w="834" w:type="pct"/>
            <w:vAlign w:val="center"/>
          </w:tcPr>
          <w:p w14:paraId="2620D06B" w14:textId="77777777" w:rsidR="000B27F3" w:rsidRPr="00E35798" w:rsidRDefault="000B27F3" w:rsidP="00D16E24">
            <w:pPr>
              <w:pStyle w:val="OikoTables03Content"/>
              <w:spacing w:after="120" w:line="240" w:lineRule="auto"/>
              <w:rPr>
                <w:lang w:val="en-GB"/>
              </w:rPr>
            </w:pPr>
            <w:r>
              <w:rPr>
                <w:lang w:val="en-GB"/>
              </w:rPr>
              <w:t>224.2 (96 %)</w:t>
            </w:r>
          </w:p>
        </w:tc>
        <w:tc>
          <w:tcPr>
            <w:tcW w:w="833" w:type="pct"/>
            <w:vAlign w:val="center"/>
          </w:tcPr>
          <w:p w14:paraId="53E864B3" w14:textId="77777777" w:rsidR="000B27F3" w:rsidRPr="00E35798" w:rsidRDefault="000B27F3" w:rsidP="00D16E24">
            <w:pPr>
              <w:pStyle w:val="OikoTables03Content"/>
              <w:spacing w:after="120" w:line="240" w:lineRule="auto"/>
              <w:rPr>
                <w:lang w:val="en-GB"/>
              </w:rPr>
            </w:pPr>
            <w:r>
              <w:rPr>
                <w:lang w:val="en-GB"/>
              </w:rPr>
              <w:t>145.2</w:t>
            </w:r>
          </w:p>
        </w:tc>
        <w:tc>
          <w:tcPr>
            <w:tcW w:w="833" w:type="pct"/>
            <w:vAlign w:val="center"/>
          </w:tcPr>
          <w:p w14:paraId="156BF9FA" w14:textId="77777777" w:rsidR="000B27F3" w:rsidRPr="00E35798" w:rsidRDefault="000B27F3" w:rsidP="00D16E24">
            <w:pPr>
              <w:pStyle w:val="OikoTables03Content"/>
              <w:spacing w:after="120" w:line="240" w:lineRule="auto"/>
              <w:rPr>
                <w:lang w:val="en-GB"/>
              </w:rPr>
            </w:pPr>
            <w:r>
              <w:rPr>
                <w:lang w:val="en-GB"/>
              </w:rPr>
              <w:t>100.4</w:t>
            </w:r>
          </w:p>
        </w:tc>
      </w:tr>
      <w:tr w:rsidR="000B27F3" w:rsidRPr="00E35798" w14:paraId="7580EA82" w14:textId="77777777" w:rsidTr="008D664D">
        <w:tc>
          <w:tcPr>
            <w:tcW w:w="834" w:type="pct"/>
            <w:vAlign w:val="center"/>
          </w:tcPr>
          <w:p w14:paraId="3E99133D" w14:textId="77777777" w:rsidR="000B27F3" w:rsidRPr="00E35798" w:rsidRDefault="000B27F3" w:rsidP="00D16E24">
            <w:pPr>
              <w:pStyle w:val="OikoTables03Content"/>
              <w:spacing w:after="120" w:line="240" w:lineRule="auto"/>
              <w:rPr>
                <w:lang w:val="en-GB"/>
              </w:rPr>
            </w:pPr>
            <w:r>
              <w:rPr>
                <w:lang w:val="en-GB"/>
              </w:rPr>
              <w:t>Kharkhorin</w:t>
            </w:r>
          </w:p>
        </w:tc>
        <w:tc>
          <w:tcPr>
            <w:tcW w:w="833" w:type="pct"/>
            <w:vAlign w:val="center"/>
          </w:tcPr>
          <w:p w14:paraId="1183DD49" w14:textId="77777777" w:rsidR="000B27F3" w:rsidRPr="00E35798" w:rsidRDefault="000B27F3" w:rsidP="00D16E24">
            <w:pPr>
              <w:pStyle w:val="OikoTables03Content"/>
              <w:spacing w:after="120" w:line="240" w:lineRule="auto"/>
              <w:rPr>
                <w:lang w:val="en-GB"/>
              </w:rPr>
            </w:pPr>
            <w:r>
              <w:rPr>
                <w:lang w:val="en-GB"/>
              </w:rPr>
              <w:t>Uvurkhangai</w:t>
            </w:r>
          </w:p>
        </w:tc>
        <w:tc>
          <w:tcPr>
            <w:tcW w:w="833" w:type="pct"/>
            <w:vAlign w:val="center"/>
          </w:tcPr>
          <w:p w14:paraId="0ACCEFFF" w14:textId="77777777" w:rsidR="000B27F3" w:rsidRPr="00E35798" w:rsidRDefault="000B27F3" w:rsidP="00D16E24">
            <w:pPr>
              <w:pStyle w:val="OikoTables03Content"/>
              <w:spacing w:after="120" w:line="240" w:lineRule="auto"/>
              <w:rPr>
                <w:lang w:val="en-GB"/>
              </w:rPr>
            </w:pPr>
            <w:r>
              <w:rPr>
                <w:lang w:val="en-GB"/>
              </w:rPr>
              <w:t>306.8</w:t>
            </w:r>
          </w:p>
        </w:tc>
        <w:tc>
          <w:tcPr>
            <w:tcW w:w="834" w:type="pct"/>
            <w:vAlign w:val="center"/>
          </w:tcPr>
          <w:p w14:paraId="731FBF22" w14:textId="77777777" w:rsidR="000B27F3" w:rsidRPr="00E35798" w:rsidRDefault="000B27F3" w:rsidP="00D16E24">
            <w:pPr>
              <w:pStyle w:val="OikoTables03Content"/>
              <w:spacing w:after="120" w:line="240" w:lineRule="auto"/>
              <w:rPr>
                <w:lang w:val="en-GB"/>
              </w:rPr>
            </w:pPr>
            <w:r>
              <w:rPr>
                <w:lang w:val="en-GB"/>
              </w:rPr>
              <w:t>277.8 (91 %)</w:t>
            </w:r>
          </w:p>
        </w:tc>
        <w:tc>
          <w:tcPr>
            <w:tcW w:w="833" w:type="pct"/>
            <w:vAlign w:val="center"/>
          </w:tcPr>
          <w:p w14:paraId="23F46FB8" w14:textId="77777777" w:rsidR="000B27F3" w:rsidRPr="00E35798" w:rsidRDefault="000B27F3" w:rsidP="00D16E24">
            <w:pPr>
              <w:pStyle w:val="OikoTables03Content"/>
              <w:spacing w:after="120" w:line="240" w:lineRule="auto"/>
              <w:rPr>
                <w:lang w:val="en-GB"/>
              </w:rPr>
            </w:pPr>
            <w:r>
              <w:rPr>
                <w:lang w:val="en-GB"/>
              </w:rPr>
              <w:t>141.8</w:t>
            </w:r>
          </w:p>
        </w:tc>
        <w:tc>
          <w:tcPr>
            <w:tcW w:w="833" w:type="pct"/>
            <w:vAlign w:val="center"/>
          </w:tcPr>
          <w:p w14:paraId="736E9CC3" w14:textId="77777777" w:rsidR="000B27F3" w:rsidRPr="00E35798" w:rsidRDefault="000B27F3" w:rsidP="00D16E24">
            <w:pPr>
              <w:pStyle w:val="OikoTables03Content"/>
              <w:spacing w:after="120" w:line="240" w:lineRule="auto"/>
              <w:rPr>
                <w:lang w:val="en-GB"/>
              </w:rPr>
            </w:pPr>
            <w:r>
              <w:rPr>
                <w:lang w:val="en-GB"/>
              </w:rPr>
              <w:t>70.0</w:t>
            </w:r>
          </w:p>
        </w:tc>
      </w:tr>
      <w:tr w:rsidR="000B27F3" w:rsidRPr="00E35798" w14:paraId="4333A5D7" w14:textId="77777777" w:rsidTr="008D664D">
        <w:tc>
          <w:tcPr>
            <w:tcW w:w="834" w:type="pct"/>
            <w:vAlign w:val="center"/>
          </w:tcPr>
          <w:p w14:paraId="6DB17F3A" w14:textId="77777777" w:rsidR="000B27F3" w:rsidRPr="00E35798" w:rsidRDefault="000B27F3" w:rsidP="00D16E24">
            <w:pPr>
              <w:pStyle w:val="OikoTables03Content"/>
              <w:spacing w:after="120" w:line="240" w:lineRule="auto"/>
              <w:rPr>
                <w:lang w:val="en-GB"/>
              </w:rPr>
            </w:pPr>
            <w:proofErr w:type="spellStart"/>
            <w:r>
              <w:rPr>
                <w:lang w:val="en-GB"/>
              </w:rPr>
              <w:t>Khujirt</w:t>
            </w:r>
            <w:proofErr w:type="spellEnd"/>
          </w:p>
        </w:tc>
        <w:tc>
          <w:tcPr>
            <w:tcW w:w="833" w:type="pct"/>
            <w:vAlign w:val="center"/>
          </w:tcPr>
          <w:p w14:paraId="4D6AB39A" w14:textId="77777777" w:rsidR="000B27F3" w:rsidRPr="00E35798" w:rsidRDefault="000B27F3" w:rsidP="00D16E24">
            <w:pPr>
              <w:pStyle w:val="OikoTables03Content"/>
              <w:spacing w:after="120" w:line="240" w:lineRule="auto"/>
              <w:rPr>
                <w:lang w:val="en-GB"/>
              </w:rPr>
            </w:pPr>
            <w:r>
              <w:rPr>
                <w:lang w:val="en-GB"/>
              </w:rPr>
              <w:t>Uvurkhangai</w:t>
            </w:r>
          </w:p>
        </w:tc>
        <w:tc>
          <w:tcPr>
            <w:tcW w:w="833" w:type="pct"/>
            <w:vAlign w:val="center"/>
          </w:tcPr>
          <w:p w14:paraId="11790B91" w14:textId="77777777" w:rsidR="000B27F3" w:rsidRPr="00E35798" w:rsidRDefault="000B27F3" w:rsidP="00D16E24">
            <w:pPr>
              <w:pStyle w:val="OikoTables03Content"/>
              <w:spacing w:after="120" w:line="240" w:lineRule="auto"/>
              <w:rPr>
                <w:lang w:val="en-GB"/>
              </w:rPr>
            </w:pPr>
            <w:r>
              <w:rPr>
                <w:lang w:val="en-GB"/>
              </w:rPr>
              <w:t>271.7</w:t>
            </w:r>
          </w:p>
        </w:tc>
        <w:tc>
          <w:tcPr>
            <w:tcW w:w="834" w:type="pct"/>
            <w:vAlign w:val="center"/>
          </w:tcPr>
          <w:p w14:paraId="6BBD6D60" w14:textId="77777777" w:rsidR="000B27F3" w:rsidRPr="00E35798" w:rsidRDefault="000B27F3" w:rsidP="00D16E24">
            <w:pPr>
              <w:pStyle w:val="OikoTables03Content"/>
              <w:spacing w:after="120" w:line="240" w:lineRule="auto"/>
              <w:rPr>
                <w:lang w:val="en-GB"/>
              </w:rPr>
            </w:pPr>
            <w:r>
              <w:rPr>
                <w:lang w:val="en-GB"/>
              </w:rPr>
              <w:t>257.2 (95 %)</w:t>
            </w:r>
          </w:p>
        </w:tc>
        <w:tc>
          <w:tcPr>
            <w:tcW w:w="833" w:type="pct"/>
            <w:vAlign w:val="center"/>
          </w:tcPr>
          <w:p w14:paraId="5D19E273" w14:textId="77777777" w:rsidR="000B27F3" w:rsidRPr="00E35798" w:rsidRDefault="000B27F3" w:rsidP="00D16E24">
            <w:pPr>
              <w:pStyle w:val="OikoTables03Content"/>
              <w:spacing w:after="120" w:line="240" w:lineRule="auto"/>
              <w:rPr>
                <w:lang w:val="en-GB"/>
              </w:rPr>
            </w:pPr>
            <w:r>
              <w:rPr>
                <w:lang w:val="en-GB"/>
              </w:rPr>
              <w:t>147.1</w:t>
            </w:r>
          </w:p>
        </w:tc>
        <w:tc>
          <w:tcPr>
            <w:tcW w:w="833" w:type="pct"/>
            <w:vAlign w:val="center"/>
          </w:tcPr>
          <w:p w14:paraId="4511493E" w14:textId="77777777" w:rsidR="000B27F3" w:rsidRPr="00E35798" w:rsidRDefault="000B27F3" w:rsidP="00D16E24">
            <w:pPr>
              <w:pStyle w:val="OikoTables03Content"/>
              <w:spacing w:after="120" w:line="240" w:lineRule="auto"/>
              <w:rPr>
                <w:lang w:val="en-GB"/>
              </w:rPr>
            </w:pPr>
            <w:r>
              <w:rPr>
                <w:lang w:val="en-GB"/>
              </w:rPr>
              <w:t>53.1</w:t>
            </w:r>
          </w:p>
        </w:tc>
      </w:tr>
      <w:tr w:rsidR="000B27F3" w:rsidRPr="00E35798" w14:paraId="1A1005CD" w14:textId="77777777" w:rsidTr="008D664D">
        <w:tc>
          <w:tcPr>
            <w:tcW w:w="834" w:type="pct"/>
            <w:vAlign w:val="center"/>
          </w:tcPr>
          <w:p w14:paraId="2F6E0C89" w14:textId="77777777" w:rsidR="000B27F3" w:rsidRPr="00E35798" w:rsidRDefault="000B27F3" w:rsidP="00D16E24">
            <w:pPr>
              <w:pStyle w:val="OikoTables03Content"/>
              <w:spacing w:after="120" w:line="240" w:lineRule="auto"/>
              <w:rPr>
                <w:lang w:val="en-GB"/>
              </w:rPr>
            </w:pPr>
            <w:proofErr w:type="spellStart"/>
            <w:r>
              <w:rPr>
                <w:lang w:val="en-GB"/>
              </w:rPr>
              <w:t>Bogd</w:t>
            </w:r>
            <w:proofErr w:type="spellEnd"/>
          </w:p>
        </w:tc>
        <w:tc>
          <w:tcPr>
            <w:tcW w:w="833" w:type="pct"/>
            <w:vAlign w:val="center"/>
          </w:tcPr>
          <w:p w14:paraId="2BE3BF09" w14:textId="77777777" w:rsidR="000B27F3" w:rsidRPr="00E35798" w:rsidRDefault="000B27F3" w:rsidP="00D16E24">
            <w:pPr>
              <w:pStyle w:val="OikoTables03Content"/>
              <w:spacing w:after="120" w:line="240" w:lineRule="auto"/>
              <w:rPr>
                <w:lang w:val="en-GB"/>
              </w:rPr>
            </w:pPr>
            <w:r>
              <w:rPr>
                <w:lang w:val="en-GB"/>
              </w:rPr>
              <w:t>Uvurkhangai</w:t>
            </w:r>
          </w:p>
        </w:tc>
        <w:tc>
          <w:tcPr>
            <w:tcW w:w="833" w:type="pct"/>
            <w:vAlign w:val="center"/>
          </w:tcPr>
          <w:p w14:paraId="5B2478E3" w14:textId="77777777" w:rsidR="000B27F3" w:rsidRPr="00E35798" w:rsidRDefault="000B27F3" w:rsidP="00D16E24">
            <w:pPr>
              <w:pStyle w:val="OikoTables03Content"/>
              <w:spacing w:after="120" w:line="240" w:lineRule="auto"/>
              <w:rPr>
                <w:lang w:val="en-GB"/>
              </w:rPr>
            </w:pPr>
            <w:r>
              <w:rPr>
                <w:lang w:val="en-GB"/>
              </w:rPr>
              <w:t>145.3</w:t>
            </w:r>
          </w:p>
        </w:tc>
        <w:tc>
          <w:tcPr>
            <w:tcW w:w="834" w:type="pct"/>
            <w:vAlign w:val="center"/>
          </w:tcPr>
          <w:p w14:paraId="213E7448" w14:textId="77777777" w:rsidR="000B27F3" w:rsidRPr="00E35798" w:rsidRDefault="000B27F3" w:rsidP="00D16E24">
            <w:pPr>
              <w:pStyle w:val="OikoTables03Content"/>
              <w:spacing w:after="120" w:line="240" w:lineRule="auto"/>
              <w:rPr>
                <w:lang w:val="en-GB"/>
              </w:rPr>
            </w:pPr>
            <w:r>
              <w:rPr>
                <w:lang w:val="en-GB"/>
              </w:rPr>
              <w:t>127.0 (87 %)</w:t>
            </w:r>
          </w:p>
        </w:tc>
        <w:tc>
          <w:tcPr>
            <w:tcW w:w="833" w:type="pct"/>
            <w:vAlign w:val="center"/>
          </w:tcPr>
          <w:p w14:paraId="73FFC37F" w14:textId="77777777" w:rsidR="000B27F3" w:rsidRPr="00E35798" w:rsidRDefault="000B27F3" w:rsidP="00D16E24">
            <w:pPr>
              <w:pStyle w:val="OikoTables03Content"/>
              <w:spacing w:after="120" w:line="240" w:lineRule="auto"/>
              <w:rPr>
                <w:lang w:val="en-GB"/>
              </w:rPr>
            </w:pPr>
            <w:r>
              <w:rPr>
                <w:lang w:val="en-GB"/>
              </w:rPr>
              <w:t>61.4</w:t>
            </w:r>
          </w:p>
        </w:tc>
        <w:tc>
          <w:tcPr>
            <w:tcW w:w="833" w:type="pct"/>
            <w:vAlign w:val="center"/>
          </w:tcPr>
          <w:p w14:paraId="35FBDB12" w14:textId="77777777" w:rsidR="000B27F3" w:rsidRPr="00E35798" w:rsidRDefault="000B27F3" w:rsidP="00D16E24">
            <w:pPr>
              <w:pStyle w:val="OikoTables03Content"/>
              <w:spacing w:after="120" w:line="240" w:lineRule="auto"/>
              <w:rPr>
                <w:lang w:val="en-GB"/>
              </w:rPr>
            </w:pPr>
            <w:r>
              <w:rPr>
                <w:lang w:val="en-GB"/>
              </w:rPr>
              <w:t>52.2</w:t>
            </w:r>
          </w:p>
        </w:tc>
      </w:tr>
      <w:tr w:rsidR="000B27F3" w:rsidRPr="00E35798" w14:paraId="477FF915" w14:textId="77777777" w:rsidTr="008D664D">
        <w:tc>
          <w:tcPr>
            <w:tcW w:w="834" w:type="pct"/>
            <w:vAlign w:val="center"/>
          </w:tcPr>
          <w:p w14:paraId="73BB4F27" w14:textId="77777777" w:rsidR="000B27F3" w:rsidRPr="00E35798" w:rsidRDefault="000B27F3" w:rsidP="00D16E24">
            <w:pPr>
              <w:pStyle w:val="OikoTables03Content"/>
              <w:spacing w:after="120" w:line="240" w:lineRule="auto"/>
              <w:rPr>
                <w:lang w:val="en-GB"/>
              </w:rPr>
            </w:pPr>
            <w:proofErr w:type="spellStart"/>
            <w:r>
              <w:rPr>
                <w:lang w:val="en-GB"/>
              </w:rPr>
              <w:t>Baruunbayan-Ulaan</w:t>
            </w:r>
            <w:proofErr w:type="spellEnd"/>
          </w:p>
        </w:tc>
        <w:tc>
          <w:tcPr>
            <w:tcW w:w="833" w:type="pct"/>
            <w:vAlign w:val="center"/>
          </w:tcPr>
          <w:p w14:paraId="73D88885" w14:textId="77777777" w:rsidR="000B27F3" w:rsidRPr="00E35798" w:rsidRDefault="000B27F3" w:rsidP="00D16E24">
            <w:pPr>
              <w:pStyle w:val="OikoTables03Content"/>
              <w:spacing w:after="120" w:line="240" w:lineRule="auto"/>
              <w:rPr>
                <w:lang w:val="en-GB"/>
              </w:rPr>
            </w:pPr>
            <w:r>
              <w:rPr>
                <w:lang w:val="en-GB"/>
              </w:rPr>
              <w:t>Uvurkhangai</w:t>
            </w:r>
          </w:p>
        </w:tc>
        <w:tc>
          <w:tcPr>
            <w:tcW w:w="833" w:type="pct"/>
            <w:vAlign w:val="center"/>
          </w:tcPr>
          <w:p w14:paraId="54FA522C" w14:textId="77777777" w:rsidR="000B27F3" w:rsidRPr="00E35798" w:rsidRDefault="000B27F3" w:rsidP="00D16E24">
            <w:pPr>
              <w:pStyle w:val="OikoTables03Content"/>
              <w:spacing w:after="120" w:line="240" w:lineRule="auto"/>
              <w:rPr>
                <w:lang w:val="en-GB"/>
              </w:rPr>
            </w:pPr>
            <w:r>
              <w:rPr>
                <w:lang w:val="en-GB"/>
              </w:rPr>
              <w:t>80.3</w:t>
            </w:r>
          </w:p>
        </w:tc>
        <w:tc>
          <w:tcPr>
            <w:tcW w:w="834" w:type="pct"/>
            <w:vAlign w:val="center"/>
          </w:tcPr>
          <w:p w14:paraId="222F4591" w14:textId="77777777" w:rsidR="000B27F3" w:rsidRPr="00E35798" w:rsidRDefault="000B27F3" w:rsidP="00D16E24">
            <w:pPr>
              <w:pStyle w:val="OikoTables03Content"/>
              <w:spacing w:after="120" w:line="240" w:lineRule="auto"/>
              <w:rPr>
                <w:lang w:val="en-GB"/>
              </w:rPr>
            </w:pPr>
            <w:r>
              <w:rPr>
                <w:lang w:val="en-GB"/>
              </w:rPr>
              <w:t>71.8 (89 %)</w:t>
            </w:r>
          </w:p>
        </w:tc>
        <w:tc>
          <w:tcPr>
            <w:tcW w:w="833" w:type="pct"/>
            <w:vAlign w:val="center"/>
          </w:tcPr>
          <w:p w14:paraId="0A8C8E84" w14:textId="77777777" w:rsidR="000B27F3" w:rsidRPr="00E35798" w:rsidRDefault="000B27F3" w:rsidP="00D16E24">
            <w:pPr>
              <w:pStyle w:val="OikoTables03Content"/>
              <w:spacing w:after="120" w:line="240" w:lineRule="auto"/>
              <w:rPr>
                <w:lang w:val="en-GB"/>
              </w:rPr>
            </w:pPr>
            <w:r>
              <w:rPr>
                <w:lang w:val="en-GB"/>
              </w:rPr>
              <w:t>39.2</w:t>
            </w:r>
          </w:p>
        </w:tc>
        <w:tc>
          <w:tcPr>
            <w:tcW w:w="833" w:type="pct"/>
            <w:vAlign w:val="center"/>
          </w:tcPr>
          <w:p w14:paraId="4D441254" w14:textId="77777777" w:rsidR="000B27F3" w:rsidRPr="00E35798" w:rsidRDefault="000B27F3" w:rsidP="00D16E24">
            <w:pPr>
              <w:pStyle w:val="OikoTables03Content"/>
              <w:spacing w:after="120" w:line="240" w:lineRule="auto"/>
              <w:rPr>
                <w:lang w:val="en-GB"/>
              </w:rPr>
            </w:pPr>
            <w:r>
              <w:rPr>
                <w:lang w:val="en-GB"/>
              </w:rPr>
              <w:t>41.0</w:t>
            </w:r>
          </w:p>
        </w:tc>
      </w:tr>
      <w:tr w:rsidR="000B27F3" w:rsidRPr="00E35798" w14:paraId="7A27502D" w14:textId="77777777" w:rsidTr="008D664D">
        <w:tc>
          <w:tcPr>
            <w:tcW w:w="834" w:type="pct"/>
            <w:vAlign w:val="center"/>
          </w:tcPr>
          <w:p w14:paraId="138368EF" w14:textId="77777777" w:rsidR="000B27F3" w:rsidRPr="00E35798" w:rsidRDefault="000B27F3" w:rsidP="00D16E24">
            <w:pPr>
              <w:pStyle w:val="OikoTables03Content"/>
              <w:spacing w:after="120" w:line="240" w:lineRule="auto"/>
              <w:rPr>
                <w:lang w:val="en-GB"/>
              </w:rPr>
            </w:pPr>
            <w:proofErr w:type="spellStart"/>
            <w:r>
              <w:rPr>
                <w:lang w:val="en-GB"/>
              </w:rPr>
              <w:t>Mandalgovi</w:t>
            </w:r>
            <w:proofErr w:type="spellEnd"/>
          </w:p>
        </w:tc>
        <w:tc>
          <w:tcPr>
            <w:tcW w:w="833" w:type="pct"/>
            <w:vAlign w:val="center"/>
          </w:tcPr>
          <w:p w14:paraId="335D452F" w14:textId="69CF3362" w:rsidR="000B27F3" w:rsidRPr="00E35798" w:rsidRDefault="00641399" w:rsidP="00D16E24">
            <w:pPr>
              <w:pStyle w:val="OikoTables03Content"/>
              <w:spacing w:after="120" w:line="240" w:lineRule="auto"/>
              <w:rPr>
                <w:lang w:val="en-GB"/>
              </w:rPr>
            </w:pPr>
            <w:r>
              <w:rPr>
                <w:lang w:val="en-GB"/>
              </w:rPr>
              <w:t>Dundgovi</w:t>
            </w:r>
          </w:p>
        </w:tc>
        <w:tc>
          <w:tcPr>
            <w:tcW w:w="833" w:type="pct"/>
            <w:vAlign w:val="center"/>
          </w:tcPr>
          <w:p w14:paraId="1C33E3EF" w14:textId="77777777" w:rsidR="000B27F3" w:rsidRPr="00E35798" w:rsidRDefault="000B27F3" w:rsidP="00D16E24">
            <w:pPr>
              <w:pStyle w:val="OikoTables03Content"/>
              <w:spacing w:after="120" w:line="240" w:lineRule="auto"/>
              <w:rPr>
                <w:lang w:val="en-GB"/>
              </w:rPr>
            </w:pPr>
            <w:r>
              <w:rPr>
                <w:lang w:val="en-GB"/>
              </w:rPr>
              <w:t>≈ 120</w:t>
            </w:r>
          </w:p>
        </w:tc>
        <w:tc>
          <w:tcPr>
            <w:tcW w:w="834" w:type="pct"/>
            <w:vAlign w:val="center"/>
          </w:tcPr>
          <w:p w14:paraId="0DBC02B9" w14:textId="77777777" w:rsidR="000B27F3" w:rsidRPr="00E35798" w:rsidRDefault="000B27F3" w:rsidP="00D16E24">
            <w:pPr>
              <w:pStyle w:val="OikoTables03Content"/>
              <w:spacing w:after="120" w:line="240" w:lineRule="auto"/>
              <w:rPr>
                <w:lang w:val="en-GB"/>
              </w:rPr>
            </w:pPr>
            <w:r>
              <w:rPr>
                <w:lang w:val="en-GB"/>
              </w:rPr>
              <w:t>≈ 105 (88 %)</w:t>
            </w:r>
          </w:p>
        </w:tc>
        <w:tc>
          <w:tcPr>
            <w:tcW w:w="833" w:type="pct"/>
            <w:vAlign w:val="center"/>
          </w:tcPr>
          <w:p w14:paraId="00C11DD8" w14:textId="77777777" w:rsidR="000B27F3" w:rsidRPr="00E35798" w:rsidRDefault="000B27F3" w:rsidP="00D16E24">
            <w:pPr>
              <w:pStyle w:val="OikoTables03Content"/>
              <w:spacing w:after="120" w:line="240" w:lineRule="auto"/>
              <w:rPr>
                <w:lang w:val="en-GB"/>
              </w:rPr>
            </w:pPr>
            <w:r>
              <w:rPr>
                <w:lang w:val="en-GB"/>
              </w:rPr>
              <w:t>≈ 65</w:t>
            </w:r>
          </w:p>
        </w:tc>
        <w:tc>
          <w:tcPr>
            <w:tcW w:w="833" w:type="pct"/>
            <w:vAlign w:val="center"/>
          </w:tcPr>
          <w:p w14:paraId="0BA2A883" w14:textId="77777777" w:rsidR="000B27F3" w:rsidRPr="00E35798" w:rsidRDefault="000B27F3" w:rsidP="00D16E24">
            <w:pPr>
              <w:pStyle w:val="OikoTables03Content"/>
              <w:spacing w:after="120" w:line="240" w:lineRule="auto"/>
              <w:rPr>
                <w:lang w:val="en-GB"/>
              </w:rPr>
            </w:pPr>
            <w:r>
              <w:rPr>
                <w:lang w:val="en-GB"/>
              </w:rPr>
              <w:t>≈ 50 (period)</w:t>
            </w:r>
          </w:p>
        </w:tc>
      </w:tr>
      <w:tr w:rsidR="000B27F3" w:rsidRPr="00E35798" w14:paraId="4904F8EE" w14:textId="77777777" w:rsidTr="008D664D">
        <w:tc>
          <w:tcPr>
            <w:tcW w:w="834" w:type="pct"/>
            <w:vAlign w:val="center"/>
          </w:tcPr>
          <w:p w14:paraId="513BC898" w14:textId="77777777" w:rsidR="000B27F3" w:rsidRPr="00E35798" w:rsidRDefault="000B27F3" w:rsidP="00D16E24">
            <w:pPr>
              <w:pStyle w:val="OikoTables03Content"/>
              <w:spacing w:after="120" w:line="240" w:lineRule="auto"/>
              <w:rPr>
                <w:lang w:val="en-GB"/>
              </w:rPr>
            </w:pPr>
            <w:proofErr w:type="spellStart"/>
            <w:r>
              <w:rPr>
                <w:lang w:val="en-GB"/>
              </w:rPr>
              <w:t>Erdenedalai</w:t>
            </w:r>
            <w:proofErr w:type="spellEnd"/>
          </w:p>
        </w:tc>
        <w:tc>
          <w:tcPr>
            <w:tcW w:w="833" w:type="pct"/>
            <w:vAlign w:val="center"/>
          </w:tcPr>
          <w:p w14:paraId="7D8B4336" w14:textId="250C823D" w:rsidR="000B27F3" w:rsidRPr="00E35798" w:rsidRDefault="00641399" w:rsidP="00D16E24">
            <w:pPr>
              <w:pStyle w:val="OikoTables03Content"/>
              <w:spacing w:after="120" w:line="240" w:lineRule="auto"/>
              <w:rPr>
                <w:lang w:val="en-GB"/>
              </w:rPr>
            </w:pPr>
            <w:r>
              <w:rPr>
                <w:lang w:val="en-GB"/>
              </w:rPr>
              <w:t>Dundgovi</w:t>
            </w:r>
          </w:p>
        </w:tc>
        <w:tc>
          <w:tcPr>
            <w:tcW w:w="833" w:type="pct"/>
            <w:vAlign w:val="center"/>
          </w:tcPr>
          <w:p w14:paraId="629E6035" w14:textId="77777777" w:rsidR="000B27F3" w:rsidRPr="00E35798" w:rsidRDefault="000B27F3" w:rsidP="00D16E24">
            <w:pPr>
              <w:pStyle w:val="OikoTables03Content"/>
              <w:spacing w:after="120" w:line="240" w:lineRule="auto"/>
              <w:rPr>
                <w:lang w:val="en-GB"/>
              </w:rPr>
            </w:pPr>
            <w:r>
              <w:rPr>
                <w:lang w:val="en-GB"/>
              </w:rPr>
              <w:t>≈ 130</w:t>
            </w:r>
          </w:p>
        </w:tc>
        <w:tc>
          <w:tcPr>
            <w:tcW w:w="834" w:type="pct"/>
            <w:vAlign w:val="center"/>
          </w:tcPr>
          <w:p w14:paraId="70DDB92D" w14:textId="77777777" w:rsidR="000B27F3" w:rsidRPr="00E35798" w:rsidRDefault="000B27F3" w:rsidP="00D16E24">
            <w:pPr>
              <w:pStyle w:val="OikoTables03Content"/>
              <w:spacing w:after="120" w:line="240" w:lineRule="auto"/>
              <w:rPr>
                <w:lang w:val="en-GB"/>
              </w:rPr>
            </w:pPr>
            <w:r>
              <w:rPr>
                <w:lang w:val="en-GB"/>
              </w:rPr>
              <w:t>≈ 115 (88 %)</w:t>
            </w:r>
          </w:p>
        </w:tc>
        <w:tc>
          <w:tcPr>
            <w:tcW w:w="833" w:type="pct"/>
            <w:vAlign w:val="center"/>
          </w:tcPr>
          <w:p w14:paraId="0515F115" w14:textId="77777777" w:rsidR="000B27F3" w:rsidRPr="00E35798" w:rsidRDefault="000B27F3" w:rsidP="00D16E24">
            <w:pPr>
              <w:pStyle w:val="OikoTables03Content"/>
              <w:spacing w:after="120" w:line="240" w:lineRule="auto"/>
              <w:rPr>
                <w:lang w:val="en-GB"/>
              </w:rPr>
            </w:pPr>
            <w:r>
              <w:rPr>
                <w:lang w:val="en-GB"/>
              </w:rPr>
              <w:t>≈ 75</w:t>
            </w:r>
          </w:p>
        </w:tc>
        <w:tc>
          <w:tcPr>
            <w:tcW w:w="833" w:type="pct"/>
            <w:vAlign w:val="center"/>
          </w:tcPr>
          <w:p w14:paraId="35CE5E50" w14:textId="77777777" w:rsidR="000B27F3" w:rsidRPr="00E35798" w:rsidRDefault="000B27F3" w:rsidP="00D16E24">
            <w:pPr>
              <w:pStyle w:val="OikoTables03Content"/>
              <w:spacing w:after="120" w:line="240" w:lineRule="auto"/>
              <w:rPr>
                <w:lang w:val="en-GB"/>
              </w:rPr>
            </w:pPr>
            <w:proofErr w:type="spellStart"/>
            <w:r>
              <w:rPr>
                <w:lang w:val="en-GB"/>
              </w:rPr>
              <w:t>n.a.</w:t>
            </w:r>
            <w:proofErr w:type="spellEnd"/>
          </w:p>
        </w:tc>
      </w:tr>
      <w:tr w:rsidR="000B27F3" w:rsidRPr="00E35798" w14:paraId="49A5686E" w14:textId="77777777" w:rsidTr="008D664D">
        <w:tc>
          <w:tcPr>
            <w:tcW w:w="834" w:type="pct"/>
            <w:vAlign w:val="center"/>
          </w:tcPr>
          <w:p w14:paraId="5ECEA271" w14:textId="77777777" w:rsidR="000B27F3" w:rsidRPr="00E35798" w:rsidRDefault="000B27F3" w:rsidP="00D16E24">
            <w:pPr>
              <w:pStyle w:val="OikoTables03Content"/>
              <w:spacing w:after="120" w:line="240" w:lineRule="auto"/>
              <w:rPr>
                <w:lang w:val="en-GB"/>
              </w:rPr>
            </w:pPr>
            <w:r>
              <w:rPr>
                <w:lang w:val="en-GB"/>
              </w:rPr>
              <w:t>Sayhan-</w:t>
            </w:r>
            <w:proofErr w:type="spellStart"/>
            <w:r>
              <w:rPr>
                <w:lang w:val="en-GB"/>
              </w:rPr>
              <w:t>Ovoo</w:t>
            </w:r>
            <w:proofErr w:type="spellEnd"/>
          </w:p>
        </w:tc>
        <w:tc>
          <w:tcPr>
            <w:tcW w:w="833" w:type="pct"/>
            <w:vAlign w:val="center"/>
          </w:tcPr>
          <w:p w14:paraId="383ABD0A" w14:textId="064AEC85" w:rsidR="000B27F3" w:rsidRPr="00E35798" w:rsidRDefault="00641399" w:rsidP="00D16E24">
            <w:pPr>
              <w:pStyle w:val="OikoTables03Content"/>
              <w:spacing w:after="120" w:line="240" w:lineRule="auto"/>
              <w:rPr>
                <w:lang w:val="en-GB"/>
              </w:rPr>
            </w:pPr>
            <w:r>
              <w:rPr>
                <w:lang w:val="en-GB"/>
              </w:rPr>
              <w:t>Dundgovi</w:t>
            </w:r>
          </w:p>
        </w:tc>
        <w:tc>
          <w:tcPr>
            <w:tcW w:w="833" w:type="pct"/>
            <w:vAlign w:val="center"/>
          </w:tcPr>
          <w:p w14:paraId="4073095E" w14:textId="77777777" w:rsidR="000B27F3" w:rsidRPr="00E35798" w:rsidRDefault="000B27F3" w:rsidP="00D16E24">
            <w:pPr>
              <w:pStyle w:val="OikoTables03Content"/>
              <w:spacing w:after="120" w:line="240" w:lineRule="auto"/>
              <w:rPr>
                <w:lang w:val="en-GB"/>
              </w:rPr>
            </w:pPr>
            <w:r>
              <w:rPr>
                <w:lang w:val="en-GB"/>
              </w:rPr>
              <w:t>≈ 100</w:t>
            </w:r>
          </w:p>
        </w:tc>
        <w:tc>
          <w:tcPr>
            <w:tcW w:w="834" w:type="pct"/>
            <w:vAlign w:val="center"/>
          </w:tcPr>
          <w:p w14:paraId="183B21BC" w14:textId="77777777" w:rsidR="000B27F3" w:rsidRPr="00E35798" w:rsidRDefault="000B27F3" w:rsidP="00D16E24">
            <w:pPr>
              <w:pStyle w:val="OikoTables03Content"/>
              <w:spacing w:after="120" w:line="240" w:lineRule="auto"/>
              <w:rPr>
                <w:lang w:val="en-GB"/>
              </w:rPr>
            </w:pPr>
            <w:r>
              <w:rPr>
                <w:lang w:val="en-GB"/>
              </w:rPr>
              <w:t>≈ 88 (88 %)</w:t>
            </w:r>
          </w:p>
        </w:tc>
        <w:tc>
          <w:tcPr>
            <w:tcW w:w="833" w:type="pct"/>
            <w:vAlign w:val="center"/>
          </w:tcPr>
          <w:p w14:paraId="2F89E0D2" w14:textId="77777777" w:rsidR="000B27F3" w:rsidRPr="00E35798" w:rsidRDefault="000B27F3" w:rsidP="00D16E24">
            <w:pPr>
              <w:pStyle w:val="OikoTables03Content"/>
              <w:spacing w:after="120" w:line="240" w:lineRule="auto"/>
              <w:rPr>
                <w:lang w:val="en-GB"/>
              </w:rPr>
            </w:pPr>
            <w:r>
              <w:rPr>
                <w:lang w:val="en-GB"/>
              </w:rPr>
              <w:t>≈ 55</w:t>
            </w:r>
          </w:p>
        </w:tc>
        <w:tc>
          <w:tcPr>
            <w:tcW w:w="833" w:type="pct"/>
            <w:vAlign w:val="center"/>
          </w:tcPr>
          <w:p w14:paraId="5782A29E" w14:textId="77777777" w:rsidR="000B27F3" w:rsidRPr="00E35798" w:rsidRDefault="000B27F3" w:rsidP="00D16E24">
            <w:pPr>
              <w:pStyle w:val="OikoTables03Content"/>
              <w:spacing w:after="120" w:line="240" w:lineRule="auto"/>
              <w:rPr>
                <w:lang w:val="en-GB"/>
              </w:rPr>
            </w:pPr>
            <w:proofErr w:type="spellStart"/>
            <w:r>
              <w:rPr>
                <w:lang w:val="en-GB"/>
              </w:rPr>
              <w:t>n.a.</w:t>
            </w:r>
            <w:proofErr w:type="spellEnd"/>
          </w:p>
        </w:tc>
      </w:tr>
      <w:tr w:rsidR="000B27F3" w:rsidRPr="00E35798" w14:paraId="76E3D306" w14:textId="77777777" w:rsidTr="008D664D">
        <w:tc>
          <w:tcPr>
            <w:tcW w:w="834" w:type="pct"/>
            <w:vAlign w:val="center"/>
          </w:tcPr>
          <w:p w14:paraId="69A4266A" w14:textId="77777777" w:rsidR="000B27F3" w:rsidRPr="00E35798" w:rsidRDefault="000B27F3" w:rsidP="00D16E24">
            <w:pPr>
              <w:pStyle w:val="OikoTables03Content"/>
              <w:spacing w:after="120" w:line="240" w:lineRule="auto"/>
              <w:rPr>
                <w:lang w:val="en-GB"/>
              </w:rPr>
            </w:pPr>
            <w:proofErr w:type="spellStart"/>
            <w:r>
              <w:rPr>
                <w:lang w:val="en-GB"/>
              </w:rPr>
              <w:t>Gurvansaikhan</w:t>
            </w:r>
            <w:proofErr w:type="spellEnd"/>
          </w:p>
        </w:tc>
        <w:tc>
          <w:tcPr>
            <w:tcW w:w="833" w:type="pct"/>
            <w:vAlign w:val="center"/>
          </w:tcPr>
          <w:p w14:paraId="5962A445" w14:textId="25006F24" w:rsidR="000B27F3" w:rsidRPr="00E35798" w:rsidRDefault="00641399" w:rsidP="00D16E24">
            <w:pPr>
              <w:pStyle w:val="OikoTables03Content"/>
              <w:spacing w:after="120" w:line="240" w:lineRule="auto"/>
              <w:rPr>
                <w:lang w:val="en-GB"/>
              </w:rPr>
            </w:pPr>
            <w:r>
              <w:rPr>
                <w:lang w:val="en-GB"/>
              </w:rPr>
              <w:t>Dundgovi</w:t>
            </w:r>
          </w:p>
        </w:tc>
        <w:tc>
          <w:tcPr>
            <w:tcW w:w="833" w:type="pct"/>
            <w:vAlign w:val="center"/>
          </w:tcPr>
          <w:p w14:paraId="3844DD42" w14:textId="77777777" w:rsidR="000B27F3" w:rsidRPr="00E35798" w:rsidRDefault="000B27F3" w:rsidP="00D16E24">
            <w:pPr>
              <w:pStyle w:val="OikoTables03Content"/>
              <w:spacing w:after="120" w:line="240" w:lineRule="auto"/>
              <w:rPr>
                <w:lang w:val="en-GB"/>
              </w:rPr>
            </w:pPr>
            <w:r>
              <w:rPr>
                <w:lang w:val="en-GB"/>
              </w:rPr>
              <w:t>≈ 95</w:t>
            </w:r>
          </w:p>
        </w:tc>
        <w:tc>
          <w:tcPr>
            <w:tcW w:w="834" w:type="pct"/>
            <w:vAlign w:val="center"/>
          </w:tcPr>
          <w:p w14:paraId="44E8FFEC" w14:textId="77777777" w:rsidR="000B27F3" w:rsidRPr="00E35798" w:rsidRDefault="000B27F3" w:rsidP="00D16E24">
            <w:pPr>
              <w:pStyle w:val="OikoTables03Content"/>
              <w:spacing w:after="120" w:line="240" w:lineRule="auto"/>
              <w:rPr>
                <w:lang w:val="en-GB"/>
              </w:rPr>
            </w:pPr>
            <w:r>
              <w:rPr>
                <w:lang w:val="en-GB"/>
              </w:rPr>
              <w:t>≈ 84 (88 %)</w:t>
            </w:r>
          </w:p>
        </w:tc>
        <w:tc>
          <w:tcPr>
            <w:tcW w:w="833" w:type="pct"/>
            <w:vAlign w:val="center"/>
          </w:tcPr>
          <w:p w14:paraId="39AEDD7F" w14:textId="77777777" w:rsidR="000B27F3" w:rsidRPr="00E35798" w:rsidRDefault="000B27F3" w:rsidP="00D16E24">
            <w:pPr>
              <w:pStyle w:val="OikoTables03Content"/>
              <w:spacing w:after="120" w:line="240" w:lineRule="auto"/>
              <w:rPr>
                <w:lang w:val="en-GB"/>
              </w:rPr>
            </w:pPr>
            <w:r>
              <w:rPr>
                <w:lang w:val="en-GB"/>
              </w:rPr>
              <w:t>≈ 50</w:t>
            </w:r>
          </w:p>
        </w:tc>
        <w:tc>
          <w:tcPr>
            <w:tcW w:w="833" w:type="pct"/>
            <w:vAlign w:val="center"/>
          </w:tcPr>
          <w:p w14:paraId="04742609" w14:textId="77777777" w:rsidR="000B27F3" w:rsidRPr="00E35798" w:rsidRDefault="000B27F3" w:rsidP="00D16E24">
            <w:pPr>
              <w:pStyle w:val="OikoTables03Content"/>
              <w:spacing w:after="120" w:line="240" w:lineRule="auto"/>
              <w:rPr>
                <w:lang w:val="en-GB"/>
              </w:rPr>
            </w:pPr>
            <w:proofErr w:type="spellStart"/>
            <w:r>
              <w:rPr>
                <w:lang w:val="en-GB"/>
              </w:rPr>
              <w:t>n.a.</w:t>
            </w:r>
            <w:proofErr w:type="spellEnd"/>
          </w:p>
        </w:tc>
      </w:tr>
      <w:tr w:rsidR="00645CC0" w:rsidRPr="00E35798" w14:paraId="652E5DF6" w14:textId="77777777" w:rsidTr="00645CC0">
        <w:tc>
          <w:tcPr>
            <w:tcW w:w="5000" w:type="pct"/>
            <w:gridSpan w:val="6"/>
            <w:vAlign w:val="center"/>
          </w:tcPr>
          <w:p w14:paraId="35C86DF0" w14:textId="0A9ED083" w:rsidR="00645CC0" w:rsidRPr="00E35798" w:rsidRDefault="007578AB" w:rsidP="00D16E24">
            <w:pPr>
              <w:pStyle w:val="OikoTables03Content"/>
              <w:spacing w:after="120" w:line="240" w:lineRule="auto"/>
              <w:rPr>
                <w:lang w:val="en-GB"/>
              </w:rPr>
            </w:pPr>
            <w:r>
              <w:rPr>
                <w:lang w:val="en-GB"/>
              </w:rPr>
              <w:t xml:space="preserve">Sources: Gazar </w:t>
            </w:r>
            <w:proofErr w:type="spellStart"/>
            <w:r>
              <w:rPr>
                <w:lang w:val="en-GB"/>
              </w:rPr>
              <w:t>Delkhii</w:t>
            </w:r>
            <w:proofErr w:type="spellEnd"/>
            <w:r>
              <w:rPr>
                <w:lang w:val="en-GB"/>
              </w:rPr>
              <w:t xml:space="preserve"> LLC (</w:t>
            </w:r>
            <w:proofErr w:type="gramStart"/>
            <w:r>
              <w:rPr>
                <w:lang w:val="en-GB"/>
              </w:rPr>
              <w:t>2025)</w:t>
            </w:r>
            <w:r w:rsidRPr="002F7CA0">
              <w:rPr>
                <w:vertAlign w:val="superscript"/>
                <w:lang w:val="en-GB"/>
              </w:rPr>
              <w:t>[</w:t>
            </w:r>
            <w:proofErr w:type="gramEnd"/>
            <w:r w:rsidRPr="002F7CA0">
              <w:rPr>
                <w:vertAlign w:val="superscript"/>
                <w:lang w:val="en-GB"/>
              </w:rPr>
              <w:t>21]</w:t>
            </w:r>
            <w:r>
              <w:rPr>
                <w:lang w:val="en-GB"/>
              </w:rPr>
              <w:t>; Governor’s Office of Dundgovi aimag (2022</w:t>
            </w:r>
            <w:proofErr w:type="gramStart"/>
            <w:r>
              <w:rPr>
                <w:lang w:val="en-GB"/>
              </w:rPr>
              <w:t>a)</w:t>
            </w:r>
            <w:r w:rsidRPr="002F7CA0">
              <w:rPr>
                <w:vertAlign w:val="superscript"/>
                <w:lang w:val="en-GB"/>
              </w:rPr>
              <w:t>[</w:t>
            </w:r>
            <w:proofErr w:type="gramEnd"/>
            <w:r w:rsidRPr="002F7CA0">
              <w:rPr>
                <w:vertAlign w:val="superscript"/>
                <w:lang w:val="en-GB"/>
              </w:rPr>
              <w:t>24]</w:t>
            </w:r>
            <w:r>
              <w:rPr>
                <w:lang w:val="en-GB"/>
              </w:rPr>
              <w:t>; Governor’s Office of Dundgovi aimag (2022</w:t>
            </w:r>
            <w:proofErr w:type="gramStart"/>
            <w:r>
              <w:rPr>
                <w:lang w:val="en-GB"/>
              </w:rPr>
              <w:t>b)</w:t>
            </w:r>
            <w:r w:rsidRPr="002F7CA0">
              <w:rPr>
                <w:vertAlign w:val="superscript"/>
                <w:lang w:val="en-GB"/>
              </w:rPr>
              <w:t>[</w:t>
            </w:r>
            <w:proofErr w:type="gramEnd"/>
            <w:r w:rsidRPr="002F7CA0">
              <w:rPr>
                <w:vertAlign w:val="superscript"/>
                <w:lang w:val="en-GB"/>
              </w:rPr>
              <w:t>26]</w:t>
            </w:r>
            <w:r>
              <w:rPr>
                <w:lang w:val="en-GB"/>
              </w:rPr>
              <w:t>, IRIMHE (</w:t>
            </w:r>
            <w:proofErr w:type="gramStart"/>
            <w:r>
              <w:rPr>
                <w:lang w:val="en-GB"/>
              </w:rPr>
              <w:t>2024)</w:t>
            </w:r>
            <w:r w:rsidRPr="002F7CA0">
              <w:rPr>
                <w:vertAlign w:val="superscript"/>
                <w:lang w:val="en-GB"/>
              </w:rPr>
              <w:t>[</w:t>
            </w:r>
            <w:proofErr w:type="gramEnd"/>
            <w:r w:rsidRPr="002F7CA0">
              <w:rPr>
                <w:vertAlign w:val="superscript"/>
                <w:lang w:val="en-GB"/>
              </w:rPr>
              <w:t>27]</w:t>
            </w:r>
          </w:p>
        </w:tc>
      </w:tr>
    </w:tbl>
    <w:p w14:paraId="55AC7FFC" w14:textId="77777777" w:rsidR="00546F49" w:rsidRPr="00E35798" w:rsidRDefault="00546F49" w:rsidP="00EB489E"/>
    <w:p w14:paraId="3800DD4E" w14:textId="77777777" w:rsidR="00B06344" w:rsidRPr="00E35798" w:rsidRDefault="00B06344" w:rsidP="00D16E24">
      <w:pPr>
        <w:pStyle w:val="Heading3"/>
        <w:spacing w:line="240" w:lineRule="auto"/>
        <w:contextualSpacing w:val="0"/>
      </w:pPr>
      <w:bookmarkStart w:id="42" w:name="_Toc233981257"/>
      <w:r>
        <w:t>Solar radiation and sunshine hours</w:t>
      </w:r>
      <w:bookmarkEnd w:id="42"/>
    </w:p>
    <w:p w14:paraId="36744718" w14:textId="2ADA0C10" w:rsidR="00053FCF" w:rsidRPr="00E35798" w:rsidRDefault="00053FCF" w:rsidP="00D16E24">
      <w:pPr>
        <w:suppressAutoHyphens/>
        <w:spacing w:before="120" w:after="120" w:line="240" w:lineRule="auto"/>
        <w:contextualSpacing w:val="0"/>
        <w:rPr>
          <w:rFonts w:eastAsia="Times New Roman" w:cs="Times New Roman"/>
        </w:rPr>
      </w:pPr>
      <w:r>
        <w:rPr>
          <w:rFonts w:eastAsia="Times New Roman" w:cs="Times New Roman"/>
        </w:rPr>
        <w:t>Both target provinces benefit from Mongolia’s exceptional solar resource. The country receives 230–260 clear-sky days per year and 2,600–3,300 hours of sunshine.</w:t>
      </w:r>
      <w:r>
        <w:rPr>
          <w:vertAlign w:val="superscript"/>
        </w:rPr>
        <w:t>[33]</w:t>
      </w:r>
      <w:r>
        <w:rPr>
          <w:rFonts w:eastAsia="Times New Roman" w:cs="Times New Roman"/>
        </w:rPr>
        <w:t xml:space="preserve"> Within this national envelope, Dundgovi sits towards the upper end (estimated 2,800–3,000 hours per year, comparable to </w:t>
      </w:r>
      <w:proofErr w:type="spellStart"/>
      <w:r>
        <w:rPr>
          <w:rFonts w:eastAsia="Times New Roman" w:cs="Times New Roman"/>
        </w:rPr>
        <w:t>Umnugovi</w:t>
      </w:r>
      <w:proofErr w:type="spellEnd"/>
      <w:r>
        <w:rPr>
          <w:rFonts w:eastAsia="Times New Roman" w:cs="Times New Roman"/>
        </w:rPr>
        <w:t xml:space="preserve"> and </w:t>
      </w:r>
      <w:proofErr w:type="spellStart"/>
      <w:r>
        <w:rPr>
          <w:rFonts w:eastAsia="Times New Roman" w:cs="Times New Roman"/>
        </w:rPr>
        <w:t>Govi-Sumber</w:t>
      </w:r>
      <w:proofErr w:type="spellEnd"/>
      <w:r>
        <w:rPr>
          <w:rFonts w:eastAsia="Times New Roman" w:cs="Times New Roman"/>
        </w:rPr>
        <w:t xml:space="preserve">), while Uvurkhangai sits in the middle of the range (estimated 2,600–2,800 hours per year), with the northern </w:t>
      </w:r>
      <w:proofErr w:type="spellStart"/>
      <w:r>
        <w:rPr>
          <w:rFonts w:eastAsia="Times New Roman" w:cs="Times New Roman"/>
        </w:rPr>
        <w:t>Khangai</w:t>
      </w:r>
      <w:proofErr w:type="spellEnd"/>
      <w:r>
        <w:rPr>
          <w:rFonts w:eastAsia="Times New Roman" w:cs="Times New Roman"/>
        </w:rPr>
        <w:t>-fringe soums slightly lower because of more frequent cumulus cloud cover in summer. Mean global horizontal irradiation on an annual basis is approximately 1,650–1,750 kWh/m²/year in Uvurkhangai and 1,750–1,900 kWh/m²/year in Dundgovi.</w:t>
      </w:r>
    </w:p>
    <w:p w14:paraId="25D839AA" w14:textId="663208F5" w:rsidR="00053FCF" w:rsidRPr="00E35798" w:rsidRDefault="00053FCF" w:rsidP="00D16E24">
      <w:pPr>
        <w:suppressAutoHyphens/>
        <w:spacing w:before="120" w:after="120" w:line="240" w:lineRule="auto"/>
        <w:contextualSpacing w:val="0"/>
        <w:rPr>
          <w:rFonts w:eastAsia="Times New Roman" w:cs="Times New Roman"/>
          <w:szCs w:val="24"/>
        </w:rPr>
      </w:pPr>
      <w:bookmarkStart w:id="43" w:name="solar-radiation-and-sunshine-hours"/>
      <w:r>
        <w:rPr>
          <w:rFonts w:eastAsia="Times New Roman" w:cs="Times New Roman"/>
          <w:szCs w:val="24"/>
        </w:rPr>
        <w:t>For solar pump and passive solar greenhouse sizing, the operationally relevant figure is not total sunshine hours but effective peak-sun hours — typically 5.0–6.5 hours per day in summer (May–August) and 3.0–4.5 hours per day in winter (November–February). In practice, this translates to 7–8 effective solar-pumping hours per day during the irrigation season once panel orientation, ambient temperature derating and dust accumulation are accounted for. These resource conditions are excellent in absolute terms and place both provinces among the world’s better solar-resource regions for off-grid agricultural application, but they coexist with two technical complications addressed in Chapter 7: rapid temperature derating of photovoltaic panels at +35 °C ambient and above, and significant performance penalties from dust accumulation during the windy spring months.</w:t>
      </w:r>
      <w:bookmarkEnd w:id="43"/>
    </w:p>
    <w:p w14:paraId="509B7346" w14:textId="39F8B187" w:rsidR="00053FCF" w:rsidRPr="00E35798" w:rsidRDefault="00053FCF" w:rsidP="00EB489E"/>
    <w:p w14:paraId="0C533932" w14:textId="7474FA7D" w:rsidR="63C9885C" w:rsidRDefault="003B4C89" w:rsidP="007D669B">
      <w:pPr>
        <w:spacing w:after="120" w:line="240" w:lineRule="auto"/>
        <w:contextualSpacing w:val="0"/>
        <w:jc w:val="center"/>
      </w:pPr>
      <w:r>
        <w:rPr>
          <w:noProof/>
        </w:rPr>
        <w:lastRenderedPageBreak/>
        <w:drawing>
          <wp:inline distT="0" distB="0" distL="0" distR="0" wp14:anchorId="50631B8F" wp14:editId="46BA79FB">
            <wp:extent cx="5760000" cy="3610275"/>
            <wp:effectExtent l="0" t="0" r="0" b="0"/>
            <wp:docPr id="1484861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t="17728"/>
                    <a:stretch/>
                  </pic:blipFill>
                  <pic:spPr bwMode="auto">
                    <a:xfrm>
                      <a:off x="0" y="0"/>
                      <a:ext cx="5760000" cy="3610275"/>
                    </a:xfrm>
                    <a:prstGeom prst="rect">
                      <a:avLst/>
                    </a:prstGeom>
                    <a:noFill/>
                    <a:ln>
                      <a:noFill/>
                    </a:ln>
                    <a:extLst>
                      <a:ext uri="{53640926-AAD7-44D8-BBD7-CCE9431645EC}">
                        <a14:shadowObscured xmlns:a14="http://schemas.microsoft.com/office/drawing/2010/main"/>
                      </a:ext>
                    </a:extLst>
                  </pic:spPr>
                </pic:pic>
              </a:graphicData>
            </a:graphic>
          </wp:inline>
        </w:drawing>
      </w:r>
    </w:p>
    <w:p w14:paraId="0B64C632" w14:textId="32912347" w:rsidR="007D669B" w:rsidRPr="007D669B" w:rsidRDefault="00DD6E97" w:rsidP="00DD6E97">
      <w:pPr>
        <w:pStyle w:val="Caption"/>
        <w:framePr w:wrap="notBeside"/>
        <w:rPr>
          <w:sz w:val="21"/>
          <w:szCs w:val="21"/>
        </w:rPr>
      </w:pPr>
      <w:r>
        <w:t xml:space="preserve">Figure </w:t>
      </w:r>
      <w:r>
        <w:fldChar w:fldCharType="begin"/>
      </w:r>
      <w:r>
        <w:instrText xml:space="preserve"> SEQ Figure \* ARABIC </w:instrText>
      </w:r>
      <w:r>
        <w:fldChar w:fldCharType="separate"/>
      </w:r>
      <w:r w:rsidR="004171B1">
        <w:rPr>
          <w:noProof/>
        </w:rPr>
        <w:t>6</w:t>
      </w:r>
      <w:r>
        <w:fldChar w:fldCharType="end"/>
      </w:r>
      <w:r>
        <w:t>.</w:t>
      </w:r>
      <w:r w:rsidR="007D669B">
        <w:rPr>
          <w:b/>
          <w:bCs/>
          <w:sz w:val="21"/>
          <w:szCs w:val="21"/>
        </w:rPr>
        <w:t xml:space="preserve">. </w:t>
      </w:r>
      <w:r w:rsidR="007D669B" w:rsidRPr="00DD6E97">
        <w:rPr>
          <w:sz w:val="21"/>
          <w:szCs w:val="21"/>
        </w:rPr>
        <w:t>Solar Resource Map of Mongolia. Direct Normal Irradiation.</w:t>
      </w:r>
      <w:r w:rsidR="007D669B">
        <w:rPr>
          <w:b/>
          <w:bCs/>
          <w:sz w:val="21"/>
          <w:szCs w:val="21"/>
        </w:rPr>
        <w:t xml:space="preserve"> </w:t>
      </w:r>
      <w:r w:rsidR="007D669B">
        <w:rPr>
          <w:sz w:val="21"/>
          <w:szCs w:val="21"/>
        </w:rPr>
        <w:t>Source: https://globalsolaratlas.info</w:t>
      </w:r>
    </w:p>
    <w:p w14:paraId="602C77BD" w14:textId="397C928E" w:rsidR="007D669B" w:rsidRDefault="007D669B" w:rsidP="00D557EA">
      <w:pPr>
        <w:pStyle w:val="Heading3"/>
      </w:pPr>
      <w:bookmarkStart w:id="44" w:name="_Toc233981258"/>
      <w:r>
        <w:t>Humidity and evapotranspiration</w:t>
      </w:r>
      <w:bookmarkEnd w:id="44"/>
    </w:p>
    <w:p w14:paraId="24FA786F" w14:textId="67338A82" w:rsidR="007D669B" w:rsidRDefault="007D669B" w:rsidP="007D669B">
      <w:pPr>
        <w:pStyle w:val="BodyText"/>
        <w:spacing w:line="240" w:lineRule="auto"/>
      </w:pPr>
      <w:bookmarkStart w:id="45" w:name="climate-characteristics"/>
      <w:bookmarkStart w:id="46" w:name="humidity-and-evapotranspiration"/>
      <w:r>
        <w:t xml:space="preserve">Annual mean relative humidity is consistently low across both provinces — approximately 50–55 % in central Uvurkhangai and approximately 45–50 % in Dundgovi, with extreme summer afternoon values frequently dropping below 20 </w:t>
      </w:r>
      <w:proofErr w:type="gramStart"/>
      <w:r>
        <w:t>%.</w:t>
      </w:r>
      <w:r>
        <w:rPr>
          <w:vertAlign w:val="superscript"/>
        </w:rPr>
        <w:t>[</w:t>
      </w:r>
      <w:proofErr w:type="gramEnd"/>
      <w:r>
        <w:rPr>
          <w:vertAlign w:val="superscript"/>
        </w:rPr>
        <w:t>21, 26]</w:t>
      </w:r>
      <w:r>
        <w:t xml:space="preserve"> Combined with high solar radiation and persistent winds, these humidity conditions sustain very high atmospheric evaporative demand. Estimated reference evapotranspiration (ET₀) is in the order of 800–1,000 mm/year in Uvurkhangai and 1,100–1,300 mm/year in Dundgovi, against annual precipitation of 200–250 mm and 100–150 mm respectively. The implied moisture deficit (P–ET₀) is approximately 600–800 mm/year in Uvurkhangai and 950–1,200 mm/year in Dundgovi, and the resulting aridity index (P/ET₀) is approximately 0.20–0.30 in Uvurkhangai and 0.10–0.13 in Dundgovi. These figures classify Uvurkhangai broadly as semi-arid (UNEP aridity index 0.20–0.50) and Dundgovi unambiguously as arid (0.05–0.20). The technological consequence is direct: in Dundgovi, every kilogram of vegetable produced from open-field conditions requires water inputs that significantly exceed the natural rainfall supply, and any irrigation method that wets the soil surface or the foliage incurs substantial evaporative losses. This drives the assessment toward closed protected-cultivation systems and high-efficiency drip irrigation as default rather than optional choices.</w:t>
      </w:r>
      <w:bookmarkEnd w:id="45"/>
      <w:bookmarkEnd w:id="46"/>
    </w:p>
    <w:p w14:paraId="0EEFD679" w14:textId="77777777" w:rsidR="007D669B" w:rsidRDefault="007D669B" w:rsidP="00EB489E"/>
    <w:p w14:paraId="59596E9D" w14:textId="692B58CE" w:rsidR="00AA05E8" w:rsidRPr="00E35798" w:rsidRDefault="00AA05E8" w:rsidP="00D16E24">
      <w:pPr>
        <w:pStyle w:val="Heading2"/>
        <w:spacing w:line="240" w:lineRule="auto"/>
        <w:contextualSpacing w:val="0"/>
      </w:pPr>
      <w:bookmarkStart w:id="47" w:name="_Toc233981259"/>
      <w:r>
        <w:t>Wind, sand and dust storms</w:t>
      </w:r>
      <w:bookmarkEnd w:id="47"/>
    </w:p>
    <w:p w14:paraId="22C9898B" w14:textId="77777777" w:rsidR="00223259" w:rsidRDefault="00AA05E8" w:rsidP="00223259">
      <w:r>
        <w:t xml:space="preserve">Wind is one of the defining biophysical constraints in both provinces, but with different severity. Sand and dust storm events occur on more than 30 days per year in southern provinces, 15–30 days in central provinces, and less than 10 days in the north. Both target </w:t>
      </w:r>
      <w:proofErr w:type="spellStart"/>
      <w:r>
        <w:t>aimags</w:t>
      </w:r>
      <w:proofErr w:type="spellEnd"/>
      <w:r>
        <w:t xml:space="preserve"> sit in the higher-risk zones but with measurable differences in absolute severity.</w:t>
      </w:r>
    </w:p>
    <w:p w14:paraId="47467F05" w14:textId="77777777" w:rsidR="00223259" w:rsidRDefault="00223259" w:rsidP="00223259"/>
    <w:p w14:paraId="700E7B84" w14:textId="28AE718A" w:rsidR="005E5D63" w:rsidRDefault="003C79D9" w:rsidP="00223259">
      <w:r>
        <w:t xml:space="preserve">The 2024 weather records at </w:t>
      </w:r>
      <w:proofErr w:type="spellStart"/>
      <w:r>
        <w:t>Arvaikheer</w:t>
      </w:r>
      <w:proofErr w:type="spellEnd"/>
      <w:r>
        <w:t xml:space="preserve"> station (Uvurkhangai aimag centre) show three days with winds of 15 m/s or above and 12 days with sand or dust storm conditions over the year.</w:t>
      </w:r>
      <w:r>
        <w:rPr>
          <w:vertAlign w:val="superscript"/>
        </w:rPr>
        <w:t>[27]</w:t>
      </w:r>
      <w:r>
        <w:t xml:space="preserve"> Across the longer reference period (1991–2020), strong-wind frequencies are higher in the southern Gobi soums than in the northern </w:t>
      </w:r>
      <w:proofErr w:type="spellStart"/>
      <w:r>
        <w:t>Khangai</w:t>
      </w:r>
      <w:proofErr w:type="spellEnd"/>
      <w:r>
        <w:t xml:space="preserve"> soums. The 2025 cropping season was marked by a major hail event in Kharkhorin soum that damaged 1,038 ha of wheat, fodder and oilseed crops — a localised but operationally significant illustration of how short-duration extreme weather events can wipe out a season’s investment on prepared cropland.</w:t>
      </w:r>
      <w:r>
        <w:rPr>
          <w:vertAlign w:val="superscript"/>
        </w:rPr>
        <w:t>[13]</w:t>
      </w:r>
    </w:p>
    <w:p w14:paraId="346B276A" w14:textId="77777777" w:rsidR="00223259" w:rsidRDefault="00223259" w:rsidP="003C79D9">
      <w:pPr>
        <w:pStyle w:val="BodyText"/>
        <w:contextualSpacing w:val="0"/>
      </w:pPr>
    </w:p>
    <w:p w14:paraId="21A9E0E6" w14:textId="7683AC05" w:rsidR="003C79D9" w:rsidRDefault="003C79D9" w:rsidP="003C79D9">
      <w:pPr>
        <w:pStyle w:val="BodyText"/>
        <w:contextualSpacing w:val="0"/>
      </w:pPr>
      <w:r>
        <w:lastRenderedPageBreak/>
        <w:t>In Dundgovi, the situation is materially more demanding. Over the 2003–2021 period, the IRIMHE record contains 6,552 distinct hazardous-weather events at provincial scale, of which 43.8 % were strong winds, 25.5 % snow or combined snow-and-wind storms, 14.9 % sand or dust storms, and the remainder hail, freezing rain or other events. Of the 44 most severe (catastrophic-class) events on record, 23 (52.3 %) were sand or dust storms, 11 (25.0 %) were strong winds, and 10 (22.7 %) were snow or combined storms.</w:t>
      </w:r>
      <w:r>
        <w:rPr>
          <w:vertAlign w:val="superscript"/>
        </w:rPr>
        <w:t>[3, 26]</w:t>
      </w:r>
      <w:r>
        <w:t xml:space="preserve"> The number of days per year with winds ≥ 15 m/s rose from 65 in 2001 to 198 in 2020 across the province — i.e., a roughly threefold increase over twenty years — while the average number of days with sand or dust storm conditions has remained in the range of 100–315 per year.</w:t>
      </w:r>
      <w:r>
        <w:rPr>
          <w:vertAlign w:val="superscript"/>
        </w:rPr>
        <w:t>[3]</w:t>
      </w:r>
      <w:r>
        <w:t xml:space="preserve"> The catastrophic event of 14 March 2021, the largest in the province’s recorded history, illustrates the order of magnitude involved: westerly to north-westerly winds reached 28 m/s at </w:t>
      </w:r>
      <w:proofErr w:type="spellStart"/>
      <w:r>
        <w:t>Adaatsag</w:t>
      </w:r>
      <w:proofErr w:type="spellEnd"/>
      <w:r>
        <w:t xml:space="preserve">, Luus and </w:t>
      </w:r>
      <w:proofErr w:type="spellStart"/>
      <w:r>
        <w:t>Bayanjargalan</w:t>
      </w:r>
      <w:proofErr w:type="spellEnd"/>
      <w:r>
        <w:t xml:space="preserve"> soums, gusts elsewhere in the province reached 16–24 m/s, and the dust storm reduced visibility to less than 20 m at </w:t>
      </w:r>
      <w:proofErr w:type="spellStart"/>
      <w:r>
        <w:t>Gurvansaikhan</w:t>
      </w:r>
      <w:proofErr w:type="spellEnd"/>
      <w:r>
        <w:t xml:space="preserve">. The strong wind episode lasted approximately 11 hours, and seven high-tension transmission-line towers between supports nos. 342 and 348 collapsed under the wind load, in addition to extensive losses of livestock and pasture </w:t>
      </w:r>
      <w:proofErr w:type="gramStart"/>
      <w:r>
        <w:t>top soil</w:t>
      </w:r>
      <w:proofErr w:type="gramEnd"/>
      <w:r>
        <w:t>.</w:t>
      </w:r>
      <w:r>
        <w:rPr>
          <w:vertAlign w:val="superscript"/>
        </w:rPr>
        <w:t>[3]</w:t>
      </w:r>
    </w:p>
    <w:p w14:paraId="63119026" w14:textId="2746768E" w:rsidR="00AA05E8" w:rsidRPr="00E35798" w:rsidRDefault="00AA05E8" w:rsidP="00EB489E">
      <w:r>
        <w:t>Such episodes destroy lightweight plastic tunnels and unreinforced low-cost greenhouses, which is why the technology assessment in Chapter 7 requires wind-resistant designs for Dundgovi: the earth-sheltered passive-solar greenhouse, whose massive walls and low profile resist wind loads, sited behind protective shelterbelts, with a 120 km/h wind-rated polycarbonate structure on a reinforced galvanized-steel frame retained as a higher-specification, co-financed option — rather than the lighter polytunnels that are adequate only in more sheltered parts of northern and central Uvurkhangai.</w:t>
      </w:r>
    </w:p>
    <w:p w14:paraId="146D9DDF" w14:textId="77777777" w:rsidR="00223259" w:rsidRDefault="00223259" w:rsidP="00EB489E"/>
    <w:p w14:paraId="33D3FC8A" w14:textId="0DD3E10E" w:rsidR="00AA05E8" w:rsidRDefault="00AA05E8" w:rsidP="00EB489E">
      <w:r>
        <w:t>Prevailing winds in both provinces are from the north and north-west in winter and from the south-west in summer. Spring (March–May) is consistently the windiest season, coinciding with the most agriculturally sensitive period with early crop establishment in greenhouses and outdoor field preparation.</w:t>
      </w:r>
    </w:p>
    <w:p w14:paraId="3EBF0951" w14:textId="66F6CDC3" w:rsidR="00D557EA" w:rsidRDefault="00D557EA" w:rsidP="00D557EA">
      <w:pPr>
        <w:pStyle w:val="Heading3"/>
      </w:pPr>
      <w:bookmarkStart w:id="48" w:name="_Toc233981260"/>
      <w:r>
        <w:t>Implication for shelterbelt design</w:t>
      </w:r>
      <w:bookmarkEnd w:id="48"/>
    </w:p>
    <w:p w14:paraId="1C5B788E" w14:textId="30853669" w:rsidR="00D557EA" w:rsidRDefault="00D557EA" w:rsidP="00EB489E">
      <w:r>
        <w:t xml:space="preserve">The wind and dust regime described above creates a strong case for siting agroforestry shelterbelts as the first protective layer for any greenhouse cluster or open-field vegetable plot in either province. Empirical work in comparable dryland systems shows that well-designed multi-row shelterbelts can reduce wind speed by 40–60 % over a horizontal distance of 10–15 times the shelterbelt height (i.e., a 5 m belt protects effectively for 50–75 m downwind), suppress local sand and dust mobilisation, raise downwind soil moisture by 5–15 %, and reduce mechanical damage to vegetable crops by an order of magnitude. The Government’s “Billion Trees” programme provides the institutional and partial financial scaffolding for such investments at provincial scale, and both target </w:t>
      </w:r>
      <w:proofErr w:type="spellStart"/>
      <w:r>
        <w:t>aimags</w:t>
      </w:r>
      <w:proofErr w:type="spellEnd"/>
      <w:r>
        <w:t xml:space="preserve"> already host non-trivial shelterbelt programmes of their own (see Section 4.7).</w:t>
      </w:r>
    </w:p>
    <w:p w14:paraId="6B6A2228" w14:textId="77777777" w:rsidR="007D669B" w:rsidRPr="00E35798" w:rsidRDefault="007D669B" w:rsidP="00EB489E"/>
    <w:p w14:paraId="668C01D6" w14:textId="3A7C557B" w:rsidR="00AA05E8" w:rsidRPr="00E35798" w:rsidRDefault="00AA05E8" w:rsidP="00D16E24">
      <w:pPr>
        <w:pStyle w:val="Heading2"/>
        <w:spacing w:line="240" w:lineRule="auto"/>
        <w:contextualSpacing w:val="0"/>
      </w:pPr>
      <w:bookmarkStart w:id="49" w:name="_Toc233981261"/>
      <w:r>
        <w:t>Frost-free period and operating season</w:t>
      </w:r>
      <w:bookmarkEnd w:id="49"/>
    </w:p>
    <w:p w14:paraId="242F686E" w14:textId="243085DA" w:rsidR="00AA05E8" w:rsidRPr="00E35798" w:rsidRDefault="00AA05E8" w:rsidP="00EB489E">
      <w:r>
        <w:t xml:space="preserve">The nationwide frost-free period in Mongolia is in the order of 90–110 days, with considerable regional variation. For Uvurkhangai, the effective frost-free period at </w:t>
      </w:r>
      <w:proofErr w:type="spellStart"/>
      <w:r>
        <w:t>Arvaikheer</w:t>
      </w:r>
      <w:proofErr w:type="spellEnd"/>
      <w:r>
        <w:t xml:space="preserve"> is approximately 100–115 days (mid-May to mid-September), shortening to 90–100 days in northern soums. For Dundgovi, it is somewhat longer — approximately 115–130 days (early May to mid-September) — because of the warmer summer thermal regime, but this gain is offset by moisture limitation. Late spring frosts (recurrent until early June at higher elevations) and early autumn frosts (occurring as early as the first week of September in some years) regularly truncate the cycle further.</w:t>
      </w:r>
    </w:p>
    <w:p w14:paraId="6D5EF74E" w14:textId="77777777" w:rsidR="00223259" w:rsidRDefault="00223259" w:rsidP="00EB489E"/>
    <w:p w14:paraId="4A068A94" w14:textId="4C4E27F0" w:rsidR="00936C49" w:rsidRDefault="00AA05E8" w:rsidP="00EB489E">
      <w:r>
        <w:t xml:space="preserve">For protected cultivation, what matters is not the open-field frost-free period but the extended passive-greenhouse operating season. Based on earth-sheltered passive solar design performance (+12 °C interior at −15 °C external, verified), the operating season is approximately 9 months (February–November) in </w:t>
      </w:r>
      <w:proofErr w:type="gramStart"/>
      <w:r>
        <w:t>Uvurkhangai  and</w:t>
      </w:r>
      <w:proofErr w:type="gramEnd"/>
      <w:r>
        <w:t xml:space="preserve"> 8 months (late February–October) in Dundgovi, with the difference driven by the higher frequency of severe sandstorm events in Dundgovi during February and November that would make opening ventilation hatches unsafe.</w:t>
      </w:r>
    </w:p>
    <w:p w14:paraId="1459008F" w14:textId="77777777" w:rsidR="00936C49" w:rsidRPr="00E35798" w:rsidRDefault="00936C49" w:rsidP="00EB489E"/>
    <w:p w14:paraId="3B73D48C" w14:textId="75AE625A" w:rsidR="00AA05E8" w:rsidRPr="00E35798" w:rsidRDefault="00AA05E8" w:rsidP="00D16E24">
      <w:pPr>
        <w:pStyle w:val="Heading2"/>
        <w:spacing w:line="240" w:lineRule="auto"/>
        <w:contextualSpacing w:val="0"/>
      </w:pPr>
      <w:bookmarkStart w:id="50" w:name="_Toc233981262"/>
      <w:r>
        <w:t>Water resources</w:t>
      </w:r>
      <w:bookmarkEnd w:id="50"/>
    </w:p>
    <w:p w14:paraId="2ECC08A2" w14:textId="77777777" w:rsidR="00DE32E1" w:rsidRPr="00E35798" w:rsidRDefault="00DE32E1" w:rsidP="00EB489E">
      <w:r>
        <w:t>Water availability not temperature is the ultimate limiting resource for smallholder vegetable production in both provinces, and the two provinces differ fundamentally in how that water can be accessed.</w:t>
      </w:r>
    </w:p>
    <w:p w14:paraId="6473F3DC" w14:textId="1D3AD4CD" w:rsidR="00DE32E1" w:rsidRPr="00E35798" w:rsidRDefault="00DE32E1" w:rsidP="00D16E24">
      <w:pPr>
        <w:pStyle w:val="Heading3"/>
        <w:spacing w:line="240" w:lineRule="auto"/>
        <w:contextualSpacing w:val="0"/>
      </w:pPr>
      <w:bookmarkStart w:id="51" w:name="_Toc233981263"/>
      <w:r>
        <w:lastRenderedPageBreak/>
        <w:t>Surface water</w:t>
      </w:r>
      <w:bookmarkEnd w:id="51"/>
    </w:p>
    <w:p w14:paraId="4F5F23ED" w14:textId="5CEF89A9" w:rsidR="00DE32E1" w:rsidRPr="00E35798" w:rsidRDefault="000B0B96" w:rsidP="00EB489E">
      <w:r>
        <w:t xml:space="preserve">Uvurkhangai benefits from a meaningful surface water network. The Orkhon river — Mongolia's longest — crosses the northern part of the province, and the </w:t>
      </w:r>
      <w:proofErr w:type="spellStart"/>
      <w:r>
        <w:t>Ongi</w:t>
      </w:r>
      <w:proofErr w:type="spellEnd"/>
      <w:r>
        <w:t xml:space="preserve"> river, together with a series of smaller tributaries and spring-fed streams, provides perennial flow through several of the central soums. While direct river diversion to smallholder vegetable plots is limited by topography and institutional arrangements, the presence of surface water supports a relatively shallow regional water table and enables gravity-fed drip irrigation systems in a subset of soums.</w:t>
      </w:r>
      <w:r>
        <w:rPr>
          <w:vertAlign w:val="superscript"/>
        </w:rPr>
        <w:t>[21]</w:t>
      </w:r>
    </w:p>
    <w:p w14:paraId="5E5E8A55" w14:textId="77777777" w:rsidR="00223259" w:rsidRDefault="00223259" w:rsidP="00EB489E"/>
    <w:p w14:paraId="0FF20F3F" w14:textId="6F42525C" w:rsidR="00DE32E1" w:rsidRPr="00E35798" w:rsidRDefault="00DE32E1" w:rsidP="00EB489E">
      <w:r>
        <w:t>Dundgovi has essentially no exploitable perennial surface water. Watercourses are ephemeral, flowing only in response to summer rainfall events; small depressions and saline pans occur but are not fresh and not suitable for vegetable irrigation. As a result, any irrigated production in Dundgovi is necessarily groundwater-based.</w:t>
      </w:r>
      <w:r>
        <w:rPr>
          <w:vertAlign w:val="superscript"/>
        </w:rPr>
        <w:t>[31]</w:t>
      </w:r>
    </w:p>
    <w:p w14:paraId="543F96B0" w14:textId="5E698F83" w:rsidR="00DE32E1" w:rsidRPr="00E35798" w:rsidRDefault="00DE32E1" w:rsidP="00D16E24">
      <w:pPr>
        <w:pStyle w:val="Heading3"/>
        <w:spacing w:line="240" w:lineRule="auto"/>
        <w:contextualSpacing w:val="0"/>
      </w:pPr>
      <w:bookmarkStart w:id="52" w:name="_Toc233981264"/>
      <w:r>
        <w:t>Groundwater</w:t>
      </w:r>
      <w:bookmarkEnd w:id="52"/>
    </w:p>
    <w:p w14:paraId="4D6B54E0" w14:textId="246C6F55" w:rsidR="00DE32E1" w:rsidRPr="00E35798" w:rsidRDefault="00DE32E1" w:rsidP="00EB489E">
      <w:r>
        <w:t xml:space="preserve">In Uvurkhangai, groundwater is accessible at shallow depths throughout the central and northern parts of the province — typically 5 to 25 m below surface — reflecting the regional hydrogeology of the </w:t>
      </w:r>
      <w:proofErr w:type="spellStart"/>
      <w:r>
        <w:t>Khangai</w:t>
      </w:r>
      <w:proofErr w:type="spellEnd"/>
      <w:r>
        <w:t xml:space="preserve"> foothills and the alluvial aquifers associated with the Orkhon and </w:t>
      </w:r>
      <w:proofErr w:type="spellStart"/>
      <w:r>
        <w:t>Ongi</w:t>
      </w:r>
      <w:proofErr w:type="spellEnd"/>
      <w:r>
        <w:t xml:space="preserve"> systems.</w:t>
      </w:r>
      <w:r>
        <w:rPr>
          <w:vertAlign w:val="superscript"/>
        </w:rPr>
        <w:t xml:space="preserve">[21] </w:t>
      </w:r>
      <w:r>
        <w:t>This depth range is directly pumpable with Direct DC Surface Pumps (without battery storage) over effective solar hours, which is why the primary recommendation for Uvurkhangai is "direct solar, no battery”. In several soums, the existence of natural elevation differentials between the well or borehole and the cultivated plot (typically 5–10 m) further allows for gravity-fed drip irrigation to be combined with pumping, eliminating energy costs entirely once the header tank is filled.</w:t>
      </w:r>
    </w:p>
    <w:p w14:paraId="1B5B2AEE" w14:textId="77777777" w:rsidR="00223259" w:rsidRDefault="00223259" w:rsidP="00EB489E"/>
    <w:p w14:paraId="149DBA4E" w14:textId="6BEDC2E8" w:rsidR="00DE32E1" w:rsidRPr="00E35798" w:rsidRDefault="00DE32E1" w:rsidP="00EB489E">
      <w:r>
        <w:t xml:space="preserve">In Dundgovi, static groundwater levels are substantially deeper — typically 50 to 150 m — reflecting the regional aquifer geometry of the Southern Gobi basin. These depths require submersible DC pumps with higher head capacity and, critically, </w:t>
      </w:r>
      <w:proofErr w:type="spellStart"/>
      <w:r>
        <w:t>LiFePO</w:t>
      </w:r>
      <w:proofErr w:type="spellEnd"/>
      <w:r>
        <w:t xml:space="preserve">₄ battery storage of at least 10–15 kWh to buffer supply across cloudy periods and to extend pumping into early-morning and late-afternoon hours outside peak insolation. </w:t>
      </w:r>
    </w:p>
    <w:p w14:paraId="1EA45C86" w14:textId="21575585" w:rsidR="00D527AF" w:rsidRDefault="00DE32E1" w:rsidP="00EB489E">
      <w:r>
        <w:t>Groundwater quality is acceptable for vegetable irrigation in most locations of both provinces, but localised salinity and fluoride anomalies are documented in Dundgovi and should be checked on a site-by-site basis before final technology procurement. Over-abstraction risk —maladaptation risk — is non-trivial in Dundgovi because recharge rates in the deep aquifers are very low (groundwater mean residence time measured in decades to centuries in regional hydrogeological studies), meaning that unregulated solar pumping could draw down the aquifer faster than it is replenished.</w:t>
      </w:r>
    </w:p>
    <w:p w14:paraId="4A59F283" w14:textId="77777777" w:rsidR="00223259" w:rsidRPr="00E35798" w:rsidRDefault="00223259" w:rsidP="00EB489E"/>
    <w:p w14:paraId="19FFF4F0" w14:textId="668FFB96" w:rsidR="00D527AF" w:rsidRPr="00E35798" w:rsidRDefault="00D527AF" w:rsidP="00D16E24">
      <w:pPr>
        <w:pStyle w:val="Caption"/>
        <w:keepNext/>
        <w:framePr w:wrap="notBeside"/>
        <w:spacing w:after="120"/>
        <w:contextualSpacing w:val="0"/>
      </w:pPr>
      <w:r>
        <w:t>Table 11. Groundwater conditions summary</w:t>
      </w:r>
    </w:p>
    <w:tbl>
      <w:tblPr>
        <w:tblStyle w:val="PlainTable2"/>
        <w:tblW w:w="9360" w:type="dxa"/>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3120"/>
        <w:gridCol w:w="3120"/>
        <w:gridCol w:w="3120"/>
      </w:tblGrid>
      <w:tr w:rsidR="00D527AF" w:rsidRPr="00E35798" w14:paraId="33DB7C09" w14:textId="77777777" w:rsidTr="00ED7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bottom w:val="none" w:sz="0" w:space="0" w:color="auto"/>
            </w:tcBorders>
            <w:shd w:val="clear" w:color="auto" w:fill="E99E6D" w:themeFill="accent3"/>
          </w:tcPr>
          <w:p w14:paraId="513D65DA" w14:textId="77777777" w:rsidR="00D527AF" w:rsidRPr="00E35798" w:rsidRDefault="00D527AF" w:rsidP="00ED71A8">
            <w:pPr>
              <w:pStyle w:val="OikoTables02"/>
            </w:pPr>
            <w:r>
              <w:t>Parameter</w:t>
            </w:r>
          </w:p>
        </w:tc>
        <w:tc>
          <w:tcPr>
            <w:tcW w:w="3120" w:type="dxa"/>
            <w:tcBorders>
              <w:bottom w:val="none" w:sz="0" w:space="0" w:color="auto"/>
            </w:tcBorders>
            <w:shd w:val="clear" w:color="auto" w:fill="E99E6D" w:themeFill="accent3"/>
          </w:tcPr>
          <w:p w14:paraId="3B793549" w14:textId="7E9A9672" w:rsidR="00D527AF" w:rsidRPr="00E35798" w:rsidRDefault="000B0B96" w:rsidP="00ED71A8">
            <w:pPr>
              <w:pStyle w:val="OikoTables02"/>
              <w:cnfStyle w:val="100000000000" w:firstRow="1" w:lastRow="0" w:firstColumn="0" w:lastColumn="0" w:oddVBand="0" w:evenVBand="0" w:oddHBand="0" w:evenHBand="0" w:firstRowFirstColumn="0" w:firstRowLastColumn="0" w:lastRowFirstColumn="0" w:lastRowLastColumn="0"/>
            </w:pPr>
            <w:r w:rsidRPr="7E00F032">
              <w:rPr>
                <w:lang w:val="en-GB"/>
              </w:rPr>
              <w:t xml:space="preserve">Uvurkhangai </w:t>
            </w:r>
          </w:p>
        </w:tc>
        <w:tc>
          <w:tcPr>
            <w:tcW w:w="3120" w:type="dxa"/>
            <w:tcBorders>
              <w:bottom w:val="none" w:sz="0" w:space="0" w:color="auto"/>
            </w:tcBorders>
            <w:shd w:val="clear" w:color="auto" w:fill="E99E6D" w:themeFill="accent3"/>
          </w:tcPr>
          <w:p w14:paraId="33FE0A3C" w14:textId="77777777" w:rsidR="00D527AF" w:rsidRPr="00E35798" w:rsidRDefault="00D527AF" w:rsidP="00ED71A8">
            <w:pPr>
              <w:pStyle w:val="OikoTables02"/>
              <w:cnfStyle w:val="100000000000" w:firstRow="1" w:lastRow="0" w:firstColumn="0" w:lastColumn="0" w:oddVBand="0" w:evenVBand="0" w:oddHBand="0" w:evenHBand="0" w:firstRowFirstColumn="0" w:firstRowLastColumn="0" w:lastRowFirstColumn="0" w:lastRowLastColumn="0"/>
            </w:pPr>
            <w:r w:rsidRPr="7E00F032">
              <w:rPr>
                <w:lang w:val="en-GB"/>
              </w:rPr>
              <w:t>Dundgovi</w:t>
            </w:r>
          </w:p>
        </w:tc>
      </w:tr>
      <w:tr w:rsidR="00D527AF" w:rsidRPr="00E35798" w14:paraId="666E1D94"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06322FC1" w14:textId="77777777" w:rsidR="00D527AF" w:rsidRPr="00E35798" w:rsidRDefault="00D527AF" w:rsidP="00D16E24">
            <w:pPr>
              <w:pStyle w:val="OikoTables03Content"/>
              <w:spacing w:after="120" w:line="240" w:lineRule="auto"/>
              <w:rPr>
                <w:lang w:val="en-GB"/>
              </w:rPr>
            </w:pPr>
            <w:r>
              <w:rPr>
                <w:lang w:val="en-GB"/>
              </w:rPr>
              <w:t>Static groundwater depth (typical)</w:t>
            </w:r>
          </w:p>
        </w:tc>
        <w:tc>
          <w:tcPr>
            <w:tcW w:w="3120" w:type="dxa"/>
            <w:tcBorders>
              <w:top w:val="none" w:sz="0" w:space="0" w:color="auto"/>
              <w:bottom w:val="none" w:sz="0" w:space="0" w:color="auto"/>
            </w:tcBorders>
          </w:tcPr>
          <w:p w14:paraId="4E5EA15B" w14:textId="77777777" w:rsidR="00D527AF" w:rsidRPr="00E35798" w:rsidRDefault="00D527A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5 – 25 m</w:t>
            </w:r>
          </w:p>
        </w:tc>
        <w:tc>
          <w:tcPr>
            <w:tcW w:w="3120" w:type="dxa"/>
            <w:tcBorders>
              <w:top w:val="none" w:sz="0" w:space="0" w:color="auto"/>
              <w:bottom w:val="none" w:sz="0" w:space="0" w:color="auto"/>
            </w:tcBorders>
          </w:tcPr>
          <w:p w14:paraId="1F60FA46" w14:textId="77777777" w:rsidR="00D527AF" w:rsidRPr="00E35798" w:rsidRDefault="00D527A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50 – 150 m</w:t>
            </w:r>
          </w:p>
        </w:tc>
      </w:tr>
      <w:tr w:rsidR="00C150DE" w:rsidRPr="00E35798" w14:paraId="1DA2888A"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vAlign w:val="center"/>
          </w:tcPr>
          <w:p w14:paraId="6D187D77" w14:textId="23919A45" w:rsidR="00C150DE" w:rsidRPr="00E35798" w:rsidRDefault="00C150DE" w:rsidP="00C150DE">
            <w:pPr>
              <w:pStyle w:val="OikoTables03Content"/>
              <w:spacing w:after="120" w:line="240" w:lineRule="auto"/>
              <w:rPr>
                <w:lang w:val="en-GB"/>
              </w:rPr>
            </w:pPr>
            <w:r>
              <w:rPr>
                <w:sz w:val="20"/>
              </w:rPr>
              <w:t>Aquifer type</w:t>
            </w:r>
          </w:p>
        </w:tc>
        <w:tc>
          <w:tcPr>
            <w:tcW w:w="3120" w:type="dxa"/>
            <w:vAlign w:val="center"/>
          </w:tcPr>
          <w:p w14:paraId="5F9237EA" w14:textId="23D81139" w:rsidR="00C150DE" w:rsidRPr="00E35798" w:rsidRDefault="00C150DE" w:rsidP="00C150DE">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sz w:val="20"/>
              </w:rPr>
              <w:t xml:space="preserve">Alluvial / fissure-flow in </w:t>
            </w:r>
            <w:proofErr w:type="spellStart"/>
            <w:r>
              <w:rPr>
                <w:sz w:val="20"/>
              </w:rPr>
              <w:t>Khangai</w:t>
            </w:r>
            <w:proofErr w:type="spellEnd"/>
            <w:r>
              <w:rPr>
                <w:sz w:val="20"/>
              </w:rPr>
              <w:t xml:space="preserve"> foothills</w:t>
            </w:r>
          </w:p>
        </w:tc>
        <w:tc>
          <w:tcPr>
            <w:tcW w:w="3120" w:type="dxa"/>
            <w:vAlign w:val="center"/>
          </w:tcPr>
          <w:p w14:paraId="0777E540" w14:textId="33198E7A" w:rsidR="00C150DE" w:rsidRPr="00E35798" w:rsidRDefault="00C150DE" w:rsidP="00C150DE">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sz w:val="20"/>
              </w:rPr>
              <w:t>Deep confined Gobi basin aquifer</w:t>
            </w:r>
          </w:p>
        </w:tc>
      </w:tr>
      <w:tr w:rsidR="00C150DE" w:rsidRPr="00E35798" w14:paraId="7BAFFA4F"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vAlign w:val="center"/>
          </w:tcPr>
          <w:p w14:paraId="13E51386" w14:textId="767B9ED5" w:rsidR="00C150DE" w:rsidRPr="00E35798" w:rsidRDefault="00C150DE" w:rsidP="00C150DE">
            <w:pPr>
              <w:pStyle w:val="OikoTables03Content"/>
              <w:spacing w:after="120" w:line="240" w:lineRule="auto"/>
              <w:rPr>
                <w:lang w:val="en-GB"/>
              </w:rPr>
            </w:pPr>
            <w:r>
              <w:rPr>
                <w:sz w:val="20"/>
              </w:rPr>
              <w:t>Recharge regime</w:t>
            </w:r>
          </w:p>
        </w:tc>
        <w:tc>
          <w:tcPr>
            <w:tcW w:w="3120" w:type="dxa"/>
            <w:tcBorders>
              <w:top w:val="none" w:sz="0" w:space="0" w:color="auto"/>
              <w:bottom w:val="none" w:sz="0" w:space="0" w:color="auto"/>
            </w:tcBorders>
            <w:vAlign w:val="center"/>
          </w:tcPr>
          <w:p w14:paraId="562AA554" w14:textId="7F893A46" w:rsidR="00C150DE" w:rsidRPr="00E35798" w:rsidRDefault="00C150DE" w:rsidP="00C150DE">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sz w:val="20"/>
              </w:rPr>
              <w:t>Moderate; from Orkhon/</w:t>
            </w:r>
            <w:proofErr w:type="spellStart"/>
            <w:r>
              <w:rPr>
                <w:sz w:val="20"/>
              </w:rPr>
              <w:t>Ongi</w:t>
            </w:r>
            <w:proofErr w:type="spellEnd"/>
            <w:r>
              <w:rPr>
                <w:sz w:val="20"/>
              </w:rPr>
              <w:t xml:space="preserve"> snowmelt and orographic precipitation</w:t>
            </w:r>
          </w:p>
        </w:tc>
        <w:tc>
          <w:tcPr>
            <w:tcW w:w="3120" w:type="dxa"/>
            <w:tcBorders>
              <w:top w:val="none" w:sz="0" w:space="0" w:color="auto"/>
              <w:bottom w:val="none" w:sz="0" w:space="0" w:color="auto"/>
            </w:tcBorders>
            <w:vAlign w:val="center"/>
          </w:tcPr>
          <w:p w14:paraId="3D15782C" w14:textId="4E8D9B05" w:rsidR="00C150DE" w:rsidRPr="00E35798" w:rsidRDefault="00C150DE" w:rsidP="00C150DE">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sz w:val="20"/>
              </w:rPr>
              <w:t>Very low; long mean residence time (decades–centuries)</w:t>
            </w:r>
          </w:p>
        </w:tc>
      </w:tr>
      <w:tr w:rsidR="00D527AF" w:rsidRPr="00E35798" w14:paraId="4BFB8577"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2971A1EA" w14:textId="77777777" w:rsidR="00D527AF" w:rsidRPr="00E35798" w:rsidRDefault="00D527AF" w:rsidP="00D16E24">
            <w:pPr>
              <w:pStyle w:val="OikoTables03Content"/>
              <w:spacing w:after="120" w:line="240" w:lineRule="auto"/>
              <w:rPr>
                <w:lang w:val="en-GB"/>
              </w:rPr>
            </w:pPr>
            <w:r>
              <w:rPr>
                <w:lang w:val="en-GB"/>
              </w:rPr>
              <w:t>Typical well/borehole type</w:t>
            </w:r>
          </w:p>
        </w:tc>
        <w:tc>
          <w:tcPr>
            <w:tcW w:w="3120" w:type="dxa"/>
          </w:tcPr>
          <w:p w14:paraId="075D5E1C" w14:textId="77777777" w:rsidR="00D527AF" w:rsidRPr="00E35798" w:rsidRDefault="00D527A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Shallow hand-dug or cased well</w:t>
            </w:r>
          </w:p>
        </w:tc>
        <w:tc>
          <w:tcPr>
            <w:tcW w:w="3120" w:type="dxa"/>
          </w:tcPr>
          <w:p w14:paraId="23F01251" w14:textId="77777777" w:rsidR="00D527AF" w:rsidRPr="00E35798" w:rsidRDefault="00D527A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Deep drilled borehole</w:t>
            </w:r>
          </w:p>
        </w:tc>
      </w:tr>
      <w:tr w:rsidR="00D527AF" w:rsidRPr="00E35798" w14:paraId="2785E85C"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tcPr>
          <w:p w14:paraId="0B3C107B" w14:textId="77777777" w:rsidR="00D527AF" w:rsidRPr="00E35798" w:rsidRDefault="00D527AF" w:rsidP="00D16E24">
            <w:pPr>
              <w:pStyle w:val="OikoTables03Content"/>
              <w:spacing w:after="120" w:line="240" w:lineRule="auto"/>
              <w:rPr>
                <w:lang w:val="en-GB"/>
              </w:rPr>
            </w:pPr>
            <w:r>
              <w:rPr>
                <w:lang w:val="en-GB"/>
              </w:rPr>
              <w:t>Suitable pump configuration</w:t>
            </w:r>
          </w:p>
        </w:tc>
        <w:tc>
          <w:tcPr>
            <w:tcW w:w="3120" w:type="dxa"/>
            <w:tcBorders>
              <w:top w:val="none" w:sz="0" w:space="0" w:color="auto"/>
              <w:bottom w:val="none" w:sz="0" w:space="0" w:color="auto"/>
            </w:tcBorders>
          </w:tcPr>
          <w:p w14:paraId="1A5107E4" w14:textId="77777777" w:rsidR="00D527AF" w:rsidRPr="00E35798" w:rsidRDefault="00D527A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Direct DC surface pump; no battery</w:t>
            </w:r>
          </w:p>
        </w:tc>
        <w:tc>
          <w:tcPr>
            <w:tcW w:w="3120" w:type="dxa"/>
            <w:tcBorders>
              <w:top w:val="none" w:sz="0" w:space="0" w:color="auto"/>
              <w:bottom w:val="none" w:sz="0" w:space="0" w:color="auto"/>
            </w:tcBorders>
          </w:tcPr>
          <w:p w14:paraId="31A87B10" w14:textId="77777777" w:rsidR="00D527AF" w:rsidRPr="00E35798" w:rsidRDefault="00D527A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Submersible DC pump + </w:t>
            </w:r>
            <w:proofErr w:type="spellStart"/>
            <w:r>
              <w:rPr>
                <w:lang w:val="en-GB"/>
              </w:rPr>
              <w:t>LiFePO</w:t>
            </w:r>
            <w:proofErr w:type="spellEnd"/>
            <w:r>
              <w:rPr>
                <w:lang w:val="en-GB"/>
              </w:rPr>
              <w:t>₄ storage</w:t>
            </w:r>
          </w:p>
        </w:tc>
      </w:tr>
      <w:tr w:rsidR="00D527AF" w:rsidRPr="00E35798" w14:paraId="6B4AAB0A"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tcPr>
          <w:p w14:paraId="572FD934" w14:textId="77777777" w:rsidR="00D527AF" w:rsidRPr="00E35798" w:rsidRDefault="00D527AF" w:rsidP="00D16E24">
            <w:pPr>
              <w:pStyle w:val="OikoTables03Content"/>
              <w:spacing w:after="120" w:line="240" w:lineRule="auto"/>
              <w:rPr>
                <w:lang w:val="en-GB"/>
              </w:rPr>
            </w:pPr>
            <w:r>
              <w:rPr>
                <w:lang w:val="en-GB"/>
              </w:rPr>
              <w:t>Recharge regime</w:t>
            </w:r>
          </w:p>
        </w:tc>
        <w:tc>
          <w:tcPr>
            <w:tcW w:w="3120" w:type="dxa"/>
          </w:tcPr>
          <w:p w14:paraId="61AC7A2D" w14:textId="77777777" w:rsidR="00D527AF" w:rsidRPr="00E35798" w:rsidRDefault="00D527A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Alluvial; moderate recharge from Orkhon/</w:t>
            </w:r>
            <w:proofErr w:type="spellStart"/>
            <w:r>
              <w:rPr>
                <w:lang w:val="en-GB"/>
              </w:rPr>
              <w:t>Ongi</w:t>
            </w:r>
            <w:proofErr w:type="spellEnd"/>
            <w:r>
              <w:rPr>
                <w:lang w:val="en-GB"/>
              </w:rPr>
              <w:t xml:space="preserve"> basins</w:t>
            </w:r>
          </w:p>
        </w:tc>
        <w:tc>
          <w:tcPr>
            <w:tcW w:w="3120" w:type="dxa"/>
          </w:tcPr>
          <w:p w14:paraId="30D80BD5" w14:textId="77777777" w:rsidR="00D527AF" w:rsidRPr="00E35798" w:rsidRDefault="00D527A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Deep confined; low recharge, long residence time</w:t>
            </w:r>
          </w:p>
        </w:tc>
      </w:tr>
      <w:tr w:rsidR="00C150DE" w:rsidRPr="00E35798" w14:paraId="731E4B94"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vAlign w:val="center"/>
          </w:tcPr>
          <w:p w14:paraId="0478BF66" w14:textId="5F373096" w:rsidR="00C150DE" w:rsidRPr="00E35798" w:rsidRDefault="00C150DE" w:rsidP="00C150DE">
            <w:pPr>
              <w:pStyle w:val="OikoTables03Content"/>
              <w:spacing w:after="120" w:line="240" w:lineRule="auto"/>
              <w:rPr>
                <w:lang w:val="en-GB"/>
              </w:rPr>
            </w:pPr>
            <w:r>
              <w:rPr>
                <w:sz w:val="20"/>
              </w:rPr>
              <w:t>Salinity / TDS risk</w:t>
            </w:r>
          </w:p>
        </w:tc>
        <w:tc>
          <w:tcPr>
            <w:tcW w:w="3120" w:type="dxa"/>
            <w:tcBorders>
              <w:top w:val="none" w:sz="0" w:space="0" w:color="auto"/>
              <w:bottom w:val="none" w:sz="0" w:space="0" w:color="auto"/>
            </w:tcBorders>
            <w:vAlign w:val="center"/>
          </w:tcPr>
          <w:p w14:paraId="275365C0" w14:textId="634FDB1C" w:rsidR="00C150DE" w:rsidRPr="00E35798" w:rsidRDefault="00C150DE" w:rsidP="00C150DE">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sz w:val="20"/>
              </w:rPr>
              <w:t>Generally low</w:t>
            </w:r>
          </w:p>
        </w:tc>
        <w:tc>
          <w:tcPr>
            <w:tcW w:w="3120" w:type="dxa"/>
            <w:tcBorders>
              <w:top w:val="none" w:sz="0" w:space="0" w:color="auto"/>
              <w:bottom w:val="none" w:sz="0" w:space="0" w:color="auto"/>
            </w:tcBorders>
            <w:vAlign w:val="center"/>
          </w:tcPr>
          <w:p w14:paraId="45734B58" w14:textId="09959B3D" w:rsidR="00C150DE" w:rsidRPr="00E35798" w:rsidRDefault="00C150DE" w:rsidP="00C150DE">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sz w:val="20"/>
              </w:rPr>
              <w:t>Locally elevated; site-by-site testing required</w:t>
            </w:r>
          </w:p>
        </w:tc>
      </w:tr>
      <w:tr w:rsidR="00C150DE" w:rsidRPr="00E35798" w14:paraId="373BF399" w14:textId="77777777" w:rsidTr="00ED71A8">
        <w:tc>
          <w:tcPr>
            <w:cnfStyle w:val="001000000000" w:firstRow="0" w:lastRow="0" w:firstColumn="1" w:lastColumn="0" w:oddVBand="0" w:evenVBand="0" w:oddHBand="0" w:evenHBand="0" w:firstRowFirstColumn="0" w:firstRowLastColumn="0" w:lastRowFirstColumn="0" w:lastRowLastColumn="0"/>
            <w:tcW w:w="3120" w:type="dxa"/>
            <w:shd w:val="clear" w:color="auto" w:fill="FAEBE1" w:themeFill="accent3" w:themeFillTint="33"/>
            <w:vAlign w:val="center"/>
          </w:tcPr>
          <w:p w14:paraId="1841731C" w14:textId="4B713360" w:rsidR="00C150DE" w:rsidRPr="00E35798" w:rsidRDefault="00C150DE" w:rsidP="00C150DE">
            <w:pPr>
              <w:pStyle w:val="OikoTables03Content"/>
              <w:spacing w:after="120" w:line="240" w:lineRule="auto"/>
              <w:rPr>
                <w:lang w:val="en-GB"/>
              </w:rPr>
            </w:pPr>
            <w:r>
              <w:rPr>
                <w:sz w:val="20"/>
              </w:rPr>
              <w:t>Fluoride risk</w:t>
            </w:r>
          </w:p>
        </w:tc>
        <w:tc>
          <w:tcPr>
            <w:tcW w:w="3120" w:type="dxa"/>
            <w:vAlign w:val="center"/>
          </w:tcPr>
          <w:p w14:paraId="21E9C66D" w14:textId="50CCB6E7" w:rsidR="00C150DE" w:rsidRPr="00E35798" w:rsidRDefault="00C150DE" w:rsidP="00C150DE">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proofErr w:type="spellStart"/>
            <w:r>
              <w:rPr>
                <w:sz w:val="20"/>
              </w:rPr>
              <w:t>Localised</w:t>
            </w:r>
            <w:proofErr w:type="spellEnd"/>
            <w:r>
              <w:rPr>
                <w:sz w:val="20"/>
              </w:rPr>
              <w:t xml:space="preserve"> in southern soums</w:t>
            </w:r>
          </w:p>
        </w:tc>
        <w:tc>
          <w:tcPr>
            <w:tcW w:w="3120" w:type="dxa"/>
            <w:vAlign w:val="center"/>
          </w:tcPr>
          <w:p w14:paraId="206E017E" w14:textId="58918B44" w:rsidR="00C150DE" w:rsidRPr="00E35798" w:rsidRDefault="00C150DE" w:rsidP="00C150DE">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sz w:val="20"/>
              </w:rPr>
              <w:t>Documented in several soums</w:t>
            </w:r>
          </w:p>
        </w:tc>
      </w:tr>
      <w:tr w:rsidR="00C150DE" w:rsidRPr="00E35798" w14:paraId="08B6F547" w14:textId="77777777" w:rsidTr="00ED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bottom w:val="none" w:sz="0" w:space="0" w:color="auto"/>
            </w:tcBorders>
            <w:shd w:val="clear" w:color="auto" w:fill="FAEBE1" w:themeFill="accent3" w:themeFillTint="33"/>
            <w:vAlign w:val="center"/>
          </w:tcPr>
          <w:p w14:paraId="360BF997" w14:textId="62989741" w:rsidR="00C150DE" w:rsidRPr="00E35798" w:rsidRDefault="00C150DE" w:rsidP="00C150DE">
            <w:pPr>
              <w:pStyle w:val="OikoTables03Content"/>
              <w:spacing w:after="120" w:line="240" w:lineRule="auto"/>
              <w:rPr>
                <w:lang w:val="en-GB"/>
              </w:rPr>
            </w:pPr>
            <w:r>
              <w:rPr>
                <w:sz w:val="20"/>
              </w:rPr>
              <w:lastRenderedPageBreak/>
              <w:t>Over-abstraction risk</w:t>
            </w:r>
          </w:p>
        </w:tc>
        <w:tc>
          <w:tcPr>
            <w:tcW w:w="3120" w:type="dxa"/>
            <w:tcBorders>
              <w:top w:val="none" w:sz="0" w:space="0" w:color="auto"/>
              <w:bottom w:val="none" w:sz="0" w:space="0" w:color="auto"/>
            </w:tcBorders>
            <w:vAlign w:val="center"/>
          </w:tcPr>
          <w:p w14:paraId="0472EE93" w14:textId="12EF7381" w:rsidR="00C150DE" w:rsidRPr="00E35798" w:rsidRDefault="00C150DE" w:rsidP="00C150DE">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sz w:val="20"/>
              </w:rPr>
              <w:t>Low at smallholder scale, moderate at cumulative cluster scale</w:t>
            </w:r>
          </w:p>
        </w:tc>
        <w:tc>
          <w:tcPr>
            <w:tcW w:w="3120" w:type="dxa"/>
            <w:tcBorders>
              <w:top w:val="none" w:sz="0" w:space="0" w:color="auto"/>
              <w:bottom w:val="none" w:sz="0" w:space="0" w:color="auto"/>
            </w:tcBorders>
            <w:vAlign w:val="center"/>
          </w:tcPr>
          <w:p w14:paraId="48373347" w14:textId="072EDC01" w:rsidR="00C150DE" w:rsidRPr="00E35798" w:rsidRDefault="00C150DE" w:rsidP="00C150DE">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sz w:val="20"/>
              </w:rPr>
              <w:t>Material at cumulative cluster scale; monitoring and rate limits required</w:t>
            </w:r>
          </w:p>
        </w:tc>
      </w:tr>
    </w:tbl>
    <w:p w14:paraId="50BCB97A" w14:textId="0638B3CC" w:rsidR="00D527AF" w:rsidRPr="00223259" w:rsidRDefault="00C150DE" w:rsidP="00EB489E">
      <w:pPr>
        <w:rPr>
          <w:i/>
          <w:iCs/>
        </w:rPr>
      </w:pPr>
      <w:r w:rsidRPr="00223259">
        <w:rPr>
          <w:i/>
          <w:iCs/>
        </w:rPr>
        <w:t xml:space="preserve">Sources: Gazar </w:t>
      </w:r>
      <w:proofErr w:type="spellStart"/>
      <w:r w:rsidRPr="00223259">
        <w:rPr>
          <w:i/>
          <w:iCs/>
        </w:rPr>
        <w:t>Delkhii</w:t>
      </w:r>
      <w:proofErr w:type="spellEnd"/>
      <w:r w:rsidRPr="00223259">
        <w:rPr>
          <w:i/>
          <w:iCs/>
        </w:rPr>
        <w:t xml:space="preserve"> LLC (</w:t>
      </w:r>
      <w:proofErr w:type="gramStart"/>
      <w:r w:rsidRPr="00223259">
        <w:rPr>
          <w:i/>
          <w:iCs/>
        </w:rPr>
        <w:t>2025)</w:t>
      </w:r>
      <w:r w:rsidRPr="00223259">
        <w:rPr>
          <w:i/>
          <w:iCs/>
          <w:vertAlign w:val="superscript"/>
        </w:rPr>
        <w:t>[</w:t>
      </w:r>
      <w:proofErr w:type="gramEnd"/>
      <w:r w:rsidRPr="00223259">
        <w:rPr>
          <w:i/>
          <w:iCs/>
          <w:vertAlign w:val="superscript"/>
        </w:rPr>
        <w:t>21]</w:t>
      </w:r>
      <w:r w:rsidRPr="00223259">
        <w:rPr>
          <w:i/>
          <w:iCs/>
        </w:rPr>
        <w:t>, Ministry of Construction and Urban Development &amp; Asian Development Bank (</w:t>
      </w:r>
      <w:proofErr w:type="gramStart"/>
      <w:r w:rsidRPr="00223259">
        <w:rPr>
          <w:i/>
          <w:iCs/>
        </w:rPr>
        <w:t>2022)</w:t>
      </w:r>
      <w:r w:rsidRPr="00223259">
        <w:rPr>
          <w:i/>
          <w:iCs/>
          <w:vertAlign w:val="superscript"/>
        </w:rPr>
        <w:t>[</w:t>
      </w:r>
      <w:proofErr w:type="gramEnd"/>
      <w:r w:rsidRPr="00223259">
        <w:rPr>
          <w:i/>
          <w:iCs/>
          <w:vertAlign w:val="superscript"/>
        </w:rPr>
        <w:t>31]</w:t>
      </w:r>
      <w:r w:rsidRPr="00223259">
        <w:rPr>
          <w:i/>
          <w:iCs/>
        </w:rPr>
        <w:t>, Badarch et al. (</w:t>
      </w:r>
      <w:proofErr w:type="gramStart"/>
      <w:r w:rsidRPr="00223259">
        <w:rPr>
          <w:i/>
          <w:iCs/>
        </w:rPr>
        <w:t>2021)</w:t>
      </w:r>
      <w:r w:rsidRPr="00223259">
        <w:rPr>
          <w:i/>
          <w:iCs/>
          <w:vertAlign w:val="superscript"/>
        </w:rPr>
        <w:t>[</w:t>
      </w:r>
      <w:proofErr w:type="gramEnd"/>
      <w:r w:rsidRPr="00223259">
        <w:rPr>
          <w:i/>
          <w:iCs/>
          <w:vertAlign w:val="superscript"/>
        </w:rPr>
        <w:t>7]</w:t>
      </w:r>
      <w:r w:rsidRPr="00223259">
        <w:rPr>
          <w:i/>
          <w:iCs/>
        </w:rPr>
        <w:t>; Governor’s Office of Dundgovi aimag (2022</w:t>
      </w:r>
      <w:proofErr w:type="gramStart"/>
      <w:r w:rsidRPr="00223259">
        <w:rPr>
          <w:i/>
          <w:iCs/>
        </w:rPr>
        <w:t>b)</w:t>
      </w:r>
      <w:r w:rsidRPr="00223259">
        <w:rPr>
          <w:i/>
          <w:iCs/>
          <w:vertAlign w:val="superscript"/>
        </w:rPr>
        <w:t>[</w:t>
      </w:r>
      <w:proofErr w:type="gramEnd"/>
      <w:r w:rsidRPr="00223259">
        <w:rPr>
          <w:i/>
          <w:iCs/>
          <w:vertAlign w:val="superscript"/>
        </w:rPr>
        <w:t>26]</w:t>
      </w:r>
      <w:r w:rsidRPr="00223259">
        <w:rPr>
          <w:i/>
          <w:iCs/>
        </w:rPr>
        <w:t>, IRIMHE (</w:t>
      </w:r>
      <w:proofErr w:type="gramStart"/>
      <w:r w:rsidRPr="00223259">
        <w:rPr>
          <w:i/>
          <w:iCs/>
        </w:rPr>
        <w:t>2024)</w:t>
      </w:r>
      <w:r w:rsidRPr="00223259">
        <w:rPr>
          <w:i/>
          <w:iCs/>
          <w:vertAlign w:val="superscript"/>
        </w:rPr>
        <w:t>[</w:t>
      </w:r>
      <w:proofErr w:type="gramEnd"/>
      <w:r w:rsidRPr="00223259">
        <w:rPr>
          <w:i/>
          <w:iCs/>
          <w:vertAlign w:val="superscript"/>
        </w:rPr>
        <w:t>27]</w:t>
      </w:r>
    </w:p>
    <w:p w14:paraId="2F0393E0" w14:textId="77777777" w:rsidR="00C150DE" w:rsidRPr="00E35798" w:rsidRDefault="00C150DE" w:rsidP="00EB489E"/>
    <w:p w14:paraId="4B42B882" w14:textId="7F324BB2" w:rsidR="00D527AF" w:rsidRPr="00E35798" w:rsidRDefault="00D527AF" w:rsidP="00D16E24">
      <w:pPr>
        <w:pStyle w:val="Heading2"/>
        <w:spacing w:line="240" w:lineRule="auto"/>
        <w:contextualSpacing w:val="0"/>
      </w:pPr>
      <w:bookmarkStart w:id="53" w:name="_Toc233981265"/>
      <w:r>
        <w:t>Soil and land resources</w:t>
      </w:r>
      <w:bookmarkEnd w:id="53"/>
    </w:p>
    <w:p w14:paraId="400B3310" w14:textId="0B162B8B" w:rsidR="00D527AF" w:rsidRPr="00E35798" w:rsidRDefault="00D527AF" w:rsidP="00D16E24">
      <w:pPr>
        <w:pStyle w:val="Heading3"/>
        <w:spacing w:line="240" w:lineRule="auto"/>
        <w:contextualSpacing w:val="0"/>
      </w:pPr>
      <w:bookmarkStart w:id="54" w:name="_Toc233981266"/>
      <w:r>
        <w:t>Soil classes</w:t>
      </w:r>
      <w:bookmarkEnd w:id="54"/>
    </w:p>
    <w:p w14:paraId="42206A9E" w14:textId="77777777" w:rsidR="00611425" w:rsidRPr="00E35798" w:rsidRDefault="00611425" w:rsidP="00016473">
      <w:r>
        <w:t>Soil conditions in both provinces reflect their respective bioclimatic zones.</w:t>
      </w:r>
    </w:p>
    <w:p w14:paraId="7BC24AB9" w14:textId="77777777" w:rsidR="00EB489E" w:rsidRDefault="00EB489E" w:rsidP="00016473"/>
    <w:p w14:paraId="70A71825" w14:textId="0D2C68EF" w:rsidR="00611425" w:rsidRPr="00E35798" w:rsidRDefault="000B0B96" w:rsidP="00016473">
      <w:r>
        <w:t xml:space="preserve">Uvurkhangai is dominated by </w:t>
      </w:r>
      <w:proofErr w:type="spellStart"/>
      <w:r>
        <w:t>Kastanozems</w:t>
      </w:r>
      <w:proofErr w:type="spellEnd"/>
      <w:r>
        <w:t xml:space="preserve"> (chestnut soils) in its central steppe belt, grading to Calcic </w:t>
      </w:r>
      <w:proofErr w:type="spellStart"/>
      <w:r>
        <w:t>Kastanozems</w:t>
      </w:r>
      <w:proofErr w:type="spellEnd"/>
      <w:r>
        <w:t xml:space="preserve"> and brown semi-desert soils in the southern soums, and to mountain meadow-steppe soils (Phaeozems, Cambisols) in the northern </w:t>
      </w:r>
      <w:proofErr w:type="spellStart"/>
      <w:r>
        <w:t>Khangai</w:t>
      </w:r>
      <w:proofErr w:type="spellEnd"/>
      <w:r>
        <w:t xml:space="preserve"> fringe. The largest soil class by area is the plains and depression soils group (28,099 km², or 44.7 % of the province), followed by mountain soils (22,825 km², 36.4%), low-mountain soils (7,536 km², 12%), wet-genesis soils (1,361 km², 2.2%) and alluvial floodplain soils (1,297 km², 2%). Saline soils account for approximately 1,036 km² (1.6%). Topsoil organic carbon is in the 1.5–3.0% range in the central steppe and falls below 1.0% in the southern areas. Textures are predominantly sandy loams to loams (mechanical fraction &lt;0.01 mm of 20–30% in light loamy parent material), with adequate drainage but limited water-holding capacity. Soil pH is typically neutral to slightly alkaline (pH 6.0–8.2). Humus depth in the chestnut-soil belt typically exceeds 20 cm with humus content of 1.5–2.0%; in the Gobi-fringe areas (</w:t>
      </w:r>
      <w:proofErr w:type="spellStart"/>
      <w:r>
        <w:t>Bogd</w:t>
      </w:r>
      <w:proofErr w:type="spellEnd"/>
      <w:r>
        <w:t xml:space="preserve"> and </w:t>
      </w:r>
      <w:proofErr w:type="spellStart"/>
      <w:r>
        <w:t>Baruunbayan-Ulaan</w:t>
      </w:r>
      <w:proofErr w:type="spellEnd"/>
      <w:r>
        <w:t xml:space="preserve"> soums), humus depth falls below 10 cm and content drops to 0.5–1.0%, with progressively higher carbonate accumulation at depth.</w:t>
      </w:r>
      <w:r>
        <w:rPr>
          <w:vertAlign w:val="superscript"/>
        </w:rPr>
        <w:t>[21]</w:t>
      </w:r>
    </w:p>
    <w:p w14:paraId="56639EB3" w14:textId="77777777" w:rsidR="00EB489E" w:rsidRDefault="00EB489E" w:rsidP="00016473"/>
    <w:p w14:paraId="55564118" w14:textId="67B99A5C" w:rsidR="00611425" w:rsidRDefault="00611425" w:rsidP="00016473">
      <w:r>
        <w:t xml:space="preserve">Dundgovi is dominated by semi-desert brown soils and </w:t>
      </w:r>
      <w:proofErr w:type="spellStart"/>
      <w:r>
        <w:t>Calcisols</w:t>
      </w:r>
      <w:proofErr w:type="spellEnd"/>
      <w:r>
        <w:t>, often with gravel armour at the surface and shallow solum depth. The 2019 Desertification Study published by the Aimag Governor’s Office, based on 67 soil profiles and 402 laboratory samples across all 15 soums, classified 70 % of profiles as steppe brown soils, with the remainder distributed across Gobi grey-brown, light-textured loamy sands and gypsum-bearing variants. Topsoil organic carbon (humus) is consistently in the range 0.1–1.9 % and frequently below 0.5 %, with humus increasing slightly with depth. Mechanical analysis confirms predominantly light texture: light loamy, sandy loam, sandy and sandy-clayey textures dominate, with light fractions accounting for the largest share of profiles. Soil pH is alkaline (typically pH 7.8–8.8). A characteristic feature of the steppe brown soil at the surface is a gravel-and-sand armour layer 2–5 cm thick formed by aeolian erosion of the lighter fines.</w:t>
      </w:r>
      <w:r>
        <w:rPr>
          <w:vertAlign w:val="superscript"/>
        </w:rPr>
        <w:t>[25]</w:t>
      </w:r>
    </w:p>
    <w:p w14:paraId="09A8F118" w14:textId="7312288B" w:rsidR="00D557EA" w:rsidRPr="00E35798" w:rsidRDefault="00D557EA" w:rsidP="00016473">
      <w:r>
        <w:t>Aggregate structure and water infiltration in Dundgovi soils are surprisingly favourable: 84.6 % of samples were rated “very good” and 15.4 % “good” on the dry-sieve aggregate-structure assessment, suggesting that the soils are mechanically resilient and well-aerated. However, water-infiltration capacity falls in the “moderately slow” range (5–20 mm/h) at 71.6 % of monitoring points and “moderate” (20–65 mm/h) at the remaining 28.4 %, which means that high-intensity convective rainfall events (the dominant precipitation mode) are largely lost to runoff rather than infiltration. Soil density is in the “organic-rich and well-structured” class (&lt;1.0 g/cm³) at 70 % of points, “suitable for cultivation” (1.0–1.2 g/cm³) at 27 %, and “compacted, sandy steppe” (1.2–1.3 g/cm³) at 3 %.</w:t>
      </w:r>
      <w:r>
        <w:rPr>
          <w:vertAlign w:val="superscript"/>
        </w:rPr>
        <w:t>[25]</w:t>
      </w:r>
    </w:p>
    <w:p w14:paraId="21DC53B4" w14:textId="77777777" w:rsidR="00EB489E" w:rsidRDefault="00EB489E" w:rsidP="00016473"/>
    <w:p w14:paraId="76A74ADD" w14:textId="46CC2CB7" w:rsidR="00D527AF" w:rsidRPr="00E35798" w:rsidRDefault="00D557EA" w:rsidP="00016473">
      <w:r>
        <w:t>These soil characteristics have direct consequences for technology selection. In Dundgovi, the combination of low organic matter, poor water-holding capacity and excessive drainage means that open-field drip irrigation alone is unlikely to produce reliable vegetable yields; greenhouse soils will usually require amendment with imported manure and compost, and raised beds with mulch covering are strongly advised. In Uvurkhangai, the native soils in the northern and central soums are broadly suitable for vegetable production with routine fertilisation; amendment needs are lower, but compaction from mechanised tillage on the shallow-humus southern soums needs to be monitored.</w:t>
      </w:r>
    </w:p>
    <w:p w14:paraId="1B8BC80C" w14:textId="77777777" w:rsidR="00D05222" w:rsidRPr="00E35798" w:rsidRDefault="00D05222" w:rsidP="00D16E24">
      <w:pPr>
        <w:pStyle w:val="Heading3"/>
        <w:spacing w:line="240" w:lineRule="auto"/>
        <w:contextualSpacing w:val="0"/>
      </w:pPr>
      <w:bookmarkStart w:id="55" w:name="_Toc233981267"/>
      <w:r>
        <w:t>Land cover and agricultural land use</w:t>
      </w:r>
      <w:bookmarkEnd w:id="55"/>
    </w:p>
    <w:p w14:paraId="5C8631CD" w14:textId="30816C61" w:rsidR="00D05222" w:rsidRPr="00E35798" w:rsidRDefault="00D05222" w:rsidP="00EB489E">
      <w:r>
        <w:t xml:space="preserve">Pastureland is overwhelmingly the dominant land cover class in both provinces. In Dundgovi, pastureland covers 7,110,980 ha or 95.3% of the total area; in Uvurkhangai, the share is similar at approximately 94%. Cultivated arable land is limited: in Uvurkhangai, approximately 25,000 ha is suitable for crop production, of which 18,651 ha was sown in 2024 (i.e., 75 % of the suitable area is actually under cultivation, a high utilisation rate by national standards) and 5,500 ha is under fallow rotation. In Dundgovi, the corresponding figure is </w:t>
      </w:r>
      <w:r>
        <w:lastRenderedPageBreak/>
        <w:t xml:space="preserve">approximately 100–150 ha sown, against an unmeasured but vastly larger area of theoretically arable but not currently cropped land — the binding constraints being water and seed availability rather than soil suitability per </w:t>
      </w:r>
      <w:proofErr w:type="gramStart"/>
      <w:r>
        <w:t>se.</w:t>
      </w:r>
      <w:r>
        <w:rPr>
          <w:vertAlign w:val="superscript"/>
        </w:rPr>
        <w:t>[</w:t>
      </w:r>
      <w:proofErr w:type="gramEnd"/>
      <w:r>
        <w:rPr>
          <w:vertAlign w:val="superscript"/>
        </w:rPr>
        <w:t>14, 43]</w:t>
      </w:r>
    </w:p>
    <w:p w14:paraId="77401148" w14:textId="77777777" w:rsidR="00EB489E" w:rsidRDefault="00EB489E" w:rsidP="00EB489E"/>
    <w:p w14:paraId="3FD33306" w14:textId="50D42FF1" w:rsidR="00D05222" w:rsidRDefault="00D05222" w:rsidP="00EB489E">
      <w:r>
        <w:t>This baseline situation matters for the technical assistance: the intervention does not aim to expand cultivated area but it is designed to intensify and stabilise smallholder vegetable output on modest footprints (typically 200 m² reference greenhouse units and associated irrigated plots), thus reframing the land-use pressure away from degradation and toward consolidation of high-value, low-area production.</w:t>
      </w:r>
    </w:p>
    <w:p w14:paraId="61678AD3" w14:textId="5C45ACC6" w:rsidR="00D43DB8" w:rsidRDefault="00D43DB8" w:rsidP="00EB489E"/>
    <w:p w14:paraId="780205E3" w14:textId="6D0DC46C" w:rsidR="00D43DB8" w:rsidRDefault="00664CF9" w:rsidP="00664CF9">
      <w:pPr>
        <w:pStyle w:val="Heading2"/>
      </w:pPr>
      <w:bookmarkStart w:id="56" w:name="_Toc233981268"/>
      <w:r>
        <w:t>Vegetation, forest cover and existing agroforestry activity</w:t>
      </w:r>
      <w:bookmarkEnd w:id="56"/>
    </w:p>
    <w:p w14:paraId="66D2219C" w14:textId="721B1853" w:rsidR="00D43DB8" w:rsidRDefault="00664CF9" w:rsidP="00664CF9">
      <w:pPr>
        <w:pStyle w:val="Heading3"/>
      </w:pPr>
      <w:bookmarkStart w:id="57" w:name="_Toc233981269"/>
      <w:r>
        <w:t>Vegetation cover</w:t>
      </w:r>
      <w:bookmarkEnd w:id="57"/>
    </w:p>
    <w:p w14:paraId="14812031" w14:textId="435044DE" w:rsidR="00664CF9" w:rsidRDefault="00664CF9" w:rsidP="00EB489E">
      <w:proofErr w:type="spellStart"/>
      <w:r>
        <w:t>Uvurkhangai’s</w:t>
      </w:r>
      <w:proofErr w:type="spellEnd"/>
      <w:r>
        <w:t xml:space="preserve"> vegetation is structured along the same north–south climatic gradient as its temperature and precipitation. The northern </w:t>
      </w:r>
      <w:proofErr w:type="spellStart"/>
      <w:r>
        <w:t>Khangai</w:t>
      </w:r>
      <w:proofErr w:type="spellEnd"/>
      <w:r>
        <w:t xml:space="preserve"> uplands carry mountain forest-steppe communities dominated by </w:t>
      </w:r>
      <w:r>
        <w:rPr>
          <w:i/>
          <w:iCs/>
        </w:rPr>
        <w:t>Larix sibirica</w:t>
      </w:r>
      <w:r>
        <w:t xml:space="preserve"> with associated </w:t>
      </w:r>
      <w:r>
        <w:rPr>
          <w:i/>
          <w:iCs/>
        </w:rPr>
        <w:t>Pinus sibirica</w:t>
      </w:r>
      <w:r>
        <w:t xml:space="preserve">, </w:t>
      </w:r>
      <w:r>
        <w:rPr>
          <w:i/>
          <w:iCs/>
        </w:rPr>
        <w:t xml:space="preserve">Betula </w:t>
      </w:r>
      <w:proofErr w:type="spellStart"/>
      <w:r>
        <w:rPr>
          <w:i/>
          <w:iCs/>
        </w:rPr>
        <w:t>platyphylla</w:t>
      </w:r>
      <w:proofErr w:type="spellEnd"/>
      <w:r>
        <w:t xml:space="preserve"> and </w:t>
      </w:r>
      <w:r>
        <w:rPr>
          <w:i/>
          <w:iCs/>
        </w:rPr>
        <w:t>Populus tremula</w:t>
      </w:r>
      <w:r>
        <w:t xml:space="preserve"> in moist depressions, and a rich understorey of grasses, sedges and forbs. The central steppe belt carries the classic grass-steppe associations dominated by </w:t>
      </w:r>
      <w:r>
        <w:rPr>
          <w:i/>
          <w:iCs/>
        </w:rPr>
        <w:t xml:space="preserve">Stipa </w:t>
      </w:r>
      <w:proofErr w:type="spellStart"/>
      <w:r>
        <w:rPr>
          <w:i/>
          <w:iCs/>
        </w:rPr>
        <w:t>krylovii</w:t>
      </w:r>
      <w:proofErr w:type="spellEnd"/>
      <w:r>
        <w:t xml:space="preserve"> (feather grass), </w:t>
      </w:r>
      <w:proofErr w:type="spellStart"/>
      <w:r>
        <w:rPr>
          <w:i/>
          <w:iCs/>
        </w:rPr>
        <w:t>Leymus</w:t>
      </w:r>
      <w:proofErr w:type="spellEnd"/>
      <w:r>
        <w:rPr>
          <w:i/>
          <w:iCs/>
        </w:rPr>
        <w:t xml:space="preserve"> chinensis</w:t>
      </w:r>
      <w:r>
        <w:t xml:space="preserve"> (Chinese wildrye), </w:t>
      </w:r>
      <w:r>
        <w:rPr>
          <w:i/>
          <w:iCs/>
        </w:rPr>
        <w:t xml:space="preserve">Festuca </w:t>
      </w:r>
      <w:proofErr w:type="spellStart"/>
      <w:r>
        <w:rPr>
          <w:i/>
          <w:iCs/>
        </w:rPr>
        <w:t>lenensis</w:t>
      </w:r>
      <w:proofErr w:type="spellEnd"/>
      <w:r>
        <w:t xml:space="preserve">, </w:t>
      </w:r>
      <w:proofErr w:type="spellStart"/>
      <w:r>
        <w:rPr>
          <w:i/>
          <w:iCs/>
        </w:rPr>
        <w:t>Cleistogenes</w:t>
      </w:r>
      <w:proofErr w:type="spellEnd"/>
      <w:r>
        <w:rPr>
          <w:i/>
          <w:iCs/>
        </w:rPr>
        <w:t xml:space="preserve"> </w:t>
      </w:r>
      <w:proofErr w:type="spellStart"/>
      <w:r>
        <w:rPr>
          <w:i/>
          <w:iCs/>
        </w:rPr>
        <w:t>squarrosa</w:t>
      </w:r>
      <w:proofErr w:type="spellEnd"/>
      <w:r>
        <w:t xml:space="preserve"> and a rich forb component. The southern soums carry desert-steppe associations with </w:t>
      </w:r>
      <w:r>
        <w:rPr>
          <w:i/>
          <w:iCs/>
        </w:rPr>
        <w:t xml:space="preserve">Stipa </w:t>
      </w:r>
      <w:proofErr w:type="spellStart"/>
      <w:r>
        <w:rPr>
          <w:i/>
          <w:iCs/>
        </w:rPr>
        <w:t>gobica</w:t>
      </w:r>
      <w:proofErr w:type="spellEnd"/>
      <w:r>
        <w:t xml:space="preserve">, </w:t>
      </w:r>
      <w:r>
        <w:rPr>
          <w:i/>
          <w:iCs/>
        </w:rPr>
        <w:t xml:space="preserve">Allium </w:t>
      </w:r>
      <w:proofErr w:type="spellStart"/>
      <w:r>
        <w:rPr>
          <w:i/>
          <w:iCs/>
        </w:rPr>
        <w:t>polyrrhizum</w:t>
      </w:r>
      <w:proofErr w:type="spellEnd"/>
      <w:r>
        <w:t xml:space="preserve">, </w:t>
      </w:r>
      <w:r>
        <w:rPr>
          <w:i/>
          <w:iCs/>
        </w:rPr>
        <w:t xml:space="preserve">Artemisia </w:t>
      </w:r>
      <w:proofErr w:type="spellStart"/>
      <w:r>
        <w:rPr>
          <w:i/>
          <w:iCs/>
        </w:rPr>
        <w:t>frigida</w:t>
      </w:r>
      <w:proofErr w:type="spellEnd"/>
      <w:r>
        <w:t xml:space="preserve"> and </w:t>
      </w:r>
      <w:r>
        <w:rPr>
          <w:i/>
          <w:iCs/>
        </w:rPr>
        <w:t>Anabasis brevifolia</w:t>
      </w:r>
      <w:r>
        <w:t xml:space="preserve">. Forest cover province-wide is approximately 2 %, distributed over an estimated 1.2 million ha of larch and pine in </w:t>
      </w:r>
      <w:proofErr w:type="spellStart"/>
      <w:r>
        <w:t>Khujirt</w:t>
      </w:r>
      <w:proofErr w:type="spellEnd"/>
      <w:r>
        <w:t>, Bat-</w:t>
      </w:r>
      <w:proofErr w:type="spellStart"/>
      <w:r>
        <w:t>Ulzii</w:t>
      </w:r>
      <w:proofErr w:type="spellEnd"/>
      <w:r>
        <w:t xml:space="preserve">, </w:t>
      </w:r>
      <w:proofErr w:type="spellStart"/>
      <w:r>
        <w:t>Uyanga</w:t>
      </w:r>
      <w:proofErr w:type="spellEnd"/>
      <w:r>
        <w:t xml:space="preserve"> and </w:t>
      </w:r>
      <w:proofErr w:type="spellStart"/>
      <w:r>
        <w:t>Bayangol</w:t>
      </w:r>
      <w:proofErr w:type="spellEnd"/>
      <w:r>
        <w:t xml:space="preserve"> soums.</w:t>
      </w:r>
      <w:r>
        <w:rPr>
          <w:vertAlign w:val="superscript"/>
        </w:rPr>
        <w:t>[21]</w:t>
      </w:r>
    </w:p>
    <w:p w14:paraId="76E7E5D0" w14:textId="77777777" w:rsidR="00EB489E" w:rsidRDefault="00EB489E" w:rsidP="00EB489E"/>
    <w:p w14:paraId="0AA68550" w14:textId="5EA83AE2" w:rsidR="00664CF9" w:rsidRDefault="000F0592" w:rsidP="00EB489E">
      <w:r>
        <w:t xml:space="preserve">Dundgovi carries the typical Gobi semi-desert vegetation. The dominant species include </w:t>
      </w:r>
      <w:r>
        <w:rPr>
          <w:i/>
          <w:iCs/>
        </w:rPr>
        <w:t xml:space="preserve">Stipa </w:t>
      </w:r>
      <w:proofErr w:type="spellStart"/>
      <w:r>
        <w:rPr>
          <w:i/>
          <w:iCs/>
        </w:rPr>
        <w:t>gobica</w:t>
      </w:r>
      <w:proofErr w:type="spellEnd"/>
      <w:r>
        <w:t xml:space="preserve">, </w:t>
      </w:r>
      <w:r>
        <w:rPr>
          <w:i/>
          <w:iCs/>
        </w:rPr>
        <w:t xml:space="preserve">Allium </w:t>
      </w:r>
      <w:proofErr w:type="spellStart"/>
      <w:r>
        <w:rPr>
          <w:i/>
          <w:iCs/>
        </w:rPr>
        <w:t>polyrrhizum</w:t>
      </w:r>
      <w:proofErr w:type="spellEnd"/>
      <w:r>
        <w:rPr>
          <w:i/>
          <w:iCs/>
        </w:rPr>
        <w:t xml:space="preserve">, Artemisia </w:t>
      </w:r>
      <w:proofErr w:type="spellStart"/>
      <w:r>
        <w:rPr>
          <w:i/>
          <w:iCs/>
        </w:rPr>
        <w:t>adamsii</w:t>
      </w:r>
      <w:proofErr w:type="spellEnd"/>
      <w:r>
        <w:rPr>
          <w:i/>
          <w:iCs/>
        </w:rPr>
        <w:t xml:space="preserve">, </w:t>
      </w:r>
      <w:proofErr w:type="spellStart"/>
      <w:r>
        <w:rPr>
          <w:i/>
          <w:iCs/>
        </w:rPr>
        <w:t>Cleistogenes</w:t>
      </w:r>
      <w:proofErr w:type="spellEnd"/>
      <w:r>
        <w:rPr>
          <w:i/>
          <w:iCs/>
        </w:rPr>
        <w:t xml:space="preserve"> </w:t>
      </w:r>
      <w:proofErr w:type="spellStart"/>
      <w:r>
        <w:rPr>
          <w:i/>
          <w:iCs/>
        </w:rPr>
        <w:t>squarrosa</w:t>
      </w:r>
      <w:proofErr w:type="spellEnd"/>
      <w:r>
        <w:rPr>
          <w:i/>
          <w:iCs/>
        </w:rPr>
        <w:t xml:space="preserve">, </w:t>
      </w:r>
      <w:proofErr w:type="spellStart"/>
      <w:r>
        <w:rPr>
          <w:i/>
          <w:iCs/>
        </w:rPr>
        <w:t>Sarcozygium</w:t>
      </w:r>
      <w:proofErr w:type="spellEnd"/>
      <w:r>
        <w:rPr>
          <w:i/>
          <w:iCs/>
        </w:rPr>
        <w:t xml:space="preserve"> </w:t>
      </w:r>
      <w:proofErr w:type="spellStart"/>
      <w:r>
        <w:rPr>
          <w:i/>
          <w:iCs/>
        </w:rPr>
        <w:t>xanthoxylon</w:t>
      </w:r>
      <w:proofErr w:type="spellEnd"/>
      <w:r>
        <w:t xml:space="preserve"> and </w:t>
      </w:r>
      <w:r>
        <w:rPr>
          <w:i/>
          <w:iCs/>
        </w:rPr>
        <w:t xml:space="preserve">Aristida </w:t>
      </w:r>
      <w:proofErr w:type="spellStart"/>
      <w:r>
        <w:rPr>
          <w:i/>
          <w:iCs/>
        </w:rPr>
        <w:t>heymannii</w:t>
      </w:r>
      <w:proofErr w:type="spellEnd"/>
      <w:r>
        <w:t xml:space="preserve"> in the northern part of the province; and </w:t>
      </w:r>
      <w:r>
        <w:rPr>
          <w:i/>
          <w:iCs/>
        </w:rPr>
        <w:t xml:space="preserve">Stipa </w:t>
      </w:r>
      <w:proofErr w:type="spellStart"/>
      <w:r>
        <w:rPr>
          <w:i/>
          <w:iCs/>
        </w:rPr>
        <w:t>gobica</w:t>
      </w:r>
      <w:proofErr w:type="spellEnd"/>
      <w:r>
        <w:t xml:space="preserve">, </w:t>
      </w:r>
      <w:r>
        <w:rPr>
          <w:i/>
          <w:iCs/>
        </w:rPr>
        <w:t xml:space="preserve">Allium </w:t>
      </w:r>
      <w:proofErr w:type="spellStart"/>
      <w:r>
        <w:rPr>
          <w:i/>
          <w:iCs/>
        </w:rPr>
        <w:t>polyrrhizum</w:t>
      </w:r>
      <w:proofErr w:type="spellEnd"/>
      <w:r>
        <w:t xml:space="preserve">, </w:t>
      </w:r>
      <w:r>
        <w:rPr>
          <w:i/>
          <w:iCs/>
        </w:rPr>
        <w:t xml:space="preserve">Artemisia </w:t>
      </w:r>
      <w:proofErr w:type="spellStart"/>
      <w:r>
        <w:rPr>
          <w:i/>
          <w:iCs/>
        </w:rPr>
        <w:t>adamsii</w:t>
      </w:r>
      <w:proofErr w:type="spellEnd"/>
      <w:r>
        <w:t xml:space="preserve"> and </w:t>
      </w:r>
      <w:proofErr w:type="spellStart"/>
      <w:r>
        <w:rPr>
          <w:i/>
          <w:iCs/>
        </w:rPr>
        <w:t>Stipella</w:t>
      </w:r>
      <w:proofErr w:type="spellEnd"/>
      <w:r>
        <w:rPr>
          <w:i/>
          <w:iCs/>
        </w:rPr>
        <w:t xml:space="preserve"> </w:t>
      </w:r>
      <w:proofErr w:type="spellStart"/>
      <w:r>
        <w:rPr>
          <w:i/>
          <w:iCs/>
        </w:rPr>
        <w:t>munroi</w:t>
      </w:r>
      <w:proofErr w:type="spellEnd"/>
      <w:r>
        <w:t xml:space="preserve"> further south. Saxaul (</w:t>
      </w:r>
      <w:proofErr w:type="spellStart"/>
      <w:r>
        <w:rPr>
          <w:i/>
          <w:iCs/>
        </w:rPr>
        <w:t>Haloxylon</w:t>
      </w:r>
      <w:proofErr w:type="spellEnd"/>
      <w:r>
        <w:rPr>
          <w:i/>
          <w:iCs/>
        </w:rPr>
        <w:t xml:space="preserve"> </w:t>
      </w:r>
      <w:proofErr w:type="spellStart"/>
      <w:r>
        <w:rPr>
          <w:i/>
          <w:iCs/>
        </w:rPr>
        <w:t>ammodendron</w:t>
      </w:r>
      <w:proofErr w:type="spellEnd"/>
      <w:r>
        <w:t>) groves occur in scattered locations, mainly in the south-eastern soums.</w:t>
      </w:r>
      <w:r>
        <w:rPr>
          <w:vertAlign w:val="superscript"/>
        </w:rPr>
        <w:t>[25]</w:t>
      </w:r>
    </w:p>
    <w:p w14:paraId="71FD83DF" w14:textId="77777777" w:rsidR="00EB489E" w:rsidRDefault="00EB489E" w:rsidP="00664CF9">
      <w:pPr>
        <w:spacing w:line="240" w:lineRule="auto"/>
        <w:contextualSpacing w:val="0"/>
      </w:pPr>
    </w:p>
    <w:p w14:paraId="1D6DC8B4" w14:textId="6A9F07DC" w:rsidR="00664CF9" w:rsidRDefault="00664CF9" w:rsidP="00664CF9">
      <w:pPr>
        <w:spacing w:line="240" w:lineRule="auto"/>
        <w:contextualSpacing w:val="0"/>
      </w:pPr>
      <w:r>
        <w:t>A critical operational finding from the 2019 Desertification study in Dundgovi is that the five-year (2015–2019) trend showed an overall decline in pasture biomass productivity across all 15 Dundgovi soums, even as annual precipitation totals have increased. The mechanism is the shift in precipitation mode: more total rain delivered in fewer, more intense convective events runs off surface-armoured soils rather than infiltrating into the root zone, while increased wind speeds (15 m/s+ days have approximately doubled over the same period) accelerate evapotranspiration and topsoil mobilisation. This degradation trajectory is the direct backdrop to the project’s interest in shelterbelts and oasis-style agroforestry as ecosystem-based adaptation measures: trees in this context are not primarily a productive asset but a microclimate-engineering and soil-stabilisation infrastructure.</w:t>
      </w:r>
    </w:p>
    <w:p w14:paraId="2397E53F" w14:textId="1E2EF532" w:rsidR="00664CF9" w:rsidRDefault="00664CF9" w:rsidP="00664CF9">
      <w:pPr>
        <w:pStyle w:val="Heading3"/>
      </w:pPr>
      <w:bookmarkStart w:id="58" w:name="_Toc233981270"/>
      <w:r>
        <w:t>Existing agroforestry and shelterbelt activity</w:t>
      </w:r>
      <w:bookmarkEnd w:id="58"/>
    </w:p>
    <w:p w14:paraId="0CF4F791" w14:textId="186E0561" w:rsidR="00D91847" w:rsidRPr="00D91847" w:rsidRDefault="00D91847" w:rsidP="00EB489E">
      <w:r>
        <w:t xml:space="preserve">Agroforestry in both target provinces takes the form principally of shelterbelt and windbreak planting around fields, settlements and roads, promoted through two overlapping national programmes: the Government of Mongolia’s “Billion Trees” movement, launched in 2021 with the target of planting one billion trees nationwide by 2030, and the longer-running Mongolia–Republic of Korea Green Belt Project (initiated in 2007 and now in its Phase III, 2022–2026), which aims to combat desertification, reduce sand-and-dust-storm impacts and restore degraded ecosystems. At provincial level these are implemented through joint plans of the Department of Environment and Tourism, the Department of Food and Agriculture, Inter-Soum Forestry Units and the Local Development </w:t>
      </w:r>
      <w:proofErr w:type="gramStart"/>
      <w:r>
        <w:t>Fund.</w:t>
      </w:r>
      <w:r>
        <w:rPr>
          <w:vertAlign w:val="superscript"/>
        </w:rPr>
        <w:t>[</w:t>
      </w:r>
      <w:proofErr w:type="gramEnd"/>
      <w:r>
        <w:rPr>
          <w:vertAlign w:val="superscript"/>
        </w:rPr>
        <w:t>23, 45, 46]</w:t>
      </w:r>
    </w:p>
    <w:p w14:paraId="6D860EAF" w14:textId="77777777" w:rsidR="00F2176A" w:rsidRDefault="00F2176A" w:rsidP="00EB489E"/>
    <w:p w14:paraId="2CCA270E" w14:textId="7BE72512" w:rsidR="00D91847" w:rsidRPr="00D91847" w:rsidRDefault="00D91847" w:rsidP="00EB489E">
      <w:r>
        <w:t xml:space="preserve">The field missions confirmed that both provinces already possess a functioning seedling-supply backbone on which the project’s agroforestry component can build. In Uvurkhangai, the </w:t>
      </w:r>
      <w:proofErr w:type="spellStart"/>
      <w:r>
        <w:t>Arvaikheer</w:t>
      </w:r>
      <w:proofErr w:type="spellEnd"/>
      <w:r>
        <w:t xml:space="preserve"> Forest Nursery — a flagship Green Belt site of about 15 ha — produces more than 500,000 seedlings a year and serves as a regional hub for seedling supply, training and demonstration; its strategic windbreak and restoration species include Siberian elm (</w:t>
      </w:r>
      <w:r>
        <w:rPr>
          <w:i/>
          <w:iCs/>
        </w:rPr>
        <w:t>Ulmus pumila</w:t>
      </w:r>
      <w:r>
        <w:t>), poplar (</w:t>
      </w:r>
      <w:r>
        <w:rPr>
          <w:i/>
          <w:iCs/>
        </w:rPr>
        <w:t>Populus spp.</w:t>
      </w:r>
      <w:r>
        <w:t>), sea buckthorn (</w:t>
      </w:r>
      <w:proofErr w:type="spellStart"/>
      <w:r>
        <w:rPr>
          <w:i/>
          <w:iCs/>
        </w:rPr>
        <w:t>Hippophae</w:t>
      </w:r>
      <w:proofErr w:type="spellEnd"/>
      <w:r>
        <w:rPr>
          <w:i/>
          <w:iCs/>
        </w:rPr>
        <w:t xml:space="preserve"> </w:t>
      </w:r>
      <w:proofErr w:type="spellStart"/>
      <w:r>
        <w:rPr>
          <w:i/>
          <w:iCs/>
        </w:rPr>
        <w:t>rhamnoides</w:t>
      </w:r>
      <w:proofErr w:type="spellEnd"/>
      <w:r>
        <w:t>), yellow caragana (</w:t>
      </w:r>
      <w:r>
        <w:rPr>
          <w:i/>
          <w:iCs/>
        </w:rPr>
        <w:t>Caragana arborescens</w:t>
      </w:r>
      <w:r>
        <w:t xml:space="preserve">), Scots pine and Siberian larch, and six deciduous species were planted in shelterbelts </w:t>
      </w:r>
      <w:r>
        <w:lastRenderedPageBreak/>
        <w:t>and demonstration plots around the nursery in 2024.</w:t>
      </w:r>
      <w:r>
        <w:rPr>
          <w:vertAlign w:val="superscript"/>
        </w:rPr>
        <w:t>[46]</w:t>
      </w:r>
      <w:r>
        <w:t xml:space="preserve"> In Dundgovi, provincial nurseries produce on the order of 800,000 seedlings a year under the same programmes, and a Green Belt forestry demonstration site of about 5.2 ha — with six polyethylene propagation greenhouses and some twelve tree and shrub species raised largely from drip-irrigated cuttings — supplies planting material for shelterbelts and land restoration across the province.</w:t>
      </w:r>
      <w:r>
        <w:rPr>
          <w:vertAlign w:val="superscript"/>
        </w:rPr>
        <w:t>[45]</w:t>
      </w:r>
    </w:p>
    <w:p w14:paraId="32076798" w14:textId="77777777" w:rsidR="00F2176A" w:rsidRDefault="00F2176A" w:rsidP="00EB489E"/>
    <w:p w14:paraId="62491276" w14:textId="4AEE462F" w:rsidR="00D91847" w:rsidRPr="00D91847" w:rsidRDefault="00D91847" w:rsidP="00EB489E">
      <w:r>
        <w:t>Provincial planting records confirm steady, if still modest, expansion. In Uvurkhangai, the 2025 DFA report records continued establishment of new fruit and berry plantations, with provincial fruit and berry output reaching 44.3 t in 2024, up about 5 t on the previous year.</w:t>
      </w:r>
      <w:r>
        <w:rPr>
          <w:vertAlign w:val="superscript"/>
        </w:rPr>
        <w:t>[13]</w:t>
      </w:r>
      <w:r>
        <w:t xml:space="preserve"> In Dundgovi, 25 ha of roadside plantation (15,000 trees) were established in </w:t>
      </w:r>
      <w:proofErr w:type="spellStart"/>
      <w:r>
        <w:t>Saintsagaan</w:t>
      </w:r>
      <w:proofErr w:type="spellEnd"/>
      <w:r>
        <w:t xml:space="preserve"> soum in 2021 and 8 ha (3,360 trees) in </w:t>
      </w:r>
      <w:proofErr w:type="spellStart"/>
      <w:r>
        <w:t>Erdenedalai</w:t>
      </w:r>
      <w:proofErr w:type="spellEnd"/>
      <w:r>
        <w:t xml:space="preserve"> soum in 2022 under the State Budget,</w:t>
      </w:r>
      <w:r>
        <w:rPr>
          <w:vertAlign w:val="superscript"/>
        </w:rPr>
        <w:t>[11]</w:t>
      </w:r>
      <w:r>
        <w:t xml:space="preserve"> and the DFA’s own Green Dundgovi initiative organised reforestation training for 120 participants from all 15 soums in 2025 and carried out demonstration plantings, including a small tree nursery and elm planting, at the agency premises.</w:t>
      </w:r>
      <w:r>
        <w:rPr>
          <w:vertAlign w:val="superscript"/>
        </w:rPr>
        <w:t>[14]</w:t>
      </w:r>
    </w:p>
    <w:p w14:paraId="584B926C" w14:textId="77777777" w:rsidR="00F2176A" w:rsidRDefault="00F2176A" w:rsidP="00EB489E"/>
    <w:p w14:paraId="2856128F" w14:textId="611E08FC" w:rsidR="00D91847" w:rsidRPr="00D91847" w:rsidRDefault="00D91847" w:rsidP="00EB489E">
      <w:r>
        <w:t xml:space="preserve">At farm level, most assessed vegetable producers in Uvurkhangai were actively establishing windbreaks: the </w:t>
      </w:r>
      <w:proofErr w:type="spellStart"/>
      <w:r>
        <w:t>Arvaikheer</w:t>
      </w:r>
      <w:proofErr w:type="spellEnd"/>
      <w:r>
        <w:t xml:space="preserve"> municipal complex planted 400 elm, 700 poplar and 100 yellow acacia in 2026; one commercial farm planted 60 poplar in 2025; another established a mixed willow–poplar–larch–pine–tamarisk belt; and several were irrigating the young tree rows by drip.</w:t>
      </w:r>
      <w:r>
        <w:rPr>
          <w:vertAlign w:val="superscript"/>
        </w:rPr>
        <w:t>[46]</w:t>
      </w:r>
      <w:r>
        <w:t xml:space="preserve"> In Dundgovi, a newly established 2-ha orchard (about 2,000 fruit trees at 4×4 m spacing, under drip irrigation) was protected by a perforated shelter-fence system reinforced with an outer poplar row, and other farms had begun establishing shelterbelts around their plots.</w:t>
      </w:r>
      <w:r>
        <w:rPr>
          <w:vertAlign w:val="superscript"/>
        </w:rPr>
        <w:t>[45]</w:t>
      </w:r>
      <w:r>
        <w:t xml:space="preserve"> Notably, however, several greenhouse and orchard sites in both provinces still lacked any windbreak at the time of the visit and were visibly exposed to wind and dust, while plots protected by solid perimeter fences tended to treat live windbreaks as a lower priority.</w:t>
      </w:r>
      <w:r>
        <w:rPr>
          <w:vertAlign w:val="superscript"/>
        </w:rPr>
        <w:t>[45, 46]</w:t>
      </w:r>
    </w:p>
    <w:p w14:paraId="52535794" w14:textId="77777777" w:rsidR="00F2176A" w:rsidRDefault="00F2176A" w:rsidP="00EB489E"/>
    <w:p w14:paraId="0912BBB0" w14:textId="663D2222" w:rsidR="00D91847" w:rsidRPr="00D91847" w:rsidRDefault="00D91847" w:rsidP="00EB489E">
      <w:r>
        <w:t>Two cautionary cases observed during the missions are decisive for design. A sea-buckthorn plantation of more than 10 ha had been largely abandoned, having been established at a scale beyond its owner’s water and management capacity; and the outer poplar row protecting the Dundgovi orchard had mostly died, even as an older poplar windbreak elsewhere remained effective.</w:t>
      </w:r>
      <w:r>
        <w:rPr>
          <w:vertAlign w:val="superscript"/>
        </w:rPr>
        <w:t>[45, 46]</w:t>
      </w:r>
      <w:r>
        <w:t xml:space="preserve"> The consistent lesson — that post-establishment maintenance and irrigation of young trees, not the planting itself, is the binding constraint (reported at roughly USD 1,200 per hectare per year against an at-least-90% survival target) — carries directly into the technology and cost-benefit design: shelterbelt interventions must budget for several years of supplementary irrigation and maintenance, prioritise proven drought-tolerant species, and avoid plantations sized beyond available water and management capacity.</w:t>
      </w:r>
      <w:r>
        <w:rPr>
          <w:vertAlign w:val="superscript"/>
        </w:rPr>
        <w:t>[46]</w:t>
      </w:r>
    </w:p>
    <w:p w14:paraId="3FD96BBA" w14:textId="77777777" w:rsidR="00F2176A" w:rsidRDefault="00F2176A" w:rsidP="00EB489E"/>
    <w:p w14:paraId="2AB3D1EE" w14:textId="6253B1D0" w:rsidR="00D05222" w:rsidRPr="00D91847" w:rsidRDefault="00D91847" w:rsidP="00EB489E">
      <w:r>
        <w:t>Taken together, this activity provides a credible institutional and partial financial scaffolding for the project’s agroforestry component, along with practical local experience in establishing trees under arid conditions and an existing nursery backbone to draw on. It nonetheless remains small relative to need — Dundgovi alone has more than 7,000 km² of pasture in active degradation — and microclimatic benefits at landscape scale would require a substantial expansion of protective planting. The project’s contribution under Output 2 — national guidelines and certification standards for agroforestry, including for the Billion Trees programme — is therefore well-targeted, and is directly informed by the operational lessons on species choice, maintenance financing and appropriate scale documented above.</w:t>
      </w:r>
    </w:p>
    <w:p w14:paraId="72668987" w14:textId="4FA284EA" w:rsidR="00D05222" w:rsidRDefault="00F516D3" w:rsidP="00D16E24">
      <w:pPr>
        <w:pStyle w:val="Heading2"/>
        <w:spacing w:line="240" w:lineRule="auto"/>
        <w:contextualSpacing w:val="0"/>
      </w:pPr>
      <w:bookmarkStart w:id="59" w:name="_Toc233981271"/>
      <w:r>
        <w:lastRenderedPageBreak/>
        <w:t>Climate hazards</w:t>
      </w:r>
      <w:bookmarkEnd w:id="59"/>
    </w:p>
    <w:p w14:paraId="2B5305A0" w14:textId="786BE766" w:rsidR="005B707D" w:rsidRDefault="005B707D" w:rsidP="005B707D">
      <w:pPr>
        <w:spacing w:line="240" w:lineRule="auto"/>
        <w:jc w:val="center"/>
      </w:pPr>
      <w:r>
        <w:rPr>
          <w:noProof/>
        </w:rPr>
        <w:drawing>
          <wp:inline distT="0" distB="0" distL="0" distR="0" wp14:anchorId="697C930C" wp14:editId="6B221836">
            <wp:extent cx="5760720" cy="34855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485515"/>
                    </a:xfrm>
                    <a:prstGeom prst="rect">
                      <a:avLst/>
                    </a:prstGeom>
                  </pic:spPr>
                </pic:pic>
              </a:graphicData>
            </a:graphic>
          </wp:inline>
        </w:drawing>
      </w:r>
    </w:p>
    <w:p w14:paraId="1C356AF3" w14:textId="3064D6D7" w:rsidR="005B707D" w:rsidRPr="005B707D" w:rsidRDefault="00223259" w:rsidP="00223259">
      <w:pPr>
        <w:pStyle w:val="Caption"/>
        <w:framePr w:wrap="notBeside"/>
        <w:rPr>
          <w:b/>
          <w:bCs/>
          <w:sz w:val="20"/>
          <w:szCs w:val="20"/>
        </w:rPr>
      </w:pPr>
      <w:r>
        <w:t xml:space="preserve">Figure </w:t>
      </w:r>
      <w:r>
        <w:fldChar w:fldCharType="begin"/>
      </w:r>
      <w:r>
        <w:instrText xml:space="preserve"> SEQ Figure \* ARABIC </w:instrText>
      </w:r>
      <w:r>
        <w:fldChar w:fldCharType="separate"/>
      </w:r>
      <w:r w:rsidR="004171B1">
        <w:rPr>
          <w:noProof/>
        </w:rPr>
        <w:t>7</w:t>
      </w:r>
      <w:r>
        <w:fldChar w:fldCharType="end"/>
      </w:r>
      <w:r>
        <w:t>.</w:t>
      </w:r>
      <w:r w:rsidR="005B707D">
        <w:rPr>
          <w:b/>
          <w:bCs/>
          <w:sz w:val="20"/>
          <w:szCs w:val="20"/>
        </w:rPr>
        <w:t xml:space="preserve"> </w:t>
      </w:r>
      <w:r w:rsidR="005B707D" w:rsidRPr="00223259">
        <w:rPr>
          <w:sz w:val="20"/>
          <w:szCs w:val="20"/>
        </w:rPr>
        <w:t>Monthly climate hazard exposure profile of the target provinces (relative severity by month of year, derived from provincial and station records)</w:t>
      </w:r>
    </w:p>
    <w:p w14:paraId="4854BD93" w14:textId="171E0D3A" w:rsidR="005B707D" w:rsidRPr="00223259" w:rsidRDefault="005B707D" w:rsidP="005B707D">
      <w:pPr>
        <w:pStyle w:val="BodyText"/>
        <w:jc w:val="center"/>
        <w:rPr>
          <w:i/>
          <w:iCs/>
          <w:sz w:val="20"/>
          <w:szCs w:val="21"/>
        </w:rPr>
      </w:pPr>
      <w:r w:rsidRPr="00223259">
        <w:rPr>
          <w:i/>
          <w:iCs/>
          <w:sz w:val="20"/>
          <w:szCs w:val="21"/>
        </w:rPr>
        <w:t xml:space="preserve">Source: Gazar </w:t>
      </w:r>
      <w:proofErr w:type="spellStart"/>
      <w:r w:rsidRPr="00223259">
        <w:rPr>
          <w:i/>
          <w:iCs/>
          <w:sz w:val="20"/>
          <w:szCs w:val="21"/>
        </w:rPr>
        <w:t>Delkhii</w:t>
      </w:r>
      <w:proofErr w:type="spellEnd"/>
      <w:r w:rsidRPr="00223259">
        <w:rPr>
          <w:i/>
          <w:iCs/>
          <w:sz w:val="20"/>
          <w:szCs w:val="21"/>
        </w:rPr>
        <w:t xml:space="preserve"> LLC (</w:t>
      </w:r>
      <w:proofErr w:type="gramStart"/>
      <w:r w:rsidRPr="00223259">
        <w:rPr>
          <w:i/>
          <w:iCs/>
          <w:sz w:val="20"/>
          <w:szCs w:val="21"/>
        </w:rPr>
        <w:t>2025)</w:t>
      </w:r>
      <w:r w:rsidRPr="00223259">
        <w:rPr>
          <w:i/>
          <w:iCs/>
          <w:sz w:val="20"/>
          <w:szCs w:val="21"/>
          <w:vertAlign w:val="superscript"/>
        </w:rPr>
        <w:t>[</w:t>
      </w:r>
      <w:proofErr w:type="gramEnd"/>
      <w:r w:rsidRPr="00223259">
        <w:rPr>
          <w:i/>
          <w:iCs/>
          <w:sz w:val="20"/>
          <w:szCs w:val="21"/>
          <w:vertAlign w:val="superscript"/>
        </w:rPr>
        <w:t>21]</w:t>
      </w:r>
      <w:r w:rsidRPr="00223259">
        <w:rPr>
          <w:i/>
          <w:iCs/>
          <w:sz w:val="20"/>
          <w:szCs w:val="21"/>
        </w:rPr>
        <w:t>, IRIMHE (</w:t>
      </w:r>
      <w:proofErr w:type="gramStart"/>
      <w:r w:rsidRPr="00223259">
        <w:rPr>
          <w:i/>
          <w:iCs/>
          <w:sz w:val="20"/>
          <w:szCs w:val="21"/>
        </w:rPr>
        <w:t>2024)</w:t>
      </w:r>
      <w:r w:rsidRPr="00223259">
        <w:rPr>
          <w:i/>
          <w:iCs/>
          <w:sz w:val="20"/>
          <w:szCs w:val="21"/>
          <w:vertAlign w:val="superscript"/>
        </w:rPr>
        <w:t>[</w:t>
      </w:r>
      <w:proofErr w:type="gramEnd"/>
      <w:r w:rsidRPr="00223259">
        <w:rPr>
          <w:i/>
          <w:iCs/>
          <w:sz w:val="20"/>
          <w:szCs w:val="21"/>
          <w:vertAlign w:val="superscript"/>
        </w:rPr>
        <w:t>27]</w:t>
      </w:r>
      <w:r w:rsidRPr="00223259">
        <w:rPr>
          <w:i/>
          <w:iCs/>
          <w:sz w:val="20"/>
          <w:szCs w:val="21"/>
        </w:rPr>
        <w:t>, Azjargal et al. (</w:t>
      </w:r>
      <w:proofErr w:type="gramStart"/>
      <w:r w:rsidRPr="00223259">
        <w:rPr>
          <w:i/>
          <w:iCs/>
          <w:sz w:val="20"/>
          <w:szCs w:val="21"/>
        </w:rPr>
        <w:t>2022)</w:t>
      </w:r>
      <w:r w:rsidRPr="00223259">
        <w:rPr>
          <w:i/>
          <w:iCs/>
          <w:sz w:val="20"/>
          <w:szCs w:val="21"/>
          <w:vertAlign w:val="superscript"/>
        </w:rPr>
        <w:t>[</w:t>
      </w:r>
      <w:proofErr w:type="gramEnd"/>
      <w:r w:rsidRPr="00223259">
        <w:rPr>
          <w:i/>
          <w:iCs/>
          <w:sz w:val="20"/>
          <w:szCs w:val="21"/>
          <w:vertAlign w:val="superscript"/>
        </w:rPr>
        <w:t>3]</w:t>
      </w:r>
      <w:r w:rsidRPr="00223259">
        <w:rPr>
          <w:i/>
          <w:iCs/>
          <w:sz w:val="20"/>
          <w:szCs w:val="21"/>
        </w:rPr>
        <w:t>, Governor’s Office of Dundgovi aimag (</w:t>
      </w:r>
      <w:proofErr w:type="gramStart"/>
      <w:r w:rsidRPr="00223259">
        <w:rPr>
          <w:i/>
          <w:iCs/>
          <w:sz w:val="20"/>
          <w:szCs w:val="21"/>
        </w:rPr>
        <w:t>2020)</w:t>
      </w:r>
      <w:r w:rsidRPr="00223259">
        <w:rPr>
          <w:i/>
          <w:iCs/>
          <w:sz w:val="20"/>
          <w:szCs w:val="21"/>
          <w:vertAlign w:val="superscript"/>
        </w:rPr>
        <w:t>[</w:t>
      </w:r>
      <w:proofErr w:type="gramEnd"/>
      <w:r w:rsidRPr="00223259">
        <w:rPr>
          <w:i/>
          <w:iCs/>
          <w:sz w:val="20"/>
          <w:szCs w:val="21"/>
          <w:vertAlign w:val="superscript"/>
        </w:rPr>
        <w:t>25]</w:t>
      </w:r>
      <w:r w:rsidRPr="00223259">
        <w:rPr>
          <w:i/>
          <w:iCs/>
          <w:sz w:val="20"/>
          <w:szCs w:val="21"/>
        </w:rPr>
        <w:t>, Governor’s Office of Dundgovi aimag (2022</w:t>
      </w:r>
      <w:proofErr w:type="gramStart"/>
      <w:r w:rsidRPr="00223259">
        <w:rPr>
          <w:i/>
          <w:iCs/>
          <w:sz w:val="20"/>
          <w:szCs w:val="21"/>
        </w:rPr>
        <w:t>b)</w:t>
      </w:r>
      <w:r w:rsidRPr="00223259">
        <w:rPr>
          <w:i/>
          <w:iCs/>
          <w:sz w:val="20"/>
          <w:szCs w:val="21"/>
          <w:vertAlign w:val="superscript"/>
        </w:rPr>
        <w:t>[</w:t>
      </w:r>
      <w:proofErr w:type="gramEnd"/>
      <w:r w:rsidRPr="00223259">
        <w:rPr>
          <w:i/>
          <w:iCs/>
          <w:sz w:val="20"/>
          <w:szCs w:val="21"/>
          <w:vertAlign w:val="superscript"/>
        </w:rPr>
        <w:t>26]</w:t>
      </w:r>
      <w:r w:rsidRPr="00223259">
        <w:rPr>
          <w:i/>
          <w:iCs/>
          <w:sz w:val="20"/>
          <w:szCs w:val="21"/>
        </w:rPr>
        <w:t>.</w:t>
      </w:r>
    </w:p>
    <w:p w14:paraId="5E991995" w14:textId="244F576C" w:rsidR="005B707D" w:rsidRDefault="005B707D" w:rsidP="005B707D">
      <w:pPr>
        <w:spacing w:line="240" w:lineRule="auto"/>
        <w:jc w:val="center"/>
      </w:pPr>
    </w:p>
    <w:p w14:paraId="3F886583" w14:textId="77777777" w:rsidR="000F2928" w:rsidRPr="00E35798" w:rsidRDefault="000F2928" w:rsidP="00D16E24">
      <w:pPr>
        <w:pStyle w:val="Heading3"/>
        <w:spacing w:line="240" w:lineRule="auto"/>
        <w:contextualSpacing w:val="0"/>
      </w:pPr>
      <w:bookmarkStart w:id="60" w:name="_Toc233981272"/>
      <w:proofErr w:type="spellStart"/>
      <w:r>
        <w:t>Dzud</w:t>
      </w:r>
      <w:bookmarkEnd w:id="60"/>
      <w:proofErr w:type="spellEnd"/>
      <w:r>
        <w:t xml:space="preserve"> </w:t>
      </w:r>
    </w:p>
    <w:p w14:paraId="50D07434" w14:textId="1EC710F0" w:rsidR="005B707D" w:rsidRDefault="000F2928" w:rsidP="00EB489E">
      <w:proofErr w:type="spellStart"/>
      <w:r>
        <w:t>Dzud</w:t>
      </w:r>
      <w:proofErr w:type="spellEnd"/>
      <w:r>
        <w:t xml:space="preserve"> is the compound Mongolian hazard of summer drought followed by harsh winter conditions that kill livestock </w:t>
      </w:r>
      <w:proofErr w:type="spellStart"/>
      <w:r>
        <w:t>en</w:t>
      </w:r>
      <w:proofErr w:type="spellEnd"/>
      <w:r>
        <w:t xml:space="preserve"> masse. While its direct impact falls on the pastoral economy rather than on vegetable production, </w:t>
      </w:r>
      <w:proofErr w:type="spellStart"/>
      <w:r>
        <w:t>dzud</w:t>
      </w:r>
      <w:proofErr w:type="spellEnd"/>
      <w:r>
        <w:t xml:space="preserve"> years compress rural household incomes, deplete cash reserves available for agricultural inputs, and depress demand for vegetables — all of which shape the economic environment in which smallholder greenhouse investments must be amortised. Six major </w:t>
      </w:r>
      <w:proofErr w:type="spellStart"/>
      <w:r>
        <w:t>dzud</w:t>
      </w:r>
      <w:proofErr w:type="spellEnd"/>
      <w:r>
        <w:t xml:space="preserve"> events have occurred in the last two decades and have killed a cumulative 45 million heads of livestock; the 2023–2024 </w:t>
      </w:r>
      <w:proofErr w:type="spellStart"/>
      <w:r>
        <w:t>dzud</w:t>
      </w:r>
      <w:proofErr w:type="spellEnd"/>
      <w:r>
        <w:t xml:space="preserve"> caused losses of approximately 9.4 million animals nationally.</w:t>
      </w:r>
      <w:r>
        <w:rPr>
          <w:vertAlign w:val="superscript"/>
        </w:rPr>
        <w:t>[33]</w:t>
      </w:r>
    </w:p>
    <w:p w14:paraId="7F59FA77" w14:textId="77777777" w:rsidR="00F2176A" w:rsidRDefault="00F2176A" w:rsidP="00EB489E"/>
    <w:p w14:paraId="3BCFBA4D" w14:textId="66BD184C" w:rsidR="005B707D" w:rsidRPr="00E35798" w:rsidRDefault="005B707D" w:rsidP="00EB489E">
      <w:r>
        <w:t xml:space="preserve">In Dundgovi, the 2023–2024 </w:t>
      </w:r>
      <w:proofErr w:type="spellStart"/>
      <w:r>
        <w:t>dzud</w:t>
      </w:r>
      <w:proofErr w:type="spellEnd"/>
      <w:r>
        <w:t xml:space="preserve"> caused proportionally larger losses than the national average given the province’s heavy livestock dependence (47% of provincial GDP and 48% of employment) and limited fodder reserves.</w:t>
      </w:r>
      <w:r>
        <w:rPr>
          <w:vertAlign w:val="superscript"/>
        </w:rPr>
        <w:t xml:space="preserve">[31] </w:t>
      </w:r>
      <w:r>
        <w:t>Several soums in Dundgovi reported in 2025 that disposable household income for non-essential goods (including high-value vegetables such as tomato, cucumber and bell pepper) had fallen by 20–30% compared with pre-</w:t>
      </w:r>
      <w:proofErr w:type="spellStart"/>
      <w:r>
        <w:t>dzud</w:t>
      </w:r>
      <w:proofErr w:type="spellEnd"/>
      <w:r>
        <w:t xml:space="preserve"> levels, and the Dundgovi DFA explicitly identified weakening household demand as a constraint on the absorption of greenhouse output during the recovery period.</w:t>
      </w:r>
      <w:r>
        <w:rPr>
          <w:vertAlign w:val="superscript"/>
        </w:rPr>
        <w:t>[14]</w:t>
      </w:r>
    </w:p>
    <w:p w14:paraId="7192CAF1" w14:textId="6635F548" w:rsidR="000F2928" w:rsidRPr="00E35798" w:rsidRDefault="000F2928" w:rsidP="00D16E24">
      <w:pPr>
        <w:pStyle w:val="Heading3"/>
        <w:spacing w:line="240" w:lineRule="auto"/>
        <w:contextualSpacing w:val="0"/>
      </w:pPr>
      <w:bookmarkStart w:id="61" w:name="_Toc233981273"/>
      <w:r>
        <w:t>Drought</w:t>
      </w:r>
      <w:bookmarkEnd w:id="61"/>
    </w:p>
    <w:p w14:paraId="6E46C282" w14:textId="2B565279" w:rsidR="001B0062" w:rsidRDefault="001B0062" w:rsidP="00EB489E">
      <w:r>
        <w:t xml:space="preserve">Drought events are more frequent and more intense in Dundgovi than in Uvurkhangai. Central and southern Mongolia experienced moderate to extreme droughts through most of the June–September 2020 period — the main annual precipitation window — and the 1999–2002 drought dried up a significant fraction of the country’s small rivers and lakes, including parts of the </w:t>
      </w:r>
      <w:proofErr w:type="spellStart"/>
      <w:r>
        <w:t>Ongi</w:t>
      </w:r>
      <w:proofErr w:type="spellEnd"/>
      <w:r>
        <w:t xml:space="preserve"> system.</w:t>
      </w:r>
      <w:r>
        <w:rPr>
          <w:vertAlign w:val="superscript"/>
        </w:rPr>
        <w:t>[31]</w:t>
      </w:r>
      <w:r>
        <w:t xml:space="preserve"> At soum level in Uvurkhangai, the 2025 cropping season provided a illustrative example of the impacts of drought: extended summer drought in </w:t>
      </w:r>
      <w:proofErr w:type="spellStart"/>
      <w:r>
        <w:t>Tugrug</w:t>
      </w:r>
      <w:proofErr w:type="spellEnd"/>
      <w:r>
        <w:t xml:space="preserve"> soum left the small water-storage dam empty and forced farmers to abandon irrigation from August onwards, with measurable yield losses across the affected area; Kharkhorin, </w:t>
      </w:r>
      <w:proofErr w:type="spellStart"/>
      <w:r>
        <w:t>Arvaikheer</w:t>
      </w:r>
      <w:proofErr w:type="spellEnd"/>
      <w:r>
        <w:t xml:space="preserve"> and </w:t>
      </w:r>
      <w:proofErr w:type="spellStart"/>
      <w:r>
        <w:t>Tarag</w:t>
      </w:r>
      <w:proofErr w:type="spellEnd"/>
      <w:r>
        <w:t xml:space="preserve"> soums also reported significant declines linked to the breakdown of older surface irrigation systems combined with below-normal rainfall.</w:t>
      </w:r>
      <w:r>
        <w:rPr>
          <w:vertAlign w:val="superscript"/>
        </w:rPr>
        <w:t>[13]</w:t>
      </w:r>
    </w:p>
    <w:p w14:paraId="79E6E1EA" w14:textId="77777777" w:rsidR="00F2176A" w:rsidRDefault="00F2176A" w:rsidP="00EB489E"/>
    <w:p w14:paraId="481BF5CE" w14:textId="39EAA5C9" w:rsidR="001B0062" w:rsidRDefault="001B0062" w:rsidP="00EB489E">
      <w:r>
        <w:lastRenderedPageBreak/>
        <w:t xml:space="preserve">For the technology assessment, drought risk motivates the focus on groundwater-based rather than rain-fed systems in </w:t>
      </w:r>
      <w:proofErr w:type="gramStart"/>
      <w:r>
        <w:t>Dundgovi, and</w:t>
      </w:r>
      <w:proofErr w:type="gramEnd"/>
      <w:r>
        <w:t xml:space="preserve"> underlines the need for water-efficient (drip) delivery in both provinces. It also motivates the selection of drought-tolerant species for the agroforestry component (see section 7.3) and the sizing of any header tank or buffer storage to cover at least one full week of zero-precipitation operation under peak-season demand.</w:t>
      </w:r>
    </w:p>
    <w:p w14:paraId="05507C48" w14:textId="24415535" w:rsidR="000F2928" w:rsidRPr="00E35798" w:rsidRDefault="000F2928" w:rsidP="00D16E24">
      <w:pPr>
        <w:pStyle w:val="Heading3"/>
        <w:spacing w:line="240" w:lineRule="auto"/>
        <w:contextualSpacing w:val="0"/>
      </w:pPr>
      <w:bookmarkStart w:id="62" w:name="_Toc233981274"/>
      <w:r>
        <w:t>Sand and dust storms</w:t>
      </w:r>
      <w:bookmarkEnd w:id="62"/>
    </w:p>
    <w:p w14:paraId="08488C70" w14:textId="55849490" w:rsidR="001B0062" w:rsidRDefault="001B0062" w:rsidP="001B0062">
      <w:pPr>
        <w:pStyle w:val="BodyText"/>
        <w:spacing w:line="240" w:lineRule="auto"/>
      </w:pPr>
      <w:r>
        <w:t>Sand and dust storm (SDS) frequency and intensity have both risen in both provinces. The empirical data summarised in Section 4.3 above — 6,552 hazardous-weather events in Dundgovi over the period 2003–2021, of which 14.9% were sand/dust storms by frequency and 52.3% by catastrophic-class severity — provide the documentary basis. Operationally, SDS events impose four distinct design constraints on the technology portfolio: (</w:t>
      </w:r>
      <w:proofErr w:type="spellStart"/>
      <w:r>
        <w:t>i</w:t>
      </w:r>
      <w:proofErr w:type="spellEnd"/>
      <w:r>
        <w:t xml:space="preserve">) higher wind-load ratings for greenhouse frames and glazing, especially in Dundgovi, where the primary earth-sheltered passive-solar design relies on massive walls, a low profile and shelterbelt protection, and where a 120 km/h wind-rated polycarbonate greenhouse with reinforced galvanized-steel frame is retained as a higher-specification, co-financed option, (ii) positive-pressure ventilation and air-wash systems at greenhouse entrances to exclude fine dust from enclosed growing volumes, which would otherwise foul ventilation systems, abrade glazing surfaces and reduce photosynthetic efficiency; (iii) protective casings for solar-pump controllers and PV junction boxes, plus periodic dust-cleaning maintenance for PV panels; and (iv) </w:t>
      </w:r>
      <w:bookmarkStart w:id="63" w:name="sand-and-dust-storms"/>
      <w:r>
        <w:t>agroforestry shelterbelts as an explicit dust-mitigation technology.</w:t>
      </w:r>
      <w:bookmarkEnd w:id="63"/>
    </w:p>
    <w:p w14:paraId="0AA58147" w14:textId="1A7BD0C3" w:rsidR="000F2928" w:rsidRPr="00E35798" w:rsidRDefault="000F2928" w:rsidP="00D16E24">
      <w:pPr>
        <w:pStyle w:val="Heading3"/>
        <w:spacing w:line="240" w:lineRule="auto"/>
        <w:contextualSpacing w:val="0"/>
      </w:pPr>
      <w:bookmarkStart w:id="64" w:name="_Toc233981275"/>
      <w:r>
        <w:t>Extreme heat and heat waves</w:t>
      </w:r>
      <w:bookmarkEnd w:id="64"/>
    </w:p>
    <w:p w14:paraId="3DFD71FB" w14:textId="0AA0DC37" w:rsidR="00D61DBE" w:rsidRDefault="001B0062" w:rsidP="00EB489E">
      <w:r>
        <w:t xml:space="preserve">Although Mongolia is, climatologically, a cold country, summer heat extremes are now a material risk for enclosed production systems. Peak summer temperatures above +35 °C have become more frequent in both provinces, and without adequate ventilation a closed greenhouse can heat internally rapidly to temperatures above the crop tolerance threshold for key vegetable species (30–32°C for tomato, 28–30°C for cucumber, 28–30°C for bell pepper). Passive cooling design — adequate ridge and side ventilation, shade cloth at 30–50% shading factor, and in some cases evaporative cooling — is therefore as important as winter heat retention in the greenhouse specification. </w:t>
      </w:r>
      <w:r>
        <w:rPr>
          <w:rFonts w:eastAsia="Times New Roman" w:cs="Times New Roman"/>
        </w:rPr>
        <w:t>With a simple natural ventilation process, average daily temperatures between 12 and 24°C can be maintained.</w:t>
      </w:r>
    </w:p>
    <w:p w14:paraId="61287EEF" w14:textId="60BBF088" w:rsidR="00D61DBE" w:rsidRPr="00E35798" w:rsidRDefault="00D61DBE" w:rsidP="00D61DBE">
      <w:pPr>
        <w:pStyle w:val="Heading3"/>
        <w:spacing w:line="240" w:lineRule="auto"/>
        <w:contextualSpacing w:val="0"/>
      </w:pPr>
      <w:bookmarkStart w:id="65" w:name="_Toc233981276"/>
      <w:r>
        <w:t>Hail</w:t>
      </w:r>
      <w:bookmarkEnd w:id="65"/>
    </w:p>
    <w:p w14:paraId="2A2B503B" w14:textId="1E90F8F2" w:rsidR="00D61DBE" w:rsidRDefault="00D61DBE" w:rsidP="00EB489E">
      <w:r>
        <w:t>Hail is rare but locally devastating, as confirmed by the 1,038 ha hail damage in Kharkhorin soum (Uvurkhangai) in 2025, which destroyed wheat, fodder and oilseed crops on prepared land within a single hour-long event.</w:t>
      </w:r>
      <w:r>
        <w:rPr>
          <w:vertAlign w:val="superscript"/>
        </w:rPr>
        <w:t>[13]</w:t>
      </w:r>
      <w:r>
        <w:t xml:space="preserve"> For greenhouse design, polycarbonate twin-wall glazing of 8–10 mm thickness withstands hail of typical Mongolian sizes (up to 25 mm diameter) without permanent damage; thinner film coverings (single-skin or double-skin polyethylene) typically suffer punctures or tears that necessitate immediate repair to prevent thermal performance loss. This is one of several reasons justifying the recommendation of polycarbonate over polytunnel as the default selection for Dundgovi in Chapter 7.</w:t>
      </w:r>
    </w:p>
    <w:p w14:paraId="4891F535" w14:textId="5AEF6A4E" w:rsidR="00D61DBE" w:rsidRPr="00E35798" w:rsidRDefault="00D61DBE" w:rsidP="00D61DBE">
      <w:pPr>
        <w:pStyle w:val="Heading3"/>
        <w:spacing w:line="240" w:lineRule="auto"/>
        <w:contextualSpacing w:val="0"/>
      </w:pPr>
      <w:bookmarkStart w:id="66" w:name="_Toc233981277"/>
      <w:r>
        <w:t>Frost and freezing rain</w:t>
      </w:r>
      <w:bookmarkEnd w:id="66"/>
    </w:p>
    <w:p w14:paraId="57454E88" w14:textId="4AB5241C" w:rsidR="00D61DBE" w:rsidRDefault="00D61DBE" w:rsidP="00EB489E">
      <w:r>
        <w:t>Late spring and early autumn frosts truncate the open-field cropping cycle in both provinces, as discussed in Section 4.4. Freezing rain is a comparatively infrequent but operationally significant hazard, particularly in the spring transition period. In Dundgovi, freezing rain accounts for approximately 8% of catalogued hazardous-weather events (522 events during the period 2003–2021), which can damage greenhouse glazing through ice loading and damage outdoor irrigation systems through freeze-thaw cycling.</w:t>
      </w:r>
      <w:r>
        <w:rPr>
          <w:vertAlign w:val="superscript"/>
        </w:rPr>
        <w:t>[11]</w:t>
      </w:r>
    </w:p>
    <w:p w14:paraId="03783842" w14:textId="77777777" w:rsidR="000F0592" w:rsidRDefault="000F0592" w:rsidP="00EB489E"/>
    <w:p w14:paraId="0FCF42F0" w14:textId="2F6FA640" w:rsidR="000F0592" w:rsidRDefault="000F0592" w:rsidP="000F0592">
      <w:pPr>
        <w:pStyle w:val="Heading2"/>
      </w:pPr>
      <w:bookmarkStart w:id="67" w:name="_Toc233981278"/>
      <w:r>
        <w:t>Desertification and land degradation</w:t>
      </w:r>
      <w:bookmarkEnd w:id="67"/>
    </w:p>
    <w:p w14:paraId="0D5D5F83" w14:textId="6F8D7518" w:rsidR="000F0592" w:rsidRDefault="000F0592" w:rsidP="00EB489E">
      <w:r>
        <w:t xml:space="preserve">The 2020 national desertification assessment classifies 76.9% of Mongolia’s territory as affected by desertification to some degree (31.5% weak, 22.1% moderate, 18.6% severe, 4. % very severe). Both target provinces are among the eight </w:t>
      </w:r>
      <w:proofErr w:type="spellStart"/>
      <w:r>
        <w:t>aimags</w:t>
      </w:r>
      <w:proofErr w:type="spellEnd"/>
      <w:r>
        <w:t xml:space="preserve"> most affected. Dundgovi is in fact the most heavily </w:t>
      </w:r>
      <w:proofErr w:type="spellStart"/>
      <w:r>
        <w:t>desertified</w:t>
      </w:r>
      <w:proofErr w:type="spellEnd"/>
      <w:r>
        <w:t xml:space="preserve"> aimag in Mongolia: every hectare of provincial territory shows some degree of desertification, with 54.8% classified as “severe”, 30.9% as “very severe”, 13% as “moderate” and only 1.3% as “weak”.¹⁹ The 2019 field-based assessment identified the principal natural drivers as moisture deficit, intensifying winds, increased frequency of intense convective rainfall and global warming; the principal anthropogenic drivers as livestock overstocking, urbanisation, mineral exploration and extraction, and the proliferation of unpaved tracks. In 50 </w:t>
      </w:r>
      <w:r>
        <w:lastRenderedPageBreak/>
        <w:t>of the 67 desertification monitoring sites surveyed in 2019, at least one unpaved road of 3.6–10 m width was located within a 1 km radius — direct evidence of how rapidly multiplying tracks for livestock movement, mining access and tourism are eroding the topsoil layer and contributing to dust mobilisation.</w:t>
      </w:r>
      <w:r>
        <w:rPr>
          <w:vertAlign w:val="superscript"/>
        </w:rPr>
        <w:t>[25]</w:t>
      </w:r>
    </w:p>
    <w:p w14:paraId="063D266A" w14:textId="77777777" w:rsidR="00030D63" w:rsidRDefault="00030D63" w:rsidP="00EB489E"/>
    <w:p w14:paraId="5225EA0C" w14:textId="47904F40" w:rsidR="000F0592" w:rsidRDefault="000F0592" w:rsidP="00EB489E">
      <w:r>
        <w:t xml:space="preserve">In Uvurkhangai, the desertification picture is less acute on average but follows the same north–south gradient as the climate: the </w:t>
      </w:r>
      <w:proofErr w:type="spellStart"/>
      <w:r>
        <w:t>Khangai</w:t>
      </w:r>
      <w:proofErr w:type="spellEnd"/>
      <w:r>
        <w:t>-fringe northern soums show only weak-to-moderate degradation, while the southern soums show severe degradation comparable to northern Dundgovi. Degradation is attributed principally to summer storms, spring sandstorms, frost cycles and human activity, and identifies wind- and water-induced soil erosion as significant risks across substantial parts of the province.</w:t>
      </w:r>
      <w:r>
        <w:rPr>
          <w:vertAlign w:val="superscript"/>
        </w:rPr>
        <w:t>[21]</w:t>
      </w:r>
    </w:p>
    <w:p w14:paraId="1A2AB08C" w14:textId="77777777" w:rsidR="00030D63" w:rsidRDefault="00030D63" w:rsidP="00EB489E"/>
    <w:p w14:paraId="43A53BCB" w14:textId="72F77404" w:rsidR="000F0592" w:rsidRDefault="000F0592" w:rsidP="00EB489E">
      <w:r>
        <w:t xml:space="preserve">The implication for the project is that desertification is both context and constraint. As context, it explains why ecosystem-based adaptation through agroforestry </w:t>
      </w:r>
      <w:proofErr w:type="gramStart"/>
      <w:r>
        <w:t>is a legitimate and necessary intervention category</w:t>
      </w:r>
      <w:proofErr w:type="gramEnd"/>
      <w:r>
        <w:t xml:space="preserve"> — without active soil and microclimate stabilisation, even the best greenhouse and irrigation technologies will be deployed in a steadily degrading environment that progressively undermines their performance. As constraint, it limits the locations and species suitable for agroforestry: shelterbelts established on heavily </w:t>
      </w:r>
      <w:proofErr w:type="spellStart"/>
      <w:r>
        <w:t>desertified</w:t>
      </w:r>
      <w:proofErr w:type="spellEnd"/>
      <w:r>
        <w:t xml:space="preserve"> Gobi soils require 3–5 years of supplementary irrigation before they become self-sustaining, and species choice must be biased heavily toward drought-tolerant native or naturalised genotypes.</w:t>
      </w:r>
    </w:p>
    <w:p w14:paraId="38977C1C" w14:textId="4963F5FD" w:rsidR="4EDECFBF" w:rsidRDefault="4EDECFBF" w:rsidP="00EB489E"/>
    <w:p w14:paraId="22C75E0B" w14:textId="3B525CD3" w:rsidR="00C275A3" w:rsidRPr="00E35798" w:rsidRDefault="00281F5E" w:rsidP="00D16E24">
      <w:pPr>
        <w:pStyle w:val="Heading2"/>
        <w:spacing w:line="240" w:lineRule="auto"/>
        <w:contextualSpacing w:val="0"/>
      </w:pPr>
      <w:bookmarkStart w:id="68" w:name="_Toc233981279"/>
      <w:proofErr w:type="spellStart"/>
      <w:r>
        <w:t>Agro</w:t>
      </w:r>
      <w:proofErr w:type="spellEnd"/>
      <w:r>
        <w:t>-ecological implications for vegetable production</w:t>
      </w:r>
      <w:bookmarkEnd w:id="68"/>
    </w:p>
    <w:p w14:paraId="45A1D1B4" w14:textId="77777777" w:rsidR="000F0592" w:rsidRDefault="000F0592" w:rsidP="000F0592">
      <w:pPr>
        <w:pStyle w:val="BodyText"/>
        <w:spacing w:line="240" w:lineRule="auto"/>
        <w:contextualSpacing w:val="0"/>
      </w:pPr>
      <w:r>
        <w:t>Synthesising the biophysical and production evidence above, the operating envelope for smallholder vegetable production in the two target provinces can be characterised through the following profile, common to both provinces but with quantitatively divergent severity:</w:t>
      </w:r>
    </w:p>
    <w:p w14:paraId="6BF6BAD5" w14:textId="177B595E" w:rsidR="000F0592" w:rsidRDefault="000F0592" w:rsidP="00EB489E">
      <w:r>
        <w:rPr>
          <w:b/>
          <w:bCs/>
        </w:rPr>
        <w:t>Short and constraining open-field season.</w:t>
      </w:r>
      <w:r>
        <w:t xml:space="preserve"> A frost-free window of 90–115 days in Uvurkhangai and 115–130 days in Dundgovi places a hard ceiling on the production cycle of warm-season vegetables (tomato, pepper, cucumber, eggplant, melon) that need 100–140 days from transplant to maturity. In a normal year the window is sufficient if planting is precisely timed; in a year with late spring or early autumn frosts (a one-in-three-year occurrence) the harvest is materially reduced or lost. Protected cultivation extends the operating season to 8–9 months and is therefore not optional but structural to any meaningful intensification of vegetable output.</w:t>
      </w:r>
    </w:p>
    <w:p w14:paraId="559E1AEA" w14:textId="77777777" w:rsidR="00030D63" w:rsidRDefault="00030D63" w:rsidP="00EB489E">
      <w:pPr>
        <w:rPr>
          <w:b/>
          <w:bCs/>
        </w:rPr>
      </w:pPr>
    </w:p>
    <w:p w14:paraId="736A726A" w14:textId="72C39E55" w:rsidR="000F0592" w:rsidRDefault="000F0592" w:rsidP="00EB489E">
      <w:r>
        <w:rPr>
          <w:b/>
          <w:bCs/>
        </w:rPr>
        <w:t>Severe and multi-vector wind exposure.</w:t>
      </w:r>
      <w:r>
        <w:t xml:space="preserve"> Annual mean wind speeds of 4–6 m/s, peak gusts of 28–40 m/s in catastrophic events, more than 30 days/year of sand or dust storm activity in Dundgovi and 12–20 days/year in Uvurkhangai impose four design constraints simultaneously: structural (wind load), dust intrusion (ventilation), foliar damage (mechanical), and soil erosion (root-zone instability). Single-skin polytunnels and lightweight low-tunnel structures are not viable in Dundgovi without adjacent shelterbelt protection; even in Uvurkhangai, lightweight structures fail at well-below-design return periods. Reinforced polycarbonate structures combined with multi-row shelterbelts represent the operationally robust configuration.</w:t>
      </w:r>
    </w:p>
    <w:p w14:paraId="709A4305" w14:textId="77777777" w:rsidR="00030D63" w:rsidRDefault="00030D63" w:rsidP="00EB489E">
      <w:pPr>
        <w:rPr>
          <w:b/>
          <w:bCs/>
        </w:rPr>
      </w:pPr>
    </w:p>
    <w:p w14:paraId="55B44238" w14:textId="2D7B5C8C" w:rsidR="000F0592" w:rsidRDefault="000F0592" w:rsidP="00EB489E">
      <w:r>
        <w:rPr>
          <w:b/>
          <w:bCs/>
        </w:rPr>
        <w:t>Acute moisture deficit, severe in Dundgovi.</w:t>
      </w:r>
      <w:r>
        <w:t xml:space="preserve"> Annual aridity index (P/ET₀) of 0.20–0.30 in Uvurkhangai and 0.10–0.13 in Dundgovi places both provinces in the semi-arid to arid range. </w:t>
      </w:r>
      <w:proofErr w:type="gramStart"/>
      <w:r>
        <w:t>Open-field</w:t>
      </w:r>
      <w:proofErr w:type="gramEnd"/>
      <w:r>
        <w:t xml:space="preserve"> rainfed vegetable production is not viable in Dundgovi and is marginal in southern Uvurkhangai. Drip irrigation is the default delivery mode; surface and sprinkler systems are not cost-competitive at smallholder scale and are also incompatible with the project’s water-stewardship objectives. Solar-powered drip is the operationally and environmentally preferred energy source.</w:t>
      </w:r>
    </w:p>
    <w:p w14:paraId="3FC9531A" w14:textId="77777777" w:rsidR="00030D63" w:rsidRDefault="00030D63" w:rsidP="00EB489E">
      <w:pPr>
        <w:rPr>
          <w:b/>
          <w:bCs/>
        </w:rPr>
      </w:pPr>
    </w:p>
    <w:p w14:paraId="7F5D45F7" w14:textId="690A00B0" w:rsidR="000F0592" w:rsidRDefault="000F0592" w:rsidP="00EB489E">
      <w:r>
        <w:rPr>
          <w:b/>
          <w:bCs/>
        </w:rPr>
        <w:t>High thermal stress in both directions.</w:t>
      </w:r>
      <w:r>
        <w:t xml:space="preserve"> Diurnal temperature ranges of 15–25 °C, January extremes of –35 to –45 °C, July extremes of +35 to +41 °C all impose simultaneous heating, cooling and ventilation requirements on any closed production system. Passive design — insulating thermal mass, low-aspect-ratio earth-sheltered geometry, polycarbonate or twin-wall glazing — reduces but does not eliminate the thermal management challenge. Smallholder operators must understand both modes of failure (cold injury from inadequate winter retention; heat injury from inadequate summer ventilation) and be trained accordingly.</w:t>
      </w:r>
    </w:p>
    <w:p w14:paraId="38521CF3" w14:textId="77777777" w:rsidR="000F0592" w:rsidRDefault="000F0592" w:rsidP="00EB489E">
      <w:r>
        <w:rPr>
          <w:b/>
          <w:bCs/>
        </w:rPr>
        <w:t>Active and accelerating land degradation.</w:t>
      </w:r>
      <w:r>
        <w:t xml:space="preserve"> Both provinces show empirically documented degradation trajectories — declining pasture biomass, declining soil organic matter, increasing surface armouring, expanding indicator species of degradation, more frequent and severe </w:t>
      </w:r>
      <w:proofErr w:type="gramStart"/>
      <w:r>
        <w:t>sand storms</w:t>
      </w:r>
      <w:proofErr w:type="gramEnd"/>
      <w:r>
        <w:t xml:space="preserve"> — that progressively increase the cost of greenhouse and irrigation operation if not actively mitigated. Agroforestry shelterbelts and the broader Billion Trees programme are the principal mitigation infrastructure, and any project intervention </w:t>
      </w:r>
      <w:r>
        <w:lastRenderedPageBreak/>
        <w:t>should be designed in coordination with — and to take advantage of — that programme rather than independently of it.</w:t>
      </w:r>
    </w:p>
    <w:p w14:paraId="11EBA42B" w14:textId="77777777" w:rsidR="00030D63" w:rsidRDefault="00030D63" w:rsidP="000F0592">
      <w:pPr>
        <w:pStyle w:val="BodyText"/>
        <w:spacing w:line="240" w:lineRule="auto"/>
        <w:contextualSpacing w:val="0"/>
      </w:pPr>
    </w:p>
    <w:p w14:paraId="412D78CF" w14:textId="2985ED41" w:rsidR="000F0592" w:rsidRDefault="000F0592" w:rsidP="000F0592">
      <w:pPr>
        <w:pStyle w:val="BodyText"/>
        <w:spacing w:line="240" w:lineRule="auto"/>
        <w:contextualSpacing w:val="0"/>
      </w:pPr>
      <w:r>
        <w:t xml:space="preserve">The above profile produces a distinctive </w:t>
      </w:r>
      <w:proofErr w:type="spellStart"/>
      <w:r>
        <w:t>agro</w:t>
      </w:r>
      <w:proofErr w:type="spellEnd"/>
      <w:r>
        <w:t>-ecological envelope in each province that cleanly separates the technology requirements:</w:t>
      </w:r>
    </w:p>
    <w:p w14:paraId="08807192" w14:textId="77777777" w:rsidR="000F0592" w:rsidRDefault="000F0592" w:rsidP="005A129A">
      <w:pPr>
        <w:pStyle w:val="Caption"/>
        <w:framePr w:wrap="notBeside"/>
      </w:pPr>
      <w:r>
        <w:rPr>
          <w:b/>
          <w:bCs/>
        </w:rPr>
        <w:t>Table 12.</w:t>
      </w:r>
      <w:r>
        <w:t xml:space="preserve"> </w:t>
      </w:r>
      <w:proofErr w:type="spellStart"/>
      <w:r>
        <w:t>Agro</w:t>
      </w:r>
      <w:proofErr w:type="spellEnd"/>
      <w:r>
        <w:t>-ecological envelope by zone</w:t>
      </w:r>
    </w:p>
    <w:tbl>
      <w:tblPr>
        <w:tblStyle w:val="Table"/>
        <w:tblW w:w="5000" w:type="pct"/>
        <w:tblInd w:w="113" w:type="dxa"/>
        <w:tblBorders>
          <w:top w:val="single" w:sz="4" w:space="0" w:color="BCBCBC" w:themeColor="background1"/>
          <w:bottom w:val="single" w:sz="4" w:space="0" w:color="BCBCBC" w:themeColor="background1"/>
          <w:insideH w:val="single" w:sz="4" w:space="0" w:color="BCBCBC" w:themeColor="background1"/>
        </w:tblBorders>
        <w:tblLayout w:type="fixed"/>
        <w:tblLook w:val="0020" w:firstRow="1" w:lastRow="0" w:firstColumn="0" w:lastColumn="0" w:noHBand="0" w:noVBand="0"/>
      </w:tblPr>
      <w:tblGrid>
        <w:gridCol w:w="1614"/>
        <w:gridCol w:w="2100"/>
        <w:gridCol w:w="2753"/>
        <w:gridCol w:w="3171"/>
      </w:tblGrid>
      <w:tr w:rsidR="000F0592" w14:paraId="615B4CF7" w14:textId="77777777" w:rsidTr="009D5373">
        <w:trPr>
          <w:cnfStyle w:val="100000000000" w:firstRow="1" w:lastRow="0" w:firstColumn="0" w:lastColumn="0" w:oddVBand="0" w:evenVBand="0" w:oddHBand="0" w:evenHBand="0" w:firstRowFirstColumn="0" w:firstRowLastColumn="0" w:lastRowFirstColumn="0" w:lastRowLastColumn="0"/>
          <w:tblHeader/>
        </w:trPr>
        <w:tc>
          <w:tcPr>
            <w:tcW w:w="1614" w:type="dxa"/>
            <w:tcBorders>
              <w:bottom w:val="none" w:sz="0" w:space="0" w:color="auto"/>
            </w:tcBorders>
            <w:shd w:val="clear" w:color="auto" w:fill="E99E6D" w:themeFill="accent3"/>
            <w:vAlign w:val="top"/>
          </w:tcPr>
          <w:p w14:paraId="4291B5BF" w14:textId="77777777" w:rsidR="000F0592" w:rsidRPr="000F0592" w:rsidRDefault="000F0592" w:rsidP="00ED71A8">
            <w:pPr>
              <w:pStyle w:val="OikoTables02"/>
            </w:pPr>
            <w:r>
              <w:t>Zone</w:t>
            </w:r>
          </w:p>
        </w:tc>
        <w:tc>
          <w:tcPr>
            <w:tcW w:w="2100" w:type="dxa"/>
            <w:tcBorders>
              <w:bottom w:val="none" w:sz="0" w:space="0" w:color="auto"/>
            </w:tcBorders>
            <w:shd w:val="clear" w:color="auto" w:fill="E99E6D" w:themeFill="accent3"/>
            <w:vAlign w:val="top"/>
          </w:tcPr>
          <w:p w14:paraId="6AF633B4" w14:textId="77777777" w:rsidR="000F0592" w:rsidRPr="000F0592" w:rsidRDefault="000F0592" w:rsidP="00ED71A8">
            <w:pPr>
              <w:pStyle w:val="OikoTables02"/>
            </w:pPr>
            <w:r>
              <w:t xml:space="preserve">Province </w:t>
            </w:r>
            <w:proofErr w:type="spellStart"/>
            <w:r>
              <w:t>coverage</w:t>
            </w:r>
            <w:proofErr w:type="spellEnd"/>
          </w:p>
        </w:tc>
        <w:tc>
          <w:tcPr>
            <w:tcW w:w="2753" w:type="dxa"/>
            <w:tcBorders>
              <w:bottom w:val="none" w:sz="0" w:space="0" w:color="auto"/>
            </w:tcBorders>
            <w:shd w:val="clear" w:color="auto" w:fill="E99E6D" w:themeFill="accent3"/>
            <w:vAlign w:val="top"/>
          </w:tcPr>
          <w:p w14:paraId="022A7FFF" w14:textId="77777777" w:rsidR="000F0592" w:rsidRPr="000F0592" w:rsidRDefault="000F0592" w:rsidP="00ED71A8">
            <w:pPr>
              <w:pStyle w:val="OikoTables02"/>
            </w:pPr>
            <w:proofErr w:type="spellStart"/>
            <w:r>
              <w:t>Defining</w:t>
            </w:r>
            <w:proofErr w:type="spellEnd"/>
            <w:r>
              <w:t xml:space="preserve"> </w:t>
            </w:r>
            <w:proofErr w:type="spellStart"/>
            <w:r>
              <w:t>characteristics</w:t>
            </w:r>
            <w:proofErr w:type="spellEnd"/>
          </w:p>
        </w:tc>
        <w:tc>
          <w:tcPr>
            <w:tcW w:w="3171" w:type="dxa"/>
            <w:tcBorders>
              <w:bottom w:val="none" w:sz="0" w:space="0" w:color="auto"/>
            </w:tcBorders>
            <w:shd w:val="clear" w:color="auto" w:fill="E99E6D" w:themeFill="accent3"/>
            <w:vAlign w:val="top"/>
          </w:tcPr>
          <w:p w14:paraId="337D1A00" w14:textId="77777777" w:rsidR="000F0592" w:rsidRPr="000F0592" w:rsidRDefault="000F0592" w:rsidP="00ED71A8">
            <w:pPr>
              <w:pStyle w:val="OikoTables02"/>
            </w:pPr>
            <w:proofErr w:type="spellStart"/>
            <w:r>
              <w:t>Implications</w:t>
            </w:r>
            <w:proofErr w:type="spellEnd"/>
            <w:r>
              <w:t xml:space="preserve"> </w:t>
            </w:r>
            <w:proofErr w:type="spellStart"/>
            <w:r>
              <w:t>for</w:t>
            </w:r>
            <w:proofErr w:type="spellEnd"/>
            <w:r>
              <w:t xml:space="preserve"> </w:t>
            </w:r>
            <w:proofErr w:type="spellStart"/>
            <w:r>
              <w:t>technology</w:t>
            </w:r>
            <w:proofErr w:type="spellEnd"/>
            <w:r>
              <w:t xml:space="preserve"> </w:t>
            </w:r>
            <w:proofErr w:type="spellStart"/>
            <w:r>
              <w:t>package</w:t>
            </w:r>
            <w:proofErr w:type="spellEnd"/>
          </w:p>
        </w:tc>
      </w:tr>
      <w:tr w:rsidR="000F0592" w14:paraId="5E9B00AA" w14:textId="77777777" w:rsidTr="009D5373">
        <w:tc>
          <w:tcPr>
            <w:tcW w:w="1614" w:type="dxa"/>
          </w:tcPr>
          <w:p w14:paraId="06A47DD8" w14:textId="77777777" w:rsidR="000F0592" w:rsidRPr="000F0592" w:rsidRDefault="000F0592" w:rsidP="00030D63">
            <w:pPr>
              <w:pStyle w:val="OikoTables03Content"/>
            </w:pPr>
            <w:r w:rsidRPr="7E00F032">
              <w:rPr>
                <w:lang w:val="en-GB"/>
              </w:rPr>
              <w:t xml:space="preserve">Forest-steppe (north </w:t>
            </w:r>
            <w:proofErr w:type="spellStart"/>
            <w:r w:rsidRPr="7E00F032">
              <w:rPr>
                <w:lang w:val="en-GB"/>
              </w:rPr>
              <w:t>Khangai</w:t>
            </w:r>
            <w:proofErr w:type="spellEnd"/>
            <w:r w:rsidRPr="7E00F032">
              <w:rPr>
                <w:lang w:val="en-GB"/>
              </w:rPr>
              <w:t>)</w:t>
            </w:r>
          </w:p>
        </w:tc>
        <w:tc>
          <w:tcPr>
            <w:tcW w:w="2100" w:type="dxa"/>
          </w:tcPr>
          <w:p w14:paraId="6F7C8056" w14:textId="0A9F7DB1" w:rsidR="000F0592" w:rsidRPr="000F0592" w:rsidRDefault="000F0592" w:rsidP="00030D63">
            <w:pPr>
              <w:pStyle w:val="OikoTables03Content"/>
            </w:pPr>
            <w:r w:rsidRPr="7E00F032">
              <w:rPr>
                <w:lang w:val="en-GB"/>
              </w:rPr>
              <w:t>Northern Uvurkhangai</w:t>
            </w:r>
          </w:p>
        </w:tc>
        <w:tc>
          <w:tcPr>
            <w:tcW w:w="2753" w:type="dxa"/>
          </w:tcPr>
          <w:p w14:paraId="16545E47" w14:textId="77777777" w:rsidR="000F0592" w:rsidRPr="002F7CA0" w:rsidRDefault="000F0592" w:rsidP="00030D63">
            <w:pPr>
              <w:pStyle w:val="OikoTables03Content"/>
              <w:rPr>
                <w:lang w:val="en-GB"/>
              </w:rPr>
            </w:pPr>
            <w:r w:rsidRPr="002F7CA0">
              <w:rPr>
                <w:lang w:val="en-GB"/>
              </w:rPr>
              <w:t>Higher precipitation (250–306 mm); cold winters; available surface water; market-oriented producers; existing seed and seedling supply infrastructure</w:t>
            </w:r>
          </w:p>
        </w:tc>
        <w:tc>
          <w:tcPr>
            <w:tcW w:w="3171" w:type="dxa"/>
          </w:tcPr>
          <w:p w14:paraId="3DB18729" w14:textId="77777777" w:rsidR="000F0592" w:rsidRPr="002F7CA0" w:rsidRDefault="000F0592" w:rsidP="00030D63">
            <w:pPr>
              <w:pStyle w:val="OikoTables03Content"/>
              <w:rPr>
                <w:lang w:val="en-GB"/>
              </w:rPr>
            </w:pPr>
            <w:r w:rsidRPr="002F7CA0">
              <w:rPr>
                <w:lang w:val="en-GB"/>
              </w:rPr>
              <w:t>Earth-sheltered passive solar greenhouses; gravity-fed or low-cost solar drip; agroforestry for protection of fruit-and-berry plantations; cooperative scaling potential</w:t>
            </w:r>
          </w:p>
        </w:tc>
      </w:tr>
      <w:tr w:rsidR="000F0592" w14:paraId="6F7C685F" w14:textId="77777777" w:rsidTr="009D5373">
        <w:tc>
          <w:tcPr>
            <w:tcW w:w="1614" w:type="dxa"/>
          </w:tcPr>
          <w:p w14:paraId="7B75729D" w14:textId="77777777" w:rsidR="000F0592" w:rsidRPr="000F0592" w:rsidRDefault="000F0592" w:rsidP="00030D63">
            <w:pPr>
              <w:pStyle w:val="OikoTables03Content"/>
            </w:pPr>
            <w:r>
              <w:t>Steppe (central)</w:t>
            </w:r>
          </w:p>
        </w:tc>
        <w:tc>
          <w:tcPr>
            <w:tcW w:w="2100" w:type="dxa"/>
          </w:tcPr>
          <w:p w14:paraId="63BAF0B6" w14:textId="0DAE6A03" w:rsidR="000F0592" w:rsidRPr="002F7CA0" w:rsidRDefault="000F0592" w:rsidP="00030D63">
            <w:pPr>
              <w:pStyle w:val="OikoTables03Content"/>
              <w:rPr>
                <w:lang w:val="en-GB"/>
              </w:rPr>
            </w:pPr>
            <w:r w:rsidRPr="002F7CA0">
              <w:rPr>
                <w:lang w:val="en-GB"/>
              </w:rPr>
              <w:t xml:space="preserve">Central Uvurkhangai including </w:t>
            </w:r>
            <w:proofErr w:type="spellStart"/>
            <w:r w:rsidRPr="002F7CA0">
              <w:rPr>
                <w:lang w:val="en-GB"/>
              </w:rPr>
              <w:t>Arvaikheer</w:t>
            </w:r>
            <w:proofErr w:type="spellEnd"/>
            <w:r w:rsidRPr="002F7CA0">
              <w:rPr>
                <w:lang w:val="en-GB"/>
              </w:rPr>
              <w:t xml:space="preserve"> and Kharkhorin soums, and northern Dundgovi</w:t>
            </w:r>
          </w:p>
        </w:tc>
        <w:tc>
          <w:tcPr>
            <w:tcW w:w="2753" w:type="dxa"/>
          </w:tcPr>
          <w:p w14:paraId="15B163BD" w14:textId="77777777" w:rsidR="000F0592" w:rsidRPr="002F7CA0" w:rsidRDefault="000F0592" w:rsidP="00030D63">
            <w:pPr>
              <w:pStyle w:val="OikoTables03Content"/>
              <w:rPr>
                <w:lang w:val="en-GB"/>
              </w:rPr>
            </w:pPr>
            <w:r w:rsidRPr="002F7CA0">
              <w:rPr>
                <w:lang w:val="en-GB"/>
              </w:rPr>
              <w:t>Moderate precipitation (150–250 mm); shallow groundwater (5–25 m in Uvurkhangai); active extension service; strong wind exposure; financial capacity moderate</w:t>
            </w:r>
          </w:p>
        </w:tc>
        <w:tc>
          <w:tcPr>
            <w:tcW w:w="3171" w:type="dxa"/>
          </w:tcPr>
          <w:p w14:paraId="514C1988" w14:textId="7BCBE851" w:rsidR="000F0592" w:rsidRPr="002F7CA0" w:rsidRDefault="000F0592" w:rsidP="00030D63">
            <w:pPr>
              <w:pStyle w:val="OikoTables03Content"/>
              <w:rPr>
                <w:lang w:val="en-GB"/>
              </w:rPr>
            </w:pPr>
            <w:r w:rsidRPr="002F7CA0">
              <w:rPr>
                <w:lang w:val="en-GB"/>
              </w:rPr>
              <w:t>Passive solar or polycarbonate greenhouses; direct solar drip from shallow wells (Uvurkhangai) or shallow boreholes (Dundgovi); shelterbelt as integral component</w:t>
            </w:r>
          </w:p>
        </w:tc>
      </w:tr>
      <w:tr w:rsidR="000F0592" w14:paraId="78D86AF1" w14:textId="77777777" w:rsidTr="009D5373">
        <w:tc>
          <w:tcPr>
            <w:tcW w:w="1614" w:type="dxa"/>
          </w:tcPr>
          <w:p w14:paraId="12BCE8EB" w14:textId="77777777" w:rsidR="000F0592" w:rsidRPr="000F0592" w:rsidRDefault="000F0592" w:rsidP="00030D63">
            <w:pPr>
              <w:pStyle w:val="OikoTables03Content"/>
            </w:pPr>
            <w:r>
              <w:t>Desert-</w:t>
            </w:r>
            <w:proofErr w:type="spellStart"/>
            <w:r>
              <w:t>steppe</w:t>
            </w:r>
            <w:proofErr w:type="spellEnd"/>
            <w:r>
              <w:t xml:space="preserve"> (</w:t>
            </w:r>
            <w:proofErr w:type="spellStart"/>
            <w:r>
              <w:t>south</w:t>
            </w:r>
            <w:proofErr w:type="spellEnd"/>
            <w:r>
              <w:t>, Gobi)</w:t>
            </w:r>
          </w:p>
        </w:tc>
        <w:tc>
          <w:tcPr>
            <w:tcW w:w="2100" w:type="dxa"/>
          </w:tcPr>
          <w:p w14:paraId="74404221" w14:textId="03D9D13D" w:rsidR="000F0592" w:rsidRPr="002F7CA0" w:rsidRDefault="000F0592" w:rsidP="00030D63">
            <w:pPr>
              <w:pStyle w:val="OikoTables03Content"/>
              <w:rPr>
                <w:lang w:val="en-GB"/>
              </w:rPr>
            </w:pPr>
            <w:r w:rsidRPr="002F7CA0">
              <w:rPr>
                <w:lang w:val="en-GB"/>
              </w:rPr>
              <w:t xml:space="preserve">Southern Uvurkhangai and central-southern Dundgovi including </w:t>
            </w:r>
            <w:proofErr w:type="spellStart"/>
            <w:r w:rsidRPr="002F7CA0">
              <w:rPr>
                <w:lang w:val="en-GB"/>
              </w:rPr>
              <w:t>Mandalgovi</w:t>
            </w:r>
            <w:proofErr w:type="spellEnd"/>
            <w:r w:rsidRPr="002F7CA0">
              <w:rPr>
                <w:lang w:val="en-GB"/>
              </w:rPr>
              <w:t xml:space="preserve"> (</w:t>
            </w:r>
            <w:proofErr w:type="spellStart"/>
            <w:r w:rsidRPr="002F7CA0">
              <w:rPr>
                <w:lang w:val="en-GB"/>
              </w:rPr>
              <w:t>Saintsagaan</w:t>
            </w:r>
            <w:proofErr w:type="spellEnd"/>
            <w:r w:rsidRPr="002F7CA0">
              <w:rPr>
                <w:lang w:val="en-GB"/>
              </w:rPr>
              <w:t xml:space="preserve"> soum)</w:t>
            </w:r>
          </w:p>
        </w:tc>
        <w:tc>
          <w:tcPr>
            <w:tcW w:w="2753" w:type="dxa"/>
          </w:tcPr>
          <w:p w14:paraId="6035E61F" w14:textId="77777777" w:rsidR="000F0592" w:rsidRPr="002F7CA0" w:rsidRDefault="000F0592" w:rsidP="00030D63">
            <w:pPr>
              <w:pStyle w:val="OikoTables03Content"/>
              <w:rPr>
                <w:lang w:val="en-GB"/>
              </w:rPr>
            </w:pPr>
            <w:r w:rsidRPr="002F7CA0">
              <w:rPr>
                <w:lang w:val="en-GB"/>
              </w:rPr>
              <w:t>Low precipitation (&lt;150 mm); deep groundwater (50–150 m); severe wind and dust exposure; women-led smallholder production; financially constrained households</w:t>
            </w:r>
          </w:p>
        </w:tc>
        <w:tc>
          <w:tcPr>
            <w:tcW w:w="3171" w:type="dxa"/>
          </w:tcPr>
          <w:p w14:paraId="0ECA101A" w14:textId="77777777" w:rsidR="000F0592" w:rsidRPr="002F7CA0" w:rsidRDefault="000F0592" w:rsidP="00030D63">
            <w:pPr>
              <w:pStyle w:val="OikoTables03Content"/>
              <w:rPr>
                <w:lang w:val="en-GB"/>
              </w:rPr>
            </w:pPr>
            <w:r w:rsidRPr="002F7CA0">
              <w:rPr>
                <w:lang w:val="en-GB"/>
              </w:rPr>
              <w:t xml:space="preserve">120 km/h wind-rated polycarbonate greenhouses; submersible solar pump + </w:t>
            </w:r>
            <w:proofErr w:type="spellStart"/>
            <w:r w:rsidRPr="002F7CA0">
              <w:rPr>
                <w:lang w:val="en-GB"/>
              </w:rPr>
              <w:t>LiFePO</w:t>
            </w:r>
            <w:proofErr w:type="spellEnd"/>
            <w:r w:rsidRPr="002F7CA0">
              <w:rPr>
                <w:lang w:val="en-GB"/>
              </w:rPr>
              <w:t>₄ battery storage; mandatory shelterbelt (</w:t>
            </w:r>
            <w:r w:rsidRPr="002F7CA0">
              <w:rPr>
                <w:i/>
                <w:iCs/>
                <w:lang w:val="en-GB"/>
              </w:rPr>
              <w:t>Caragana</w:t>
            </w:r>
            <w:r w:rsidRPr="002F7CA0">
              <w:rPr>
                <w:lang w:val="en-GB"/>
              </w:rPr>
              <w:t>–</w:t>
            </w:r>
            <w:proofErr w:type="spellStart"/>
            <w:r w:rsidRPr="002F7CA0">
              <w:rPr>
                <w:i/>
                <w:iCs/>
                <w:lang w:val="en-GB"/>
              </w:rPr>
              <w:t>Hippophae</w:t>
            </w:r>
            <w:proofErr w:type="spellEnd"/>
            <w:r w:rsidRPr="002F7CA0">
              <w:rPr>
                <w:lang w:val="en-GB"/>
              </w:rPr>
              <w:t>–</w:t>
            </w:r>
            <w:proofErr w:type="spellStart"/>
            <w:r w:rsidRPr="002F7CA0">
              <w:rPr>
                <w:i/>
                <w:iCs/>
                <w:lang w:val="en-GB"/>
              </w:rPr>
              <w:t>Haloxylon</w:t>
            </w:r>
            <w:proofErr w:type="spellEnd"/>
            <w:r w:rsidRPr="002F7CA0">
              <w:rPr>
                <w:lang w:val="en-GB"/>
              </w:rPr>
              <w:t xml:space="preserve"> multi-row); enhanced producer support and risk-sharing finance</w:t>
            </w:r>
            <w:bookmarkStart w:id="69" w:name="Xa8b72e25484b6a8d59f111a3b4b354114c12aba"/>
            <w:bookmarkEnd w:id="69"/>
          </w:p>
        </w:tc>
      </w:tr>
      <w:tr w:rsidR="009D5373" w14:paraId="27D52872" w14:textId="77777777" w:rsidTr="00727C90">
        <w:tc>
          <w:tcPr>
            <w:tcW w:w="9638" w:type="dxa"/>
            <w:gridSpan w:val="4"/>
          </w:tcPr>
          <w:p w14:paraId="2E8462F5" w14:textId="458239BE" w:rsidR="009D5373" w:rsidRPr="002F7CA0" w:rsidRDefault="009D5373" w:rsidP="00030D63">
            <w:pPr>
              <w:pStyle w:val="OikoTables03Content"/>
              <w:rPr>
                <w:lang w:val="en-GB"/>
              </w:rPr>
            </w:pPr>
            <w:r w:rsidRPr="00B70A29">
              <w:rPr>
                <w:i/>
                <w:iCs/>
                <w:lang w:val="en-GB"/>
              </w:rPr>
              <w:t>Source: Created by author</w:t>
            </w:r>
          </w:p>
        </w:tc>
      </w:tr>
    </w:tbl>
    <w:p w14:paraId="7D2BEBE5" w14:textId="19059F9D" w:rsidR="000F0592" w:rsidRDefault="000F0592" w:rsidP="00EB489E"/>
    <w:p w14:paraId="019ED617" w14:textId="7A76E3A4" w:rsidR="006C22D5" w:rsidRPr="00E35798" w:rsidRDefault="000F0592" w:rsidP="00D16E24">
      <w:pPr>
        <w:pStyle w:val="Heading2"/>
        <w:spacing w:line="240" w:lineRule="auto"/>
        <w:contextualSpacing w:val="0"/>
      </w:pPr>
      <w:bookmarkStart w:id="70" w:name="_Toc233981280"/>
      <w:r>
        <w:t>Implications for technology screening</w:t>
      </w:r>
      <w:bookmarkEnd w:id="70"/>
    </w:p>
    <w:p w14:paraId="39A9A71C" w14:textId="2B16A977" w:rsidR="000F0592" w:rsidRDefault="000F0592" w:rsidP="000F0592">
      <w:pPr>
        <w:pStyle w:val="BodyText"/>
        <w:spacing w:line="240" w:lineRule="auto"/>
        <w:contextualSpacing w:val="0"/>
      </w:pPr>
      <w:r>
        <w:t xml:space="preserve">The combined evidence assembled in Sections 4.2 to 4.10 — on </w:t>
      </w:r>
      <w:proofErr w:type="spellStart"/>
      <w:r>
        <w:t>agro</w:t>
      </w:r>
      <w:proofErr w:type="spellEnd"/>
      <w:r>
        <w:t>-climatic exposure, water resources, soils, vegetation and climate hazards — defines a set of binding criteria that any candidate technology must satisfy if it is to be feasible, climate-resilient and consistent with sustainable resource use under local conditions. Six such criteria emerge directly from the evidence above and are carried forward as inputs to the technology screening in chapter 7:</w:t>
      </w:r>
    </w:p>
    <w:p w14:paraId="3C7CB13E" w14:textId="77777777" w:rsidR="000F0592" w:rsidRDefault="000F0592" w:rsidP="00EB489E">
      <w:r>
        <w:rPr>
          <w:b/>
          <w:bCs/>
        </w:rPr>
        <w:t xml:space="preserve">Water-use efficiency. </w:t>
      </w:r>
      <w:r>
        <w:t>Aridity indices of approximately 0.20–0.30 in Uvurkhangai and 0.10–0.13 in Dundgovi, combined with the over-abstraction risk documented in the deep confined aquifers of the Gobi basin and the projected decline in regional surface-water resources, mean that any technology placing additional demand on the water resource must be evaluated explicitly against its delivered productivity per unit of water consumed. Technologies that increase unmonitored or uncapped groundwater abstraction without commensurate efficiency gains should be regarded as maladaptive irrespective of their other merits.</w:t>
      </w:r>
    </w:p>
    <w:p w14:paraId="57F73EC5" w14:textId="77777777" w:rsidR="00030D63" w:rsidRDefault="00030D63" w:rsidP="00EB489E">
      <w:pPr>
        <w:rPr>
          <w:b/>
          <w:bCs/>
        </w:rPr>
      </w:pPr>
    </w:p>
    <w:p w14:paraId="16A869B9" w14:textId="2078DE5C" w:rsidR="000F0592" w:rsidRDefault="000F0592" w:rsidP="00EB489E">
      <w:r>
        <w:rPr>
          <w:b/>
          <w:bCs/>
        </w:rPr>
        <w:t xml:space="preserve">Season stabilisation and thermal performance. </w:t>
      </w:r>
      <w:r>
        <w:t>A frost-free open-field window of 90–115 days in Uvurkhangai and 115–130 days in Dundgovi, combined with diurnal and seasonal temperature ranges that include both winter extremes below –40 °C and summer extremes above +35 °C, mean that any technology aimed at stabilising or extending vegetable production must be evaluated against documented performance under both cold and hot envelopes — not against either extreme in isolation.</w:t>
      </w:r>
    </w:p>
    <w:p w14:paraId="218EA0CA" w14:textId="77777777" w:rsidR="00030D63" w:rsidRDefault="00030D63" w:rsidP="00EB489E">
      <w:pPr>
        <w:rPr>
          <w:b/>
          <w:bCs/>
        </w:rPr>
      </w:pPr>
    </w:p>
    <w:p w14:paraId="55EC9BA6" w14:textId="432FF31E" w:rsidR="000F0592" w:rsidRDefault="000F0592" w:rsidP="00EB489E">
      <w:r>
        <w:rPr>
          <w:b/>
          <w:bCs/>
        </w:rPr>
        <w:t xml:space="preserve">Resilience to wind, dust, hail and frost. </w:t>
      </w:r>
      <w:r>
        <w:t>Annual frequencies of more than 30 sand-and-dust storm event-days in Dundgovi and 15–30 in Uvurkhangai, peak gusts in catastrophic events documented at 28–40 m/s, and recurrent localised hail events of the type that destroyed 1,038 ha of cropland in Kharkhorin in 2025 establish minimum design loads and ancillary protective requirements that any structural technology must meet. The specific structural ratings, glazing choices and design of complementary on-farm protective measures are matters for Chapter 7.</w:t>
      </w:r>
    </w:p>
    <w:p w14:paraId="619B4BBC" w14:textId="77777777" w:rsidR="00030D63" w:rsidRDefault="00030D63" w:rsidP="00EB489E">
      <w:pPr>
        <w:rPr>
          <w:b/>
          <w:bCs/>
        </w:rPr>
      </w:pPr>
    </w:p>
    <w:p w14:paraId="711C070B" w14:textId="77BB2585" w:rsidR="000F0592" w:rsidRDefault="000F0592" w:rsidP="00EB489E">
      <w:r>
        <w:rPr>
          <w:b/>
          <w:bCs/>
        </w:rPr>
        <w:t xml:space="preserve">Avoidance of maladaptation. </w:t>
      </w:r>
      <w:r>
        <w:t xml:space="preserve">Technologies must not lock producers into pathways that increase their long-term vulnerability. The principal documented risks in the two provinces are unsustainable groundwater abstraction (especially in Dundgovi), structural failure of unreinforced installations under wind, hail or freezing-rain loads, displacement of pastoral land use without adequate planning, and degradation of the </w:t>
      </w:r>
      <w:r>
        <w:lastRenderedPageBreak/>
        <w:t xml:space="preserve">existing agroforestry and shelterbelt programmes through </w:t>
      </w:r>
      <w:proofErr w:type="gramStart"/>
      <w:r>
        <w:t>poorly-coordinated</w:t>
      </w:r>
      <w:proofErr w:type="gramEnd"/>
      <w:r>
        <w:t xml:space="preserve"> infrastructure expansion. The screening must surface and evaluate each of these risks explicitly for every candidate technology.</w:t>
      </w:r>
    </w:p>
    <w:p w14:paraId="52F86A09" w14:textId="77777777" w:rsidR="00030D63" w:rsidRDefault="00030D63" w:rsidP="00EB489E">
      <w:pPr>
        <w:rPr>
          <w:b/>
          <w:bCs/>
        </w:rPr>
      </w:pPr>
    </w:p>
    <w:p w14:paraId="5B4725BC" w14:textId="1DB56535" w:rsidR="000F0592" w:rsidRDefault="000F0592" w:rsidP="00EB489E">
      <w:r>
        <w:rPr>
          <w:b/>
          <w:bCs/>
        </w:rPr>
        <w:t xml:space="preserve">Support to financing and insurance. </w:t>
      </w:r>
      <w:r>
        <w:t>Producers in both provinces have very limited access to concessional credit and to crop-specific insurance products. Technologies whose performance is predictable, whose key parameters can be monitored (water use, in-greenhouse climate data, geo-located installation registers), and whose installations follow standardised designs are easier to underwrite and to finance. Selection should therefore favour options that can plausibly support the digitalised insurance product to be designed under Output 3 of this Technical Assistance.</w:t>
      </w:r>
    </w:p>
    <w:p w14:paraId="2814C8D9" w14:textId="6C912AF3" w:rsidR="37DEFC12" w:rsidRDefault="37DEFC12" w:rsidP="00EB489E"/>
    <w:p w14:paraId="54000A9D" w14:textId="77777777" w:rsidR="00953CF7" w:rsidRPr="00E35798" w:rsidRDefault="00953CF7" w:rsidP="00EB489E"/>
    <w:p w14:paraId="7AB9EF3D" w14:textId="68D6933B" w:rsidR="00EE55F8" w:rsidRPr="00E35798" w:rsidRDefault="00EE55F8" w:rsidP="00EB489E"/>
    <w:p w14:paraId="2963BBB3" w14:textId="77777777" w:rsidR="00EC0706" w:rsidRPr="00E35798" w:rsidRDefault="00EC0706" w:rsidP="00D16E24">
      <w:pPr>
        <w:spacing w:after="120" w:line="240" w:lineRule="auto"/>
        <w:contextualSpacing w:val="0"/>
        <w:jc w:val="left"/>
        <w:rPr>
          <w:rFonts w:eastAsiaTheme="majorEastAsia" w:cstheme="majorBidi"/>
          <w:color w:val="DD6B22" w:themeColor="accent3" w:themeShade="BF"/>
          <w:sz w:val="52"/>
          <w:szCs w:val="32"/>
        </w:rPr>
      </w:pPr>
      <w:r>
        <w:br w:type="page"/>
      </w:r>
    </w:p>
    <w:p w14:paraId="6D5E3880" w14:textId="739E3189" w:rsidR="00740D21" w:rsidRDefault="007E621B" w:rsidP="00D16E24">
      <w:pPr>
        <w:pStyle w:val="Heading1"/>
        <w:spacing w:line="240" w:lineRule="auto"/>
        <w:contextualSpacing w:val="0"/>
      </w:pPr>
      <w:bookmarkStart w:id="71" w:name="_Toc233981281"/>
      <w:r>
        <w:lastRenderedPageBreak/>
        <w:t>Target Beneficiaries and Farming Systems (Social-Economic baseline)</w:t>
      </w:r>
      <w:bookmarkEnd w:id="71"/>
    </w:p>
    <w:p w14:paraId="5CDE641D" w14:textId="76C62AB0" w:rsidR="001852F2" w:rsidRDefault="001852F2" w:rsidP="00016E8C">
      <w:pPr>
        <w:spacing w:before="240" w:after="120" w:line="240" w:lineRule="auto"/>
        <w:contextualSpacing w:val="0"/>
      </w:pPr>
      <w:r>
        <w:rPr>
          <w:rFonts w:eastAsia="Times New Roman" w:cs="Times New Roman"/>
        </w:rPr>
        <w:t>This chapter establishes the socio-economic baseline: who the intended beneficiaries are, how their farming systems are organised, what resources and constraints shape their decisions, and — critically — what level of investment they can realistically mobilise. The purpose is to ensure that the technology options screened in Chapter 7, the province-specific packages defined in Chapter 8, and the cost-benefit scenarios constructed in Section 8.5 and appraised in the companion CBA report (Output 1.3) are anchored not only in environmental suitability but also in the operational and financial reality of the farm households they are meant to serve.</w:t>
      </w:r>
    </w:p>
    <w:p w14:paraId="5AB39728" w14:textId="77777777" w:rsidR="001852F2" w:rsidRDefault="001852F2" w:rsidP="00EB489E">
      <w:r>
        <w:t xml:space="preserve">A robust characterisation of the target group is a precondition for any credible feasibility assessment. Two design questions cannot be answered without it. First, </w:t>
      </w:r>
      <w:r>
        <w:rPr>
          <w:b/>
          <w:bCs/>
        </w:rPr>
        <w:t>affordability</w:t>
      </w:r>
      <w:r>
        <w:t xml:space="preserve"> can only be assessed once the “affordable” level of investment for the targeted farmers has been specified; a technology that is technically excellent but financially out of reach is not feasible. Second, </w:t>
      </w:r>
      <w:r>
        <w:rPr>
          <w:b/>
          <w:bCs/>
        </w:rPr>
        <w:t>targeting</w:t>
      </w:r>
      <w:r>
        <w:t xml:space="preserve"> requires that the farmer population be characterised and, where relevant, differentiated by production capacity, investment capacity and market access, because a single undifferentiated category of “smallholder” conceals a spectrum of households with very different needs and absorptive capacities. This chapter addresses both questions directly and uses the answers to define the beneficiary tiers that the remainder of the report relies upon.</w:t>
      </w:r>
    </w:p>
    <w:p w14:paraId="384A00D0" w14:textId="77777777" w:rsidR="00030D63" w:rsidRDefault="00030D63" w:rsidP="00EB489E"/>
    <w:p w14:paraId="36BAC594" w14:textId="33D2C7DC" w:rsidR="001852F2" w:rsidRDefault="001852F2" w:rsidP="00EB489E">
      <w:r>
        <w:t xml:space="preserve">The analysis draws on three classes of evidence. National and provincial statistics from the National Statistics Office (NSO) and the 1212.mn </w:t>
      </w:r>
      <w:proofErr w:type="gramStart"/>
      <w:r>
        <w:t>database</w:t>
      </w:r>
      <w:r>
        <w:rPr>
          <w:vertAlign w:val="superscript"/>
          <w:lang w:val="en-US"/>
        </w:rPr>
        <w:t>[</w:t>
      </w:r>
      <w:proofErr w:type="gramEnd"/>
      <w:r>
        <w:rPr>
          <w:vertAlign w:val="superscript"/>
          <w:lang w:val="en-US"/>
        </w:rPr>
        <w:t>43, 44]</w:t>
      </w:r>
      <w:r>
        <w:rPr>
          <w:lang w:val="en-US"/>
        </w:rPr>
        <w:t xml:space="preserve"> </w:t>
      </w:r>
      <w:r>
        <w:t xml:space="preserve">and the Uvurkhangai land-management baseline </w:t>
      </w:r>
      <w:proofErr w:type="gramStart"/>
      <w:r>
        <w:t>study</w:t>
      </w:r>
      <w:r>
        <w:rPr>
          <w:vertAlign w:val="superscript"/>
        </w:rPr>
        <w:t>[</w:t>
      </w:r>
      <w:proofErr w:type="gramEnd"/>
      <w:r>
        <w:rPr>
          <w:vertAlign w:val="superscript"/>
        </w:rPr>
        <w:t>21]</w:t>
      </w:r>
      <w:r>
        <w:t xml:space="preserve"> provide the structural picture of crop and vegetable production. The 2025 annual reports of the provincial Departments of Food and Agriculture in both </w:t>
      </w:r>
      <w:proofErr w:type="spellStart"/>
      <w:proofErr w:type="gramStart"/>
      <w:r>
        <w:t>aimags</w:t>
      </w:r>
      <w:proofErr w:type="spellEnd"/>
      <w:r>
        <w:rPr>
          <w:vertAlign w:val="superscript"/>
        </w:rPr>
        <w:t>[</w:t>
      </w:r>
      <w:proofErr w:type="gramEnd"/>
      <w:r>
        <w:rPr>
          <w:vertAlign w:val="superscript"/>
        </w:rPr>
        <w:t>12, 13]</w:t>
      </w:r>
      <w:r>
        <w:t xml:space="preserve"> provide the most recent local production data. Primary field evidence — farm typologies, plot and structure sizes, land and water arrangements, and finance constraints — is taken from the CTCN field missions conducted in May 2026</w:t>
      </w:r>
      <w:r>
        <w:rPr>
          <w:vertAlign w:val="superscript"/>
        </w:rPr>
        <w:t>[45, 46, 47]</w:t>
      </w:r>
      <w:r>
        <w:t>. This is complemented by authoritative international and policy sources (FAO, the Asian Development Bank, the World Bank and Mongolian legislation) to situate the provinces within the national and sectoral context. To avoid duplication, market demand, price dynamics and value-chain structure are treated in Chapter 6; this chapter addresses market orientation only at the household level, as a beneficiary characteristic.</w:t>
      </w:r>
    </w:p>
    <w:p w14:paraId="40A1BC7D" w14:textId="77777777" w:rsidR="001852F2" w:rsidRDefault="001852F2" w:rsidP="00030D63"/>
    <w:p w14:paraId="363A95C2" w14:textId="5E266DC2" w:rsidR="001852F2" w:rsidRDefault="001852F2" w:rsidP="00D16E24">
      <w:pPr>
        <w:pStyle w:val="Heading2"/>
        <w:spacing w:line="240" w:lineRule="auto"/>
        <w:contextualSpacing w:val="0"/>
      </w:pPr>
      <w:bookmarkStart w:id="72" w:name="_Toc233981282"/>
      <w:r>
        <w:t>Defining the smallholder vegetable farmer</w:t>
      </w:r>
      <w:bookmarkEnd w:id="72"/>
    </w:p>
    <w:p w14:paraId="009008E6" w14:textId="5862B77F" w:rsidR="001852F2" w:rsidRDefault="001852F2" w:rsidP="00016E8C">
      <w:pPr>
        <w:pStyle w:val="Heading3"/>
        <w:spacing w:before="240" w:line="240" w:lineRule="auto"/>
        <w:contextualSpacing w:val="0"/>
      </w:pPr>
      <w:bookmarkStart w:id="73" w:name="_Toc233981283"/>
      <w:r>
        <w:t>International reference and Mongolian adaptation</w:t>
      </w:r>
      <w:bookmarkEnd w:id="73"/>
    </w:p>
    <w:p w14:paraId="30B215BB" w14:textId="27630CA1" w:rsidR="001852F2" w:rsidRDefault="001852F2" w:rsidP="00EB489E">
      <w:r>
        <w:t>Following the Food and Agriculture Organization of the United Nations (FAO), smallholders are producers operating on a limited scale, relying predominantly on family labour, and facing constrained access to finance, technology and markets.</w:t>
      </w:r>
      <w:r>
        <w:rPr>
          <w:vertAlign w:val="superscript"/>
        </w:rPr>
        <w:t xml:space="preserve"> [16]</w:t>
      </w:r>
      <w:r>
        <w:t xml:space="preserve"> In the Mongolian context, this definition must be adapted to a setting dominated by extensive pastoralism. Agriculture contributes roughly 10–11% of national GDP and employs about one third of the workforce, but livestock accounts for some 80% of agricultural output and pasture for about 73% of agricultural land; cultivated crops occupy less than 1% of the national territory</w:t>
      </w:r>
      <w:r>
        <w:rPr>
          <w:rStyle w:val="FootnoteReference"/>
        </w:rPr>
        <w:footnoteReference w:id="2"/>
      </w:r>
      <w:r>
        <w:t>. Crop-based smallholders are therefore a numerically small but strategically important group, concentrated in and around settlements and central to national food security and the substitution of vegetable imports.</w:t>
      </w:r>
    </w:p>
    <w:p w14:paraId="2FDB57AE" w14:textId="77777777" w:rsidR="00030D63" w:rsidRDefault="00030D63" w:rsidP="00EB489E"/>
    <w:p w14:paraId="3AF866ED" w14:textId="04FB182E" w:rsidR="001852F2" w:rsidRDefault="001852F2" w:rsidP="00EB489E">
      <w:r>
        <w:t>Within crop agriculture, vegetable production is itself a specialised niche. Nationally, potato is essentially self-sufficient, whereas an estimated 30–40% of vegetable consumption is still met through imports, concentrated in the long off-season; the Government's target of full vegetable self-sufficiency frames the sector as a development priority.</w:t>
      </w:r>
      <w:r>
        <w:rPr>
          <w:vertAlign w:val="superscript"/>
        </w:rPr>
        <w:t xml:space="preserve">[61] </w:t>
      </w:r>
      <w:r>
        <w:rPr>
          <w:rStyle w:val="FootnoteReference"/>
        </w:rPr>
        <w:footnoteReference w:id="3"/>
      </w:r>
      <w:r>
        <w:t xml:space="preserve"> Importantly for this project, around 80% of Mongolia's vegetables are produced by small and medium-sized farmers cultivating less than three hectares,</w:t>
      </w:r>
      <w:r>
        <w:rPr>
          <w:rStyle w:val="FootnoteReference"/>
        </w:rPr>
        <w:footnoteReference w:id="4"/>
      </w:r>
      <w:r>
        <w:t xml:space="preserve"> which confirms that the smallholder and small-commercial segment — not large agribusiness — is the appropriate object of a vegetable-focused adaptation intervention.</w:t>
      </w:r>
    </w:p>
    <w:p w14:paraId="669155B8" w14:textId="022E313B" w:rsidR="001852F2" w:rsidRDefault="001852F2" w:rsidP="00016E8C">
      <w:pPr>
        <w:pStyle w:val="Heading3"/>
        <w:spacing w:before="240" w:line="240" w:lineRule="auto"/>
        <w:contextualSpacing w:val="0"/>
      </w:pPr>
      <w:bookmarkStart w:id="74" w:name="_Toc233981284"/>
      <w:r>
        <w:lastRenderedPageBreak/>
        <w:t>Operational definition for this assessment</w:t>
      </w:r>
      <w:bookmarkEnd w:id="74"/>
    </w:p>
    <w:p w14:paraId="70925E3D" w14:textId="77777777" w:rsidR="001852F2" w:rsidRDefault="001852F2" w:rsidP="00EB489E">
      <w:r>
        <w:t xml:space="preserve">For the purposes of this feasibility study, </w:t>
      </w:r>
      <w:r w:rsidRPr="00193B15">
        <w:rPr>
          <w:b/>
          <w:bCs/>
        </w:rPr>
        <w:t>a smallholder vegetable farmer is a household or family-operated enterprise that cultivates vegetables</w:t>
      </w:r>
      <w:r>
        <w:t xml:space="preserve"> (and commonly potato and fodder) </w:t>
      </w:r>
      <w:r w:rsidRPr="00193B15">
        <w:rPr>
          <w:b/>
          <w:bCs/>
        </w:rPr>
        <w:t>on a limited area — broadly up to about two hectares of cropland — relying primarily on family labour</w:t>
      </w:r>
      <w:r>
        <w:t>, using semi-intensive practices with limited irrigation infrastructure, modest input use and little mechanisation, and integrating crop production into a wider livelihood that frequently includes livestock and off-farm income. This structural definition deliberately rests on the organisation of the farm (scale, labour, livelihood integration) rather than on a single rigid asset or income threshold, because the latter would arbitrarily exclude exactly the producers the project must reach.</w:t>
      </w:r>
    </w:p>
    <w:p w14:paraId="2A8B4FA1" w14:textId="77777777" w:rsidR="00030D63" w:rsidRDefault="00030D63" w:rsidP="00EB489E"/>
    <w:p w14:paraId="3A3647AA" w14:textId="0CBF862E" w:rsidR="001852F2" w:rsidRDefault="001852F2" w:rsidP="00EB489E">
      <w:r>
        <w:t>The two provinces sit at different points within this definition. In Uvurkhangai, smallholders more often operate mixed crop–livestock systems with some market orientation, supported by comparatively better soils and partial irrigation access. In Dundgovi, crop production is more constrained and more subsistence-oriented, limited by acute water scarcity and a harsher Gobi climate. Across both provinces, smallholders face a recurring set of structural constraints — limited and unreliable irrigation, weak access to quality inputs, thin extension services and restricted access to formal finance — which together depress productivity, destabilise income and slow technology adoption. Table 13 summarises the operational definition and its targeting implications.</w:t>
      </w:r>
    </w:p>
    <w:p w14:paraId="4146286B" w14:textId="77777777" w:rsidR="007F17C0" w:rsidRDefault="007F17C0" w:rsidP="00EB489E"/>
    <w:p w14:paraId="4F682830" w14:textId="09A1A926" w:rsidR="001852F2" w:rsidRDefault="001852F2" w:rsidP="005A129A">
      <w:pPr>
        <w:pStyle w:val="Caption"/>
        <w:framePr w:wrap="notBeside"/>
      </w:pPr>
      <w:r>
        <w:t>Table 13. Operational definition of the smallholder vegetable farmer and targeting implications</w:t>
      </w:r>
    </w:p>
    <w:tbl>
      <w:tblPr>
        <w:tblW w:w="9634" w:type="dxa"/>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1980"/>
        <w:gridCol w:w="3827"/>
        <w:gridCol w:w="3827"/>
      </w:tblGrid>
      <w:tr w:rsidR="001852F2" w14:paraId="20B087D8" w14:textId="77777777" w:rsidTr="004414EC">
        <w:trPr>
          <w:tblHeader/>
        </w:trPr>
        <w:tc>
          <w:tcPr>
            <w:tcW w:w="1980" w:type="dxa"/>
            <w:shd w:val="clear" w:color="auto" w:fill="E99E6D" w:themeFill="accent3"/>
            <w:tcMar>
              <w:top w:w="60" w:type="dxa"/>
              <w:left w:w="100" w:type="dxa"/>
              <w:bottom w:w="60" w:type="dxa"/>
              <w:right w:w="100" w:type="dxa"/>
            </w:tcMar>
            <w:vAlign w:val="center"/>
          </w:tcPr>
          <w:p w14:paraId="69DA94B3" w14:textId="77777777" w:rsidR="001852F2" w:rsidRDefault="001852F2" w:rsidP="00ED71A8">
            <w:pPr>
              <w:pStyle w:val="OikoTables02"/>
            </w:pPr>
            <w:r>
              <w:t>Dimension</w:t>
            </w:r>
          </w:p>
        </w:tc>
        <w:tc>
          <w:tcPr>
            <w:tcW w:w="3827" w:type="dxa"/>
            <w:shd w:val="clear" w:color="auto" w:fill="E99E6D" w:themeFill="accent3"/>
            <w:tcMar>
              <w:top w:w="60" w:type="dxa"/>
              <w:left w:w="100" w:type="dxa"/>
              <w:bottom w:w="60" w:type="dxa"/>
              <w:right w:w="100" w:type="dxa"/>
            </w:tcMar>
            <w:vAlign w:val="center"/>
          </w:tcPr>
          <w:p w14:paraId="01877A03" w14:textId="77777777" w:rsidR="001852F2" w:rsidRDefault="001852F2" w:rsidP="00ED71A8">
            <w:pPr>
              <w:pStyle w:val="OikoTables02"/>
            </w:pPr>
            <w:r>
              <w:t>Definition / characteristic</w:t>
            </w:r>
          </w:p>
        </w:tc>
        <w:tc>
          <w:tcPr>
            <w:tcW w:w="3827" w:type="dxa"/>
            <w:shd w:val="clear" w:color="auto" w:fill="E99E6D" w:themeFill="accent3"/>
            <w:tcMar>
              <w:top w:w="60" w:type="dxa"/>
              <w:left w:w="100" w:type="dxa"/>
              <w:bottom w:w="60" w:type="dxa"/>
              <w:right w:w="100" w:type="dxa"/>
            </w:tcMar>
            <w:vAlign w:val="center"/>
          </w:tcPr>
          <w:p w14:paraId="4560768B" w14:textId="77777777" w:rsidR="001852F2" w:rsidRDefault="001852F2" w:rsidP="00ED71A8">
            <w:pPr>
              <w:pStyle w:val="OikoTables02"/>
            </w:pPr>
            <w:r>
              <w:t>Implication for targeting</w:t>
            </w:r>
          </w:p>
        </w:tc>
      </w:tr>
      <w:tr w:rsidR="001852F2" w14:paraId="0996EFCC" w14:textId="77777777" w:rsidTr="004414EC">
        <w:tc>
          <w:tcPr>
            <w:tcW w:w="1980" w:type="dxa"/>
            <w:tcMar>
              <w:top w:w="60" w:type="dxa"/>
              <w:left w:w="100" w:type="dxa"/>
              <w:bottom w:w="60" w:type="dxa"/>
              <w:right w:w="100" w:type="dxa"/>
            </w:tcMar>
            <w:vAlign w:val="center"/>
          </w:tcPr>
          <w:p w14:paraId="2F582424" w14:textId="77777777" w:rsidR="001852F2" w:rsidRPr="00D16E24" w:rsidRDefault="001852F2" w:rsidP="005A129A">
            <w:pPr>
              <w:pStyle w:val="OikoTables03Content"/>
            </w:pPr>
            <w:r>
              <w:t>Crop area</w:t>
            </w:r>
          </w:p>
        </w:tc>
        <w:tc>
          <w:tcPr>
            <w:tcW w:w="3827" w:type="dxa"/>
            <w:tcMar>
              <w:top w:w="60" w:type="dxa"/>
              <w:left w:w="100" w:type="dxa"/>
              <w:bottom w:w="60" w:type="dxa"/>
              <w:right w:w="100" w:type="dxa"/>
            </w:tcMar>
            <w:vAlign w:val="center"/>
          </w:tcPr>
          <w:p w14:paraId="636F352B" w14:textId="77777777" w:rsidR="001852F2" w:rsidRDefault="001852F2" w:rsidP="005A129A">
            <w:pPr>
              <w:pStyle w:val="OikoTables03Content"/>
            </w:pPr>
            <w:r>
              <w:t>Up to ~2 ha of cropland; vegetable plots typically a fraction of this (often &lt;0.2–1 ha)</w:t>
            </w:r>
          </w:p>
        </w:tc>
        <w:tc>
          <w:tcPr>
            <w:tcW w:w="3827" w:type="dxa"/>
            <w:tcMar>
              <w:top w:w="60" w:type="dxa"/>
              <w:left w:w="100" w:type="dxa"/>
              <w:bottom w:w="60" w:type="dxa"/>
              <w:right w:w="100" w:type="dxa"/>
            </w:tcMar>
            <w:vAlign w:val="center"/>
          </w:tcPr>
          <w:p w14:paraId="3C57A663" w14:textId="77777777" w:rsidR="001852F2" w:rsidRDefault="001852F2" w:rsidP="005A129A">
            <w:pPr>
              <w:pStyle w:val="OikoTables03Content"/>
            </w:pPr>
            <w:r>
              <w:t>Focus on small-scale producers; modular technology sized to small plots</w:t>
            </w:r>
          </w:p>
        </w:tc>
      </w:tr>
      <w:tr w:rsidR="001852F2" w14:paraId="4DFFD39E" w14:textId="77777777" w:rsidTr="004414EC">
        <w:tc>
          <w:tcPr>
            <w:tcW w:w="1980" w:type="dxa"/>
            <w:tcMar>
              <w:top w:w="60" w:type="dxa"/>
              <w:left w:w="100" w:type="dxa"/>
              <w:bottom w:w="60" w:type="dxa"/>
              <w:right w:w="100" w:type="dxa"/>
            </w:tcMar>
            <w:vAlign w:val="center"/>
          </w:tcPr>
          <w:p w14:paraId="7E7A11B0" w14:textId="77777777" w:rsidR="001852F2" w:rsidRPr="00D16E24" w:rsidRDefault="001852F2" w:rsidP="005A129A">
            <w:pPr>
              <w:pStyle w:val="OikoTables03Content"/>
            </w:pPr>
            <w:proofErr w:type="spellStart"/>
            <w:r>
              <w:t>Labour</w:t>
            </w:r>
            <w:proofErr w:type="spellEnd"/>
          </w:p>
        </w:tc>
        <w:tc>
          <w:tcPr>
            <w:tcW w:w="3827" w:type="dxa"/>
            <w:tcMar>
              <w:top w:w="60" w:type="dxa"/>
              <w:left w:w="100" w:type="dxa"/>
              <w:bottom w:w="60" w:type="dxa"/>
              <w:right w:w="100" w:type="dxa"/>
            </w:tcMar>
            <w:vAlign w:val="center"/>
          </w:tcPr>
          <w:p w14:paraId="2C059010" w14:textId="77777777" w:rsidR="001852F2" w:rsidRDefault="001852F2" w:rsidP="005A129A">
            <w:pPr>
              <w:pStyle w:val="OikoTables03Content"/>
            </w:pPr>
            <w:r>
              <w:t xml:space="preserve">Predominantly family </w:t>
            </w:r>
            <w:proofErr w:type="spellStart"/>
            <w:r>
              <w:t>labour</w:t>
            </w:r>
            <w:proofErr w:type="spellEnd"/>
            <w:r>
              <w:t>, with seasonal hired help on larger units</w:t>
            </w:r>
          </w:p>
        </w:tc>
        <w:tc>
          <w:tcPr>
            <w:tcW w:w="3827" w:type="dxa"/>
            <w:tcMar>
              <w:top w:w="60" w:type="dxa"/>
              <w:left w:w="100" w:type="dxa"/>
              <w:bottom w:w="60" w:type="dxa"/>
              <w:right w:w="100" w:type="dxa"/>
            </w:tcMar>
            <w:vAlign w:val="center"/>
          </w:tcPr>
          <w:p w14:paraId="6C748ADB" w14:textId="77777777" w:rsidR="001852F2" w:rsidRDefault="001852F2" w:rsidP="005A129A">
            <w:pPr>
              <w:pStyle w:val="OikoTables03Content"/>
            </w:pPr>
            <w:r>
              <w:t xml:space="preserve">Solutions must be operable with limited and seasonal </w:t>
            </w:r>
            <w:proofErr w:type="spellStart"/>
            <w:r>
              <w:t>labour</w:t>
            </w:r>
            <w:proofErr w:type="spellEnd"/>
          </w:p>
        </w:tc>
      </w:tr>
      <w:tr w:rsidR="001852F2" w14:paraId="564D7D14" w14:textId="77777777" w:rsidTr="004414EC">
        <w:tc>
          <w:tcPr>
            <w:tcW w:w="1980" w:type="dxa"/>
            <w:tcMar>
              <w:top w:w="60" w:type="dxa"/>
              <w:left w:w="100" w:type="dxa"/>
              <w:bottom w:w="60" w:type="dxa"/>
              <w:right w:w="100" w:type="dxa"/>
            </w:tcMar>
            <w:vAlign w:val="center"/>
          </w:tcPr>
          <w:p w14:paraId="6A662924" w14:textId="77777777" w:rsidR="001852F2" w:rsidRPr="00D16E24" w:rsidRDefault="001852F2" w:rsidP="005A129A">
            <w:pPr>
              <w:pStyle w:val="OikoTables03Content"/>
            </w:pPr>
            <w:r>
              <w:t>Production system</w:t>
            </w:r>
          </w:p>
        </w:tc>
        <w:tc>
          <w:tcPr>
            <w:tcW w:w="3827" w:type="dxa"/>
            <w:tcMar>
              <w:top w:w="60" w:type="dxa"/>
              <w:left w:w="100" w:type="dxa"/>
              <w:bottom w:w="60" w:type="dxa"/>
              <w:right w:w="100" w:type="dxa"/>
            </w:tcMar>
            <w:vAlign w:val="center"/>
          </w:tcPr>
          <w:p w14:paraId="6C4534A0" w14:textId="77777777" w:rsidR="001852F2" w:rsidRDefault="001852F2" w:rsidP="005A129A">
            <w:pPr>
              <w:pStyle w:val="OikoTables03Content"/>
            </w:pPr>
            <w:r>
              <w:t xml:space="preserve">Semi-intensive; low input intensity; minimal </w:t>
            </w:r>
            <w:proofErr w:type="spellStart"/>
            <w:r>
              <w:t>mechanisation</w:t>
            </w:r>
            <w:proofErr w:type="spellEnd"/>
            <w:r>
              <w:t>; drip standard only inside greenhouses</w:t>
            </w:r>
          </w:p>
        </w:tc>
        <w:tc>
          <w:tcPr>
            <w:tcW w:w="3827" w:type="dxa"/>
            <w:tcMar>
              <w:top w:w="60" w:type="dxa"/>
              <w:left w:w="100" w:type="dxa"/>
              <w:bottom w:w="60" w:type="dxa"/>
              <w:right w:w="100" w:type="dxa"/>
            </w:tcMar>
            <w:vAlign w:val="center"/>
          </w:tcPr>
          <w:p w14:paraId="3600C334" w14:textId="77777777" w:rsidR="001852F2" w:rsidRDefault="001852F2" w:rsidP="005A129A">
            <w:pPr>
              <w:pStyle w:val="OikoTables03Content"/>
            </w:pPr>
            <w:r>
              <w:t>Need for affordable, low-maintenance technology and skills support</w:t>
            </w:r>
          </w:p>
        </w:tc>
      </w:tr>
      <w:tr w:rsidR="001852F2" w14:paraId="169093E2" w14:textId="77777777" w:rsidTr="004414EC">
        <w:tc>
          <w:tcPr>
            <w:tcW w:w="1980" w:type="dxa"/>
            <w:tcMar>
              <w:top w:w="60" w:type="dxa"/>
              <w:left w:w="100" w:type="dxa"/>
              <w:bottom w:w="60" w:type="dxa"/>
              <w:right w:w="100" w:type="dxa"/>
            </w:tcMar>
            <w:vAlign w:val="center"/>
          </w:tcPr>
          <w:p w14:paraId="75C44446" w14:textId="77777777" w:rsidR="001852F2" w:rsidRPr="00D16E24" w:rsidRDefault="001852F2" w:rsidP="005A129A">
            <w:pPr>
              <w:pStyle w:val="OikoTables03Content"/>
            </w:pPr>
            <w:r>
              <w:t>Livelihood</w:t>
            </w:r>
          </w:p>
        </w:tc>
        <w:tc>
          <w:tcPr>
            <w:tcW w:w="3827" w:type="dxa"/>
            <w:tcMar>
              <w:top w:w="60" w:type="dxa"/>
              <w:left w:w="100" w:type="dxa"/>
              <w:bottom w:w="60" w:type="dxa"/>
              <w:right w:w="100" w:type="dxa"/>
            </w:tcMar>
            <w:vAlign w:val="center"/>
          </w:tcPr>
          <w:p w14:paraId="057C33BC" w14:textId="77777777" w:rsidR="001852F2" w:rsidRDefault="001852F2" w:rsidP="005A129A">
            <w:pPr>
              <w:pStyle w:val="OikoTables03Content"/>
            </w:pPr>
            <w:r>
              <w:t>Vegetable production integrated with livestock and/or off-farm income; often supplementary</w:t>
            </w:r>
          </w:p>
        </w:tc>
        <w:tc>
          <w:tcPr>
            <w:tcW w:w="3827" w:type="dxa"/>
            <w:tcMar>
              <w:top w:w="60" w:type="dxa"/>
              <w:left w:w="100" w:type="dxa"/>
              <w:bottom w:w="60" w:type="dxa"/>
              <w:right w:w="100" w:type="dxa"/>
            </w:tcMar>
            <w:vAlign w:val="center"/>
          </w:tcPr>
          <w:p w14:paraId="08D961FB" w14:textId="77777777" w:rsidR="001852F2" w:rsidRDefault="001852F2" w:rsidP="005A129A">
            <w:pPr>
              <w:pStyle w:val="OikoTables03Content"/>
            </w:pPr>
            <w:r>
              <w:t>Interventions must fit a diversified, risk-averse livelihood</w:t>
            </w:r>
          </w:p>
        </w:tc>
      </w:tr>
      <w:tr w:rsidR="001852F2" w14:paraId="3D1CC84C" w14:textId="77777777" w:rsidTr="004414EC">
        <w:tc>
          <w:tcPr>
            <w:tcW w:w="1980" w:type="dxa"/>
            <w:tcMar>
              <w:top w:w="60" w:type="dxa"/>
              <w:left w:w="100" w:type="dxa"/>
              <w:bottom w:w="60" w:type="dxa"/>
              <w:right w:w="100" w:type="dxa"/>
            </w:tcMar>
            <w:vAlign w:val="center"/>
          </w:tcPr>
          <w:p w14:paraId="4385F355" w14:textId="77777777" w:rsidR="001852F2" w:rsidRPr="00D16E24" w:rsidRDefault="001852F2" w:rsidP="005A129A">
            <w:pPr>
              <w:pStyle w:val="OikoTables03Content"/>
            </w:pPr>
            <w:r>
              <w:t>Water access</w:t>
            </w:r>
          </w:p>
        </w:tc>
        <w:tc>
          <w:tcPr>
            <w:tcW w:w="3827" w:type="dxa"/>
            <w:tcMar>
              <w:top w:w="60" w:type="dxa"/>
              <w:left w:w="100" w:type="dxa"/>
              <w:bottom w:w="60" w:type="dxa"/>
              <w:right w:w="100" w:type="dxa"/>
            </w:tcMar>
            <w:vAlign w:val="center"/>
          </w:tcPr>
          <w:p w14:paraId="04D4E07F" w14:textId="77777777" w:rsidR="001852F2" w:rsidRDefault="001852F2" w:rsidP="005A129A">
            <w:pPr>
              <w:pStyle w:val="OikoTables03Content"/>
            </w:pPr>
            <w:r>
              <w:t>Limited or unreliable; groundwater-dependent; surface and hand watering common</w:t>
            </w:r>
          </w:p>
        </w:tc>
        <w:tc>
          <w:tcPr>
            <w:tcW w:w="3827" w:type="dxa"/>
            <w:tcMar>
              <w:top w:w="60" w:type="dxa"/>
              <w:left w:w="100" w:type="dxa"/>
              <w:bottom w:w="60" w:type="dxa"/>
              <w:right w:w="100" w:type="dxa"/>
            </w:tcMar>
            <w:vAlign w:val="center"/>
          </w:tcPr>
          <w:p w14:paraId="75B508BA" w14:textId="77777777" w:rsidR="001852F2" w:rsidRDefault="001852F2" w:rsidP="005A129A">
            <w:pPr>
              <w:pStyle w:val="OikoTables03Content"/>
            </w:pPr>
            <w:r>
              <w:t>Priority for water-efficient irrigation and secure water access</w:t>
            </w:r>
          </w:p>
        </w:tc>
      </w:tr>
      <w:tr w:rsidR="001852F2" w14:paraId="39F29569" w14:textId="77777777" w:rsidTr="004414EC">
        <w:tc>
          <w:tcPr>
            <w:tcW w:w="1980" w:type="dxa"/>
            <w:tcMar>
              <w:top w:w="60" w:type="dxa"/>
              <w:left w:w="100" w:type="dxa"/>
              <w:bottom w:w="60" w:type="dxa"/>
              <w:right w:w="100" w:type="dxa"/>
            </w:tcMar>
            <w:vAlign w:val="center"/>
          </w:tcPr>
          <w:p w14:paraId="143CE7D9" w14:textId="77777777" w:rsidR="001852F2" w:rsidRPr="00D16E24" w:rsidRDefault="001852F2" w:rsidP="005A129A">
            <w:pPr>
              <w:pStyle w:val="OikoTables03Content"/>
            </w:pPr>
            <w:r>
              <w:t>Market orientation</w:t>
            </w:r>
          </w:p>
        </w:tc>
        <w:tc>
          <w:tcPr>
            <w:tcW w:w="3827" w:type="dxa"/>
            <w:tcMar>
              <w:top w:w="60" w:type="dxa"/>
              <w:left w:w="100" w:type="dxa"/>
              <w:bottom w:w="60" w:type="dxa"/>
              <w:right w:w="100" w:type="dxa"/>
            </w:tcMar>
            <w:vAlign w:val="center"/>
          </w:tcPr>
          <w:p w14:paraId="7F973A4F" w14:textId="03492E08" w:rsidR="001852F2" w:rsidRDefault="001852F2" w:rsidP="005A129A">
            <w:pPr>
              <w:pStyle w:val="OikoTables03Content"/>
            </w:pPr>
            <w:r>
              <w:t>From self-consumption to semi-commercial; stronger in Uvurkhangai</w:t>
            </w:r>
          </w:p>
        </w:tc>
        <w:tc>
          <w:tcPr>
            <w:tcW w:w="3827" w:type="dxa"/>
            <w:tcMar>
              <w:top w:w="60" w:type="dxa"/>
              <w:left w:w="100" w:type="dxa"/>
              <w:bottom w:w="60" w:type="dxa"/>
              <w:right w:w="100" w:type="dxa"/>
            </w:tcMar>
            <w:vAlign w:val="center"/>
          </w:tcPr>
          <w:p w14:paraId="67A4D7AA" w14:textId="77777777" w:rsidR="001852F2" w:rsidRDefault="001852F2" w:rsidP="005A129A">
            <w:pPr>
              <w:pStyle w:val="OikoTables03Content"/>
            </w:pPr>
            <w:r>
              <w:t>Differentiated support from subsistence to value-chain integration</w:t>
            </w:r>
          </w:p>
        </w:tc>
      </w:tr>
      <w:tr w:rsidR="001852F2" w14:paraId="5AD3F1E5" w14:textId="77777777" w:rsidTr="004414EC">
        <w:tc>
          <w:tcPr>
            <w:tcW w:w="1980" w:type="dxa"/>
            <w:tcMar>
              <w:top w:w="60" w:type="dxa"/>
              <w:left w:w="100" w:type="dxa"/>
              <w:bottom w:w="60" w:type="dxa"/>
              <w:right w:w="100" w:type="dxa"/>
            </w:tcMar>
            <w:vAlign w:val="center"/>
          </w:tcPr>
          <w:p w14:paraId="2A5AB244" w14:textId="77777777" w:rsidR="001852F2" w:rsidRPr="00D16E24" w:rsidRDefault="001852F2" w:rsidP="005A129A">
            <w:pPr>
              <w:pStyle w:val="OikoTables03Content"/>
            </w:pPr>
            <w:r>
              <w:t>Investment capacity</w:t>
            </w:r>
          </w:p>
        </w:tc>
        <w:tc>
          <w:tcPr>
            <w:tcW w:w="3827" w:type="dxa"/>
            <w:tcMar>
              <w:top w:w="60" w:type="dxa"/>
              <w:left w:w="100" w:type="dxa"/>
              <w:bottom w:w="60" w:type="dxa"/>
              <w:right w:w="100" w:type="dxa"/>
            </w:tcMar>
            <w:vAlign w:val="center"/>
          </w:tcPr>
          <w:p w14:paraId="74759B5D" w14:textId="77777777" w:rsidR="001852F2" w:rsidRDefault="001852F2" w:rsidP="005A129A">
            <w:pPr>
              <w:pStyle w:val="OikoTables03Content"/>
            </w:pPr>
            <w:r>
              <w:t>Ranges from negligible to moderate; shaped by access to blended/</w:t>
            </w:r>
            <w:proofErr w:type="spellStart"/>
            <w:r>
              <w:t>subsidised</w:t>
            </w:r>
            <w:proofErr w:type="spellEnd"/>
            <w:r>
              <w:t xml:space="preserve"> finance</w:t>
            </w:r>
          </w:p>
        </w:tc>
        <w:tc>
          <w:tcPr>
            <w:tcW w:w="3827" w:type="dxa"/>
            <w:tcMar>
              <w:top w:w="60" w:type="dxa"/>
              <w:left w:w="100" w:type="dxa"/>
              <w:bottom w:w="60" w:type="dxa"/>
              <w:right w:w="100" w:type="dxa"/>
            </w:tcMar>
            <w:vAlign w:val="center"/>
          </w:tcPr>
          <w:p w14:paraId="5ED6359F" w14:textId="77777777" w:rsidR="001852F2" w:rsidRDefault="001852F2" w:rsidP="005A129A">
            <w:pPr>
              <w:pStyle w:val="OikoTables03Content"/>
            </w:pPr>
            <w:r>
              <w:t>Beneficiary tiers required (Table 14) to match technology to capacity</w:t>
            </w:r>
          </w:p>
        </w:tc>
      </w:tr>
      <w:tr w:rsidR="001852F2" w14:paraId="403F14A9" w14:textId="77777777" w:rsidTr="004414EC">
        <w:tc>
          <w:tcPr>
            <w:tcW w:w="1980" w:type="dxa"/>
            <w:tcMar>
              <w:top w:w="60" w:type="dxa"/>
              <w:left w:w="100" w:type="dxa"/>
              <w:bottom w:w="60" w:type="dxa"/>
              <w:right w:w="100" w:type="dxa"/>
            </w:tcMar>
            <w:vAlign w:val="center"/>
          </w:tcPr>
          <w:p w14:paraId="0FF3D5EE" w14:textId="77777777" w:rsidR="001852F2" w:rsidRPr="00D16E24" w:rsidRDefault="001852F2" w:rsidP="005A129A">
            <w:pPr>
              <w:pStyle w:val="OikoTables03Content"/>
            </w:pPr>
            <w:r>
              <w:t>Climate exposure</w:t>
            </w:r>
          </w:p>
        </w:tc>
        <w:tc>
          <w:tcPr>
            <w:tcW w:w="3827" w:type="dxa"/>
            <w:tcMar>
              <w:top w:w="60" w:type="dxa"/>
              <w:left w:w="100" w:type="dxa"/>
              <w:bottom w:w="60" w:type="dxa"/>
              <w:right w:w="100" w:type="dxa"/>
            </w:tcMar>
            <w:vAlign w:val="center"/>
          </w:tcPr>
          <w:p w14:paraId="1862C8FB" w14:textId="77777777" w:rsidR="001852F2" w:rsidRDefault="001852F2" w:rsidP="005A129A">
            <w:pPr>
              <w:pStyle w:val="OikoTables03Content"/>
            </w:pPr>
            <w:r>
              <w:t>High — drought, frost, wind, hail, dust storms, desertification</w:t>
            </w:r>
          </w:p>
        </w:tc>
        <w:tc>
          <w:tcPr>
            <w:tcW w:w="3827" w:type="dxa"/>
            <w:tcMar>
              <w:top w:w="60" w:type="dxa"/>
              <w:left w:w="100" w:type="dxa"/>
              <w:bottom w:w="60" w:type="dxa"/>
              <w:right w:w="100" w:type="dxa"/>
            </w:tcMar>
            <w:vAlign w:val="center"/>
          </w:tcPr>
          <w:p w14:paraId="20C4FD88" w14:textId="77777777" w:rsidR="001852F2" w:rsidRDefault="001852F2" w:rsidP="005A129A">
            <w:pPr>
              <w:pStyle w:val="OikoTables03Content"/>
            </w:pPr>
            <w:r>
              <w:t>Priority for resilience and risk-mitigation measures</w:t>
            </w:r>
          </w:p>
        </w:tc>
      </w:tr>
      <w:tr w:rsidR="001852F2" w14:paraId="28274262" w14:textId="77777777" w:rsidTr="004414EC">
        <w:tc>
          <w:tcPr>
            <w:tcW w:w="1980" w:type="dxa"/>
            <w:tcMar>
              <w:top w:w="60" w:type="dxa"/>
              <w:left w:w="100" w:type="dxa"/>
              <w:bottom w:w="60" w:type="dxa"/>
              <w:right w:w="100" w:type="dxa"/>
            </w:tcMar>
            <w:vAlign w:val="center"/>
          </w:tcPr>
          <w:p w14:paraId="4F087175" w14:textId="77777777" w:rsidR="001852F2" w:rsidRPr="00D16E24" w:rsidRDefault="001852F2" w:rsidP="005A129A">
            <w:pPr>
              <w:pStyle w:val="OikoTables03Content"/>
            </w:pPr>
            <w:r>
              <w:t>Gender</w:t>
            </w:r>
          </w:p>
        </w:tc>
        <w:tc>
          <w:tcPr>
            <w:tcW w:w="3827" w:type="dxa"/>
            <w:tcMar>
              <w:top w:w="60" w:type="dxa"/>
              <w:left w:w="100" w:type="dxa"/>
              <w:bottom w:w="60" w:type="dxa"/>
              <w:right w:w="100" w:type="dxa"/>
            </w:tcMar>
            <w:vAlign w:val="center"/>
          </w:tcPr>
          <w:p w14:paraId="11F57C15" w14:textId="77777777" w:rsidR="001852F2" w:rsidRDefault="001852F2" w:rsidP="005A129A">
            <w:pPr>
              <w:pStyle w:val="OikoTables03Content"/>
            </w:pPr>
            <w:r>
              <w:t>Women highly active in production but underserved in finance, assets and training</w:t>
            </w:r>
          </w:p>
        </w:tc>
        <w:tc>
          <w:tcPr>
            <w:tcW w:w="3827" w:type="dxa"/>
            <w:tcMar>
              <w:top w:w="60" w:type="dxa"/>
              <w:left w:w="100" w:type="dxa"/>
              <w:bottom w:w="60" w:type="dxa"/>
              <w:right w:w="100" w:type="dxa"/>
            </w:tcMar>
            <w:vAlign w:val="center"/>
          </w:tcPr>
          <w:p w14:paraId="11A5FEA9" w14:textId="77777777" w:rsidR="001852F2" w:rsidRDefault="001852F2" w:rsidP="005A129A">
            <w:pPr>
              <w:pStyle w:val="OikoTables03Content"/>
            </w:pPr>
            <w:r>
              <w:t>Targeted, gender-responsive inclusion measures</w:t>
            </w:r>
          </w:p>
        </w:tc>
      </w:tr>
    </w:tbl>
    <w:p w14:paraId="052A6ACB" w14:textId="623D5387" w:rsidR="001852F2" w:rsidRDefault="001852F2" w:rsidP="00D16E24">
      <w:pPr>
        <w:spacing w:before="30" w:after="120" w:line="240" w:lineRule="auto"/>
        <w:contextualSpacing w:val="0"/>
      </w:pPr>
      <w:r>
        <w:rPr>
          <w:rFonts w:eastAsia="Times New Roman" w:cs="Times New Roman"/>
          <w:i/>
          <w:iCs/>
          <w:sz w:val="18"/>
          <w:szCs w:val="18"/>
        </w:rPr>
        <w:t>Source: Authors' synthesis based on FAO (</w:t>
      </w:r>
      <w:proofErr w:type="gramStart"/>
      <w:r>
        <w:rPr>
          <w:rFonts w:eastAsia="Times New Roman" w:cs="Times New Roman"/>
          <w:i/>
          <w:iCs/>
          <w:sz w:val="18"/>
          <w:szCs w:val="18"/>
        </w:rPr>
        <w:t>2013)</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16]</w:t>
      </w:r>
      <w:r>
        <w:rPr>
          <w:rFonts w:eastAsia="Times New Roman" w:cs="Times New Roman"/>
          <w:i/>
          <w:iCs/>
          <w:sz w:val="18"/>
          <w:szCs w:val="18"/>
        </w:rPr>
        <w:t>, NSO (</w:t>
      </w:r>
      <w:proofErr w:type="gramStart"/>
      <w:r>
        <w:rPr>
          <w:rFonts w:eastAsia="Times New Roman" w:cs="Times New Roman"/>
          <w:i/>
          <w:iCs/>
          <w:sz w:val="18"/>
          <w:szCs w:val="18"/>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43]</w:t>
      </w:r>
      <w:r>
        <w:rPr>
          <w:rFonts w:eastAsia="Times New Roman" w:cs="Times New Roman"/>
          <w:i/>
          <w:iCs/>
          <w:sz w:val="18"/>
          <w:szCs w:val="18"/>
        </w:rPr>
        <w:t xml:space="preserve"> and CTCN field </w:t>
      </w:r>
      <w:proofErr w:type="gramStart"/>
      <w:r>
        <w:rPr>
          <w:rFonts w:eastAsia="Times New Roman" w:cs="Times New Roman"/>
          <w:i/>
          <w:iCs/>
          <w:sz w:val="18"/>
          <w:szCs w:val="18"/>
        </w:rPr>
        <w:t>missions</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w:t>
      </w:r>
      <w:r>
        <w:rPr>
          <w:rFonts w:eastAsia="Times New Roman" w:cs="Times New Roman"/>
          <w:i/>
          <w:iCs/>
          <w:sz w:val="18"/>
          <w:szCs w:val="18"/>
        </w:rPr>
        <w:t>.</w:t>
      </w:r>
    </w:p>
    <w:p w14:paraId="474FA245" w14:textId="69365FA9" w:rsidR="001852F2" w:rsidRDefault="001852F2" w:rsidP="00016E8C">
      <w:pPr>
        <w:pStyle w:val="Heading3"/>
        <w:spacing w:before="240" w:line="240" w:lineRule="auto"/>
        <w:contextualSpacing w:val="0"/>
      </w:pPr>
      <w:bookmarkStart w:id="75" w:name="_Toc233981285"/>
      <w:r>
        <w:t>Differentiation by investment capacity</w:t>
      </w:r>
      <w:bookmarkEnd w:id="75"/>
    </w:p>
    <w:p w14:paraId="55111791" w14:textId="0821D810" w:rsidR="001852F2" w:rsidRDefault="001852F2" w:rsidP="00EB489E">
      <w:r>
        <w:t xml:space="preserve">If “smallholder” is defined narrowly — as a farmer with essentially no capacity to invest — then the only honest recommendations are very cheap, simple technologies, and the project's central proposals (passive-solar greenhouses, solar-powered irrigation, integrated packages) would be rendered largely irrelevant. If, conversely, the focus is widened indiscriminately to medium and large farms, the intervention loses its development rationale of supporting vulnerable producers. The resolution adopted here is to retain a clear smallholder focus while recognising that investment capacity is not a fixed property of the household but a function of access to finance. The field evidence is decisive on this point: smallholders who register as legal entities can access subsidised SME and “green” credit, and several farmers visited had mobilised investments </w:t>
      </w:r>
      <w:r>
        <w:lastRenderedPageBreak/>
        <w:t>of 200–350 million MNT precisely through this route.</w:t>
      </w:r>
      <w:r>
        <w:rPr>
          <w:vertAlign w:val="superscript"/>
        </w:rPr>
        <w:t>[45]</w:t>
      </w:r>
      <w:r>
        <w:t xml:space="preserve"> Affordability must therefore be defined as the investment a targeted household can mobilise through a realistic blend of own resources, subsidised loans and risk-sharing instruments — not as its current cash savings.</w:t>
      </w:r>
    </w:p>
    <w:p w14:paraId="21AFFB37" w14:textId="77777777" w:rsidR="007F17C0" w:rsidRDefault="007F17C0" w:rsidP="00EB489E"/>
    <w:p w14:paraId="0BC2021A" w14:textId="3B8969E3" w:rsidR="001852F2" w:rsidRDefault="001852F2" w:rsidP="00EB489E">
      <w:r>
        <w:t>On this basis the target population is differentiated into three investment-capacity tiers (Table 14). The tiers are not separate target groups; they are a single continuum of smallholders matched to appropriately scaled technology and finance. The core target of the project is Tier 2 — emerging commercial smallholders — which comprises the majority of active vegetable-producing households in both provinces and is the tier for which the recommended greenhouse-and-irrigation packages are both needed and, with blended finance, affordable. Tier 1 (subsistence) households are reached through low-cost entry options and shared or grant-financed assets so that they are not excluded; Tier 3 (established producers) are engaged as demonstration anchors and co-financing partners whose scale helps de-risk technologies for the tiers below. This tiering is the mechanism that keeps the development focus on smallholders while ensuring the recommended solutions can actually be implemented.</w:t>
      </w:r>
    </w:p>
    <w:p w14:paraId="32F50EED" w14:textId="77777777" w:rsidR="007F17C0" w:rsidRDefault="007F17C0" w:rsidP="00EB489E"/>
    <w:p w14:paraId="2CD74C8E" w14:textId="5FB759AF" w:rsidR="001852F2" w:rsidRDefault="001852F2" w:rsidP="007F17C0">
      <w:pPr>
        <w:pStyle w:val="Caption"/>
        <w:framePr w:wrap="notBeside"/>
      </w:pPr>
      <w:r>
        <w:t>Table 14. Investment-capacity tiers of smallholder vegetable farmers and indicative affordability envelope</w:t>
      </w:r>
    </w:p>
    <w:tbl>
      <w:tblPr>
        <w:tblW w:w="5000" w:type="pct"/>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1499"/>
        <w:gridCol w:w="2346"/>
        <w:gridCol w:w="2348"/>
        <w:gridCol w:w="1498"/>
        <w:gridCol w:w="1947"/>
      </w:tblGrid>
      <w:tr w:rsidR="001852F2" w14:paraId="46F2142A" w14:textId="77777777" w:rsidTr="00C72A7B">
        <w:trPr>
          <w:trHeight w:val="926"/>
          <w:tblHeader/>
        </w:trPr>
        <w:tc>
          <w:tcPr>
            <w:tcW w:w="778" w:type="pct"/>
            <w:shd w:val="clear" w:color="auto" w:fill="E99E6D" w:themeFill="accent3"/>
            <w:tcMar>
              <w:top w:w="60" w:type="dxa"/>
              <w:left w:w="100" w:type="dxa"/>
              <w:bottom w:w="60" w:type="dxa"/>
              <w:right w:w="100" w:type="dxa"/>
            </w:tcMar>
            <w:vAlign w:val="center"/>
          </w:tcPr>
          <w:p w14:paraId="5AA0A466" w14:textId="77777777" w:rsidR="001852F2" w:rsidRDefault="001852F2" w:rsidP="00ED71A8">
            <w:pPr>
              <w:pStyle w:val="OikoTables02"/>
            </w:pPr>
            <w:r>
              <w:t>Tier</w:t>
            </w:r>
          </w:p>
        </w:tc>
        <w:tc>
          <w:tcPr>
            <w:tcW w:w="1217" w:type="pct"/>
            <w:shd w:val="clear" w:color="auto" w:fill="E99E6D" w:themeFill="accent3"/>
            <w:tcMar>
              <w:top w:w="60" w:type="dxa"/>
              <w:left w:w="100" w:type="dxa"/>
              <w:bottom w:w="60" w:type="dxa"/>
              <w:right w:w="100" w:type="dxa"/>
            </w:tcMar>
            <w:vAlign w:val="center"/>
          </w:tcPr>
          <w:p w14:paraId="5FCFBB76" w14:textId="77777777" w:rsidR="001852F2" w:rsidRDefault="001852F2" w:rsidP="00ED71A8">
            <w:pPr>
              <w:pStyle w:val="OikoTables02"/>
            </w:pPr>
            <w:r>
              <w:t>Profile</w:t>
            </w:r>
          </w:p>
        </w:tc>
        <w:tc>
          <w:tcPr>
            <w:tcW w:w="1218" w:type="pct"/>
            <w:shd w:val="clear" w:color="auto" w:fill="E99E6D" w:themeFill="accent3"/>
            <w:tcMar>
              <w:top w:w="60" w:type="dxa"/>
              <w:left w:w="100" w:type="dxa"/>
              <w:bottom w:w="60" w:type="dxa"/>
              <w:right w:w="100" w:type="dxa"/>
            </w:tcMar>
            <w:vAlign w:val="center"/>
          </w:tcPr>
          <w:p w14:paraId="3F5798FA" w14:textId="77777777" w:rsidR="001852F2" w:rsidRDefault="001852F2" w:rsidP="00ED71A8">
            <w:pPr>
              <w:pStyle w:val="OikoTables02"/>
            </w:pPr>
            <w:r>
              <w:t>Finance access</w:t>
            </w:r>
          </w:p>
        </w:tc>
        <w:tc>
          <w:tcPr>
            <w:tcW w:w="777" w:type="pct"/>
            <w:shd w:val="clear" w:color="auto" w:fill="E99E6D" w:themeFill="accent3"/>
            <w:tcMar>
              <w:top w:w="60" w:type="dxa"/>
              <w:left w:w="100" w:type="dxa"/>
              <w:bottom w:w="60" w:type="dxa"/>
              <w:right w:w="100" w:type="dxa"/>
            </w:tcMar>
            <w:vAlign w:val="center"/>
          </w:tcPr>
          <w:p w14:paraId="1E947302" w14:textId="77777777" w:rsidR="001852F2" w:rsidRDefault="001852F2" w:rsidP="00ED71A8">
            <w:pPr>
              <w:pStyle w:val="OikoTables02"/>
            </w:pPr>
            <w:r>
              <w:t>Affordable investment (indicative)</w:t>
            </w:r>
          </w:p>
        </w:tc>
        <w:tc>
          <w:tcPr>
            <w:tcW w:w="1010" w:type="pct"/>
            <w:shd w:val="clear" w:color="auto" w:fill="E99E6D" w:themeFill="accent3"/>
            <w:tcMar>
              <w:top w:w="60" w:type="dxa"/>
              <w:left w:w="100" w:type="dxa"/>
              <w:bottom w:w="60" w:type="dxa"/>
              <w:right w:w="100" w:type="dxa"/>
            </w:tcMar>
            <w:vAlign w:val="center"/>
          </w:tcPr>
          <w:p w14:paraId="400CD271" w14:textId="77777777" w:rsidR="001852F2" w:rsidRDefault="001852F2" w:rsidP="00ED71A8">
            <w:pPr>
              <w:pStyle w:val="OikoTables02"/>
            </w:pPr>
            <w:r>
              <w:t>Best-fit package</w:t>
            </w:r>
          </w:p>
        </w:tc>
      </w:tr>
      <w:tr w:rsidR="001852F2" w14:paraId="75A4E322" w14:textId="77777777" w:rsidTr="00C72A7B">
        <w:trPr>
          <w:trHeight w:val="815"/>
        </w:trPr>
        <w:tc>
          <w:tcPr>
            <w:tcW w:w="778" w:type="pct"/>
            <w:tcMar>
              <w:top w:w="60" w:type="dxa"/>
              <w:left w:w="100" w:type="dxa"/>
              <w:bottom w:w="60" w:type="dxa"/>
              <w:right w:w="100" w:type="dxa"/>
            </w:tcMar>
            <w:vAlign w:val="center"/>
          </w:tcPr>
          <w:p w14:paraId="4FFC644D" w14:textId="77777777" w:rsidR="001852F2" w:rsidRDefault="001852F2" w:rsidP="00C36A24">
            <w:pPr>
              <w:pStyle w:val="OikoTables03Content"/>
            </w:pPr>
            <w:r>
              <w:t>Tier 1 — Subsistence / non-investing</w:t>
            </w:r>
          </w:p>
        </w:tc>
        <w:tc>
          <w:tcPr>
            <w:tcW w:w="1217" w:type="pct"/>
            <w:tcMar>
              <w:top w:w="60" w:type="dxa"/>
              <w:left w:w="100" w:type="dxa"/>
              <w:bottom w:w="60" w:type="dxa"/>
              <w:right w:w="100" w:type="dxa"/>
            </w:tcMar>
            <w:vAlign w:val="center"/>
          </w:tcPr>
          <w:p w14:paraId="20A0BE08" w14:textId="77777777" w:rsidR="001852F2" w:rsidRDefault="001852F2" w:rsidP="00C36A24">
            <w:pPr>
              <w:pStyle w:val="OikoTables03Content"/>
            </w:pPr>
            <w:r>
              <w:t xml:space="preserve">Family </w:t>
            </w:r>
            <w:proofErr w:type="spellStart"/>
            <w:r>
              <w:t>labour</w:t>
            </w:r>
            <w:proofErr w:type="spellEnd"/>
            <w:r>
              <w:t>; &lt;0.2 ha; production mainly for self-consumption; little cash; not registered</w:t>
            </w:r>
          </w:p>
        </w:tc>
        <w:tc>
          <w:tcPr>
            <w:tcW w:w="1218" w:type="pct"/>
            <w:tcMar>
              <w:top w:w="60" w:type="dxa"/>
              <w:left w:w="100" w:type="dxa"/>
              <w:bottom w:w="60" w:type="dxa"/>
              <w:right w:w="100" w:type="dxa"/>
            </w:tcMar>
            <w:vAlign w:val="center"/>
          </w:tcPr>
          <w:p w14:paraId="51A70D80" w14:textId="77777777" w:rsidR="001852F2" w:rsidRDefault="001852F2" w:rsidP="00C36A24">
            <w:pPr>
              <w:pStyle w:val="OikoTables03Content"/>
            </w:pPr>
            <w:r>
              <w:t>Largely self-financed; grants; shared/communal assets; micro-amounts</w:t>
            </w:r>
          </w:p>
        </w:tc>
        <w:tc>
          <w:tcPr>
            <w:tcW w:w="777" w:type="pct"/>
            <w:tcMar>
              <w:top w:w="60" w:type="dxa"/>
              <w:left w:w="100" w:type="dxa"/>
              <w:bottom w:w="60" w:type="dxa"/>
              <w:right w:w="100" w:type="dxa"/>
            </w:tcMar>
            <w:vAlign w:val="center"/>
          </w:tcPr>
          <w:p w14:paraId="10BDC41D" w14:textId="77777777" w:rsidR="001852F2" w:rsidRDefault="001852F2" w:rsidP="00C36A24">
            <w:pPr>
              <w:pStyle w:val="OikoTables03Content"/>
            </w:pPr>
            <w:r>
              <w:t>&lt; ~5 million MNT (self-financed)</w:t>
            </w:r>
          </w:p>
        </w:tc>
        <w:tc>
          <w:tcPr>
            <w:tcW w:w="1010" w:type="pct"/>
            <w:tcMar>
              <w:top w:w="60" w:type="dxa"/>
              <w:left w:w="100" w:type="dxa"/>
              <w:bottom w:w="60" w:type="dxa"/>
              <w:right w:w="100" w:type="dxa"/>
            </w:tcMar>
            <w:vAlign w:val="center"/>
          </w:tcPr>
          <w:p w14:paraId="5B19537E" w14:textId="77777777" w:rsidR="001852F2" w:rsidRDefault="001852F2" w:rsidP="00C36A24">
            <w:pPr>
              <w:pStyle w:val="OikoTables03Content"/>
            </w:pPr>
            <w:r>
              <w:t>Low tunnels, drip kits, improved seed, shared solar pump; entry-level</w:t>
            </w:r>
          </w:p>
        </w:tc>
      </w:tr>
      <w:tr w:rsidR="001852F2" w14:paraId="5CCFD22D" w14:textId="77777777" w:rsidTr="00C72A7B">
        <w:trPr>
          <w:trHeight w:val="1149"/>
        </w:trPr>
        <w:tc>
          <w:tcPr>
            <w:tcW w:w="778" w:type="pct"/>
            <w:tcMar>
              <w:top w:w="60" w:type="dxa"/>
              <w:left w:w="100" w:type="dxa"/>
              <w:bottom w:w="60" w:type="dxa"/>
              <w:right w:w="100" w:type="dxa"/>
            </w:tcMar>
            <w:vAlign w:val="center"/>
          </w:tcPr>
          <w:p w14:paraId="51AA91CD" w14:textId="77777777" w:rsidR="001852F2" w:rsidRDefault="001852F2" w:rsidP="00C36A24">
            <w:pPr>
              <w:pStyle w:val="OikoTables03Content"/>
            </w:pPr>
            <w:r>
              <w:t>Tier 2 — Emerging commercial (CORE TARGET)</w:t>
            </w:r>
          </w:p>
        </w:tc>
        <w:tc>
          <w:tcPr>
            <w:tcW w:w="1217" w:type="pct"/>
            <w:tcMar>
              <w:top w:w="60" w:type="dxa"/>
              <w:left w:w="100" w:type="dxa"/>
              <w:bottom w:w="60" w:type="dxa"/>
              <w:right w:w="100" w:type="dxa"/>
            </w:tcMar>
            <w:vAlign w:val="center"/>
          </w:tcPr>
          <w:p w14:paraId="17A84875" w14:textId="77777777" w:rsidR="001852F2" w:rsidRDefault="001852F2" w:rsidP="00C36A24">
            <w:pPr>
              <w:pStyle w:val="OikoTables03Content"/>
            </w:pPr>
            <w:r>
              <w:t xml:space="preserve">Family-operated with seasonal hired </w:t>
            </w:r>
            <w:proofErr w:type="spellStart"/>
            <w:r>
              <w:t>labour</w:t>
            </w:r>
            <w:proofErr w:type="spellEnd"/>
            <w:r>
              <w:t>; ~0.2–2 ha; market-oriented; can register as a legal entity</w:t>
            </w:r>
          </w:p>
        </w:tc>
        <w:tc>
          <w:tcPr>
            <w:tcW w:w="1218" w:type="pct"/>
            <w:tcMar>
              <w:top w:w="60" w:type="dxa"/>
              <w:left w:w="100" w:type="dxa"/>
              <w:bottom w:w="60" w:type="dxa"/>
              <w:right w:w="100" w:type="dxa"/>
            </w:tcMar>
            <w:vAlign w:val="center"/>
          </w:tcPr>
          <w:p w14:paraId="2DF061F5" w14:textId="77777777" w:rsidR="001852F2" w:rsidRDefault="001852F2" w:rsidP="00C36A24">
            <w:pPr>
              <w:pStyle w:val="OikoTables03Content"/>
            </w:pPr>
            <w:proofErr w:type="spellStart"/>
            <w:r>
              <w:t>Subsidised</w:t>
            </w:r>
            <w:proofErr w:type="spellEnd"/>
            <w:r>
              <w:t xml:space="preserve"> SME loans (5%, up to 300 M MNT); Credit Guarantee Fund (60% guarantee); blended finance + index insurance</w:t>
            </w:r>
          </w:p>
        </w:tc>
        <w:tc>
          <w:tcPr>
            <w:tcW w:w="777" w:type="pct"/>
            <w:tcMar>
              <w:top w:w="60" w:type="dxa"/>
              <w:left w:w="100" w:type="dxa"/>
              <w:bottom w:w="60" w:type="dxa"/>
              <w:right w:w="100" w:type="dxa"/>
            </w:tcMar>
            <w:vAlign w:val="center"/>
          </w:tcPr>
          <w:p w14:paraId="79EAC958" w14:textId="77777777" w:rsidR="001852F2" w:rsidRDefault="001852F2" w:rsidP="00C36A24">
            <w:pPr>
              <w:pStyle w:val="OikoTables03Content"/>
            </w:pPr>
            <w:r>
              <w:t xml:space="preserve">~20–100 million MNT (own funds + </w:t>
            </w:r>
            <w:proofErr w:type="spellStart"/>
            <w:r>
              <w:t>subsidised</w:t>
            </w:r>
            <w:proofErr w:type="spellEnd"/>
            <w:r>
              <w:t xml:space="preserve"> loan)</w:t>
            </w:r>
          </w:p>
        </w:tc>
        <w:tc>
          <w:tcPr>
            <w:tcW w:w="1010" w:type="pct"/>
            <w:tcMar>
              <w:top w:w="60" w:type="dxa"/>
              <w:left w:w="100" w:type="dxa"/>
              <w:bottom w:w="60" w:type="dxa"/>
              <w:right w:w="100" w:type="dxa"/>
            </w:tcMar>
            <w:vAlign w:val="center"/>
          </w:tcPr>
          <w:p w14:paraId="3F3B30E7" w14:textId="77777777" w:rsidR="001852F2" w:rsidRDefault="001852F2" w:rsidP="00C36A24">
            <w:pPr>
              <w:pStyle w:val="OikoTables03Content"/>
            </w:pPr>
            <w:r>
              <w:t>Passive-solar greenhouse (50–300 m²) + solar drip + shelterbelt — the recommended integrated package</w:t>
            </w:r>
          </w:p>
        </w:tc>
      </w:tr>
      <w:tr w:rsidR="001852F2" w14:paraId="30E2FD94" w14:textId="77777777" w:rsidTr="00C72A7B">
        <w:trPr>
          <w:trHeight w:val="1149"/>
        </w:trPr>
        <w:tc>
          <w:tcPr>
            <w:tcW w:w="778" w:type="pct"/>
            <w:tcMar>
              <w:top w:w="60" w:type="dxa"/>
              <w:left w:w="100" w:type="dxa"/>
              <w:bottom w:w="60" w:type="dxa"/>
              <w:right w:w="100" w:type="dxa"/>
            </w:tcMar>
            <w:vAlign w:val="center"/>
          </w:tcPr>
          <w:p w14:paraId="2BBEF465" w14:textId="77777777" w:rsidR="001852F2" w:rsidRDefault="001852F2" w:rsidP="00C36A24">
            <w:pPr>
              <w:pStyle w:val="OikoTables03Content"/>
            </w:pPr>
            <w:r>
              <w:t>Tier 3 — Established / scaling</w:t>
            </w:r>
          </w:p>
        </w:tc>
        <w:tc>
          <w:tcPr>
            <w:tcW w:w="1217" w:type="pct"/>
            <w:tcMar>
              <w:top w:w="60" w:type="dxa"/>
              <w:left w:w="100" w:type="dxa"/>
              <w:bottom w:w="60" w:type="dxa"/>
              <w:right w:w="100" w:type="dxa"/>
            </w:tcMar>
            <w:vAlign w:val="center"/>
          </w:tcPr>
          <w:p w14:paraId="57B29DAF" w14:textId="77777777" w:rsidR="001852F2" w:rsidRDefault="001852F2" w:rsidP="00C36A24">
            <w:pPr>
              <w:pStyle w:val="OikoTables03Content"/>
            </w:pPr>
            <w:r>
              <w:t>Registered enterprise or cooperative; &gt;1–2 ha or multiple structures; strong market links; technical experience</w:t>
            </w:r>
          </w:p>
        </w:tc>
        <w:tc>
          <w:tcPr>
            <w:tcW w:w="1218" w:type="pct"/>
            <w:tcMar>
              <w:top w:w="60" w:type="dxa"/>
              <w:left w:w="100" w:type="dxa"/>
              <w:bottom w:w="60" w:type="dxa"/>
              <w:right w:w="100" w:type="dxa"/>
            </w:tcMar>
            <w:vAlign w:val="center"/>
          </w:tcPr>
          <w:p w14:paraId="7A5817FD" w14:textId="77777777" w:rsidR="001852F2" w:rsidRDefault="001852F2" w:rsidP="00C36A24">
            <w:pPr>
              <w:pStyle w:val="OikoTables03Content"/>
            </w:pPr>
            <w:r>
              <w:t xml:space="preserve">Commercial + </w:t>
            </w:r>
            <w:proofErr w:type="spellStart"/>
            <w:r>
              <w:t>subsidised</w:t>
            </w:r>
            <w:proofErr w:type="spellEnd"/>
            <w:r>
              <w:t xml:space="preserve"> loans + own savings; higher collateral</w:t>
            </w:r>
          </w:p>
        </w:tc>
        <w:tc>
          <w:tcPr>
            <w:tcW w:w="777" w:type="pct"/>
            <w:tcMar>
              <w:top w:w="60" w:type="dxa"/>
              <w:left w:w="100" w:type="dxa"/>
              <w:bottom w:w="60" w:type="dxa"/>
              <w:right w:w="100" w:type="dxa"/>
            </w:tcMar>
            <w:vAlign w:val="center"/>
          </w:tcPr>
          <w:p w14:paraId="209D47D0" w14:textId="77777777" w:rsidR="001852F2" w:rsidRDefault="001852F2" w:rsidP="00C36A24">
            <w:pPr>
              <w:pStyle w:val="OikoTables03Content"/>
            </w:pPr>
            <w:r>
              <w:t>~100–350+ million MNT (loan + savings)</w:t>
            </w:r>
          </w:p>
        </w:tc>
        <w:tc>
          <w:tcPr>
            <w:tcW w:w="1010" w:type="pct"/>
            <w:tcMar>
              <w:top w:w="60" w:type="dxa"/>
              <w:left w:w="100" w:type="dxa"/>
              <w:bottom w:w="60" w:type="dxa"/>
              <w:right w:w="100" w:type="dxa"/>
            </w:tcMar>
            <w:vAlign w:val="center"/>
          </w:tcPr>
          <w:p w14:paraId="4CD8B6A0" w14:textId="77777777" w:rsidR="001852F2" w:rsidRDefault="001852F2" w:rsidP="00C36A24">
            <w:pPr>
              <w:pStyle w:val="OikoTables03Content"/>
            </w:pPr>
            <w:r>
              <w:t>Higher-spec / multiple greenhouses, double-film or polycarbonate, orchards; demonstration anchors</w:t>
            </w:r>
          </w:p>
        </w:tc>
      </w:tr>
    </w:tbl>
    <w:p w14:paraId="0F26EE5C" w14:textId="7920C577" w:rsidR="001852F2" w:rsidRDefault="001852F2" w:rsidP="00D16E24">
      <w:pPr>
        <w:spacing w:before="30" w:after="120" w:line="240" w:lineRule="auto"/>
        <w:contextualSpacing w:val="0"/>
      </w:pPr>
      <w:r>
        <w:rPr>
          <w:rFonts w:eastAsia="Times New Roman" w:cs="Times New Roman"/>
          <w:i/>
          <w:iCs/>
          <w:sz w:val="18"/>
          <w:szCs w:val="18"/>
        </w:rPr>
        <w:t>Source: Authors' synthesis. Investment ranges indicative and to be refined in the CBA; finance terms from CTCN finance/insurance mission consultations in May 2026.</w:t>
      </w:r>
      <w:r>
        <w:rPr>
          <w:rFonts w:eastAsia="Times New Roman" w:cs="Times New Roman"/>
          <w:i/>
          <w:iCs/>
          <w:sz w:val="18"/>
          <w:szCs w:val="18"/>
          <w:vertAlign w:val="superscript"/>
        </w:rPr>
        <w:t>[47]</w:t>
      </w:r>
    </w:p>
    <w:p w14:paraId="6392FFDC" w14:textId="411C0950" w:rsidR="001852F2" w:rsidRDefault="001852F2" w:rsidP="00016E8C">
      <w:pPr>
        <w:pStyle w:val="Heading2"/>
        <w:spacing w:before="360" w:line="240" w:lineRule="auto"/>
        <w:contextualSpacing w:val="0"/>
      </w:pPr>
      <w:bookmarkStart w:id="76" w:name="_Toc233981286"/>
      <w:r>
        <w:t>Structure of smallholder agriculture in the target provinces</w:t>
      </w:r>
      <w:bookmarkEnd w:id="76"/>
    </w:p>
    <w:p w14:paraId="196E7CDB" w14:textId="6B9E2843" w:rsidR="001852F2" w:rsidRDefault="001852F2" w:rsidP="00016E8C">
      <w:pPr>
        <w:pStyle w:val="Heading3"/>
        <w:spacing w:before="240" w:line="240" w:lineRule="auto"/>
        <w:contextualSpacing w:val="0"/>
      </w:pPr>
      <w:bookmarkStart w:id="77" w:name="_Toc233981287"/>
      <w:r>
        <w:t>National context</w:t>
      </w:r>
      <w:bookmarkEnd w:id="77"/>
    </w:p>
    <w:p w14:paraId="3EB8A08B" w14:textId="435D8D80" w:rsidR="001852F2" w:rsidRDefault="001852F2" w:rsidP="00EB489E">
      <w:r>
        <w:t>Mongolia's agricultural sector remains overwhelmingly livestock-based, with pastoral systems accounting for the great majority of land use. Because crop production occupies such a small share of land and labour, crop-based smallholder farmers form a limited but strategically significant group whose expansion is directly tied to national food-security and import-substitution objectives.</w:t>
      </w:r>
      <w:r>
        <w:rPr>
          <w:vertAlign w:val="superscript"/>
        </w:rPr>
        <w:t>[18]</w:t>
      </w:r>
      <w:r>
        <w:t xml:space="preserve"> Vegetable production within this is small-scale, geographically concentrated and frequently secondary to livestock livelihoods. The practical implication, confirmed by the field missions, is that vegetable interventions must target a clearly defined and spatially concentrated set of producers around soum and aimag centres, rather than assuming broad-based adoption across rural households.</w:t>
      </w:r>
    </w:p>
    <w:p w14:paraId="4BF3DD2C" w14:textId="1A07879B" w:rsidR="001852F2" w:rsidRDefault="001852F2" w:rsidP="00016E8C">
      <w:pPr>
        <w:pStyle w:val="Heading3"/>
        <w:spacing w:before="240" w:line="240" w:lineRule="auto"/>
        <w:contextualSpacing w:val="0"/>
      </w:pPr>
      <w:bookmarkStart w:id="78" w:name="_Toc233981288"/>
      <w:r>
        <w:t>Crop farming structure and vegetable production</w:t>
      </w:r>
      <w:bookmarkEnd w:id="78"/>
    </w:p>
    <w:p w14:paraId="6578B14E" w14:textId="35BDC939" w:rsidR="001852F2" w:rsidRDefault="001852F2" w:rsidP="00EB489E">
      <w:r>
        <w:t xml:space="preserve">The two provinces present contrasting but complementary production structures, both of which are dominated numerically by smallholder households. In </w:t>
      </w:r>
      <w:r>
        <w:rPr>
          <w:b/>
          <w:bCs/>
        </w:rPr>
        <w:t>Uvurkhangai</w:t>
      </w:r>
      <w:r>
        <w:t xml:space="preserve">, the number of crop-farming entities has grown markedly: registered crop enterprises rose from 73 in 2018 to 96 in 2024, while crop-farming households rose </w:t>
      </w:r>
      <w:r>
        <w:lastRenderedPageBreak/>
        <w:t>from 722 to 1,140 over the same period — an increase of about 37%.</w:t>
      </w:r>
      <w:r>
        <w:rPr>
          <w:vertAlign w:val="superscript"/>
        </w:rPr>
        <w:t>[21]</w:t>
      </w:r>
      <w:r>
        <w:t xml:space="preserve"> In 2024, the province cultivated roughly 281 ha of vegetables and 387 ha of potato; critically, smallholder households accounted for the majority of this area — about 204 ha of vegetables and 279 ha of potato — with registered enterprises cultivating the remainder (about 77 ha of vegetables and 107 ha of potato).</w:t>
      </w:r>
      <w:r>
        <w:rPr>
          <w:vertAlign w:val="superscript"/>
        </w:rPr>
        <w:t>[21]</w:t>
      </w:r>
      <w:r>
        <w:t xml:space="preserve"> In other words, roughly three quarters of the province's vegetable and potato area is in the hands of small household producers, which both confirms the relevance of the smallholder focus and signals where the bulk of beneficiaries will be found.</w:t>
      </w:r>
    </w:p>
    <w:p w14:paraId="49F911D8" w14:textId="77777777" w:rsidR="00C36A24" w:rsidRDefault="00C36A24" w:rsidP="00EB489E"/>
    <w:p w14:paraId="6236F2BF" w14:textId="221991BF" w:rsidR="001852F2" w:rsidRDefault="001852F2" w:rsidP="00EB489E">
      <w:r>
        <w:t xml:space="preserve">In </w:t>
      </w:r>
      <w:r>
        <w:rPr>
          <w:b/>
          <w:bCs/>
        </w:rPr>
        <w:t>Dundgovi</w:t>
      </w:r>
      <w:r>
        <w:t>, the crop sector is far smaller and more fragile, consistent with the province's aridity. In 2025, 7 cooperatives, 18 enterprises and 114 individual households across the 15 soums cultivated a combined 112.3 ha, of which 26.8 ha produced 280 t of potato, 29 ha produced 235.8 t of vegetables, 21 ha produced 28.2 t of fruit and berries, and 50.4 ha produced 188.6 t of fodder — with cultivated area up 20.5 ha and total harvest up 250 t on the previous year.</w:t>
      </w:r>
      <w:r>
        <w:rPr>
          <w:vertAlign w:val="superscript"/>
        </w:rPr>
        <w:t>[12]</w:t>
      </w:r>
      <w:r>
        <w:t xml:space="preserve"> Local production met about 23% of the province's combined potato and vegetable requirement (potato about 17%, vegetables only about 6.5%), underscoring both the depth of the supply gap and the small base from which the project must build.</w:t>
      </w:r>
      <w:r>
        <w:rPr>
          <w:vertAlign w:val="superscript"/>
        </w:rPr>
        <w:t xml:space="preserve"> [12]</w:t>
      </w:r>
      <w:r>
        <w:t xml:space="preserve"> Provincial vegetable self-sufficiency in Uvurkhangai is similarly reported below 30%.</w:t>
      </w:r>
      <w:r>
        <w:rPr>
          <w:vertAlign w:val="superscript"/>
        </w:rPr>
        <w:t>[46]</w:t>
      </w:r>
      <w:r>
        <w:t xml:space="preserve"> Table 15 consolidates the production structure of the two provinces.</w:t>
      </w:r>
    </w:p>
    <w:p w14:paraId="5821E027" w14:textId="77777777" w:rsidR="00C36A24" w:rsidRDefault="00C36A24" w:rsidP="00EB489E"/>
    <w:p w14:paraId="710B7B6D" w14:textId="32B8BA6D" w:rsidR="001852F2" w:rsidRDefault="001852F2" w:rsidP="00C36A24">
      <w:pPr>
        <w:pStyle w:val="Caption"/>
        <w:framePr w:wrap="notBeside"/>
      </w:pPr>
      <w:r>
        <w:t>Table 15. Crop-farming structure and vegetable production in the target provinces (latest available, 2024–2025)</w:t>
      </w:r>
    </w:p>
    <w:tbl>
      <w:tblPr>
        <w:tblW w:w="9634" w:type="dxa"/>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3072"/>
        <w:gridCol w:w="3281"/>
        <w:gridCol w:w="3281"/>
      </w:tblGrid>
      <w:tr w:rsidR="001852F2" w:rsidRPr="00E454FC" w14:paraId="3F02CD20" w14:textId="77777777" w:rsidTr="00ED71A8">
        <w:trPr>
          <w:tblHeader/>
        </w:trPr>
        <w:tc>
          <w:tcPr>
            <w:tcW w:w="3072" w:type="dxa"/>
            <w:shd w:val="clear" w:color="auto" w:fill="E99E6D" w:themeFill="accent3"/>
            <w:tcMar>
              <w:top w:w="60" w:type="dxa"/>
              <w:left w:w="100" w:type="dxa"/>
              <w:bottom w:w="60" w:type="dxa"/>
              <w:right w:w="100" w:type="dxa"/>
            </w:tcMar>
            <w:vAlign w:val="center"/>
          </w:tcPr>
          <w:p w14:paraId="608AEFF8" w14:textId="77777777" w:rsidR="001852F2" w:rsidRPr="00E454FC" w:rsidRDefault="001852F2" w:rsidP="00ED71A8">
            <w:pPr>
              <w:pStyle w:val="OikoTables02"/>
            </w:pPr>
            <w:r w:rsidRPr="00E454FC">
              <w:t>Indicator</w:t>
            </w:r>
          </w:p>
        </w:tc>
        <w:tc>
          <w:tcPr>
            <w:tcW w:w="3281" w:type="dxa"/>
            <w:shd w:val="clear" w:color="auto" w:fill="E99E6D" w:themeFill="accent3"/>
            <w:tcMar>
              <w:top w:w="60" w:type="dxa"/>
              <w:left w:w="100" w:type="dxa"/>
              <w:bottom w:w="60" w:type="dxa"/>
              <w:right w:w="100" w:type="dxa"/>
            </w:tcMar>
            <w:vAlign w:val="center"/>
          </w:tcPr>
          <w:p w14:paraId="4D24E22C" w14:textId="6B253514" w:rsidR="001852F2" w:rsidRPr="00E454FC" w:rsidRDefault="00B12E62" w:rsidP="00ED71A8">
            <w:pPr>
              <w:pStyle w:val="OikoTables02"/>
            </w:pPr>
            <w:r w:rsidRPr="00E454FC">
              <w:t>Uvurkhangai</w:t>
            </w:r>
          </w:p>
        </w:tc>
        <w:tc>
          <w:tcPr>
            <w:tcW w:w="3281" w:type="dxa"/>
            <w:shd w:val="clear" w:color="auto" w:fill="E99E6D" w:themeFill="accent3"/>
            <w:tcMar>
              <w:top w:w="60" w:type="dxa"/>
              <w:left w:w="100" w:type="dxa"/>
              <w:bottom w:w="60" w:type="dxa"/>
              <w:right w:w="100" w:type="dxa"/>
            </w:tcMar>
            <w:vAlign w:val="center"/>
          </w:tcPr>
          <w:p w14:paraId="1B058D1A" w14:textId="77777777" w:rsidR="001852F2" w:rsidRPr="00E454FC" w:rsidRDefault="001852F2" w:rsidP="00ED71A8">
            <w:pPr>
              <w:pStyle w:val="OikoTables02"/>
            </w:pPr>
            <w:r w:rsidRPr="00E454FC">
              <w:t>Dundgovi</w:t>
            </w:r>
          </w:p>
        </w:tc>
      </w:tr>
      <w:tr w:rsidR="001852F2" w:rsidRPr="00E454FC" w14:paraId="5F61CCC1" w14:textId="77777777" w:rsidTr="00D85766">
        <w:tc>
          <w:tcPr>
            <w:tcW w:w="3072" w:type="dxa"/>
            <w:tcMar>
              <w:top w:w="60" w:type="dxa"/>
              <w:left w:w="100" w:type="dxa"/>
              <w:bottom w:w="60" w:type="dxa"/>
              <w:right w:w="100" w:type="dxa"/>
            </w:tcMar>
            <w:vAlign w:val="center"/>
          </w:tcPr>
          <w:p w14:paraId="698424AE" w14:textId="77777777" w:rsidR="001852F2" w:rsidRPr="00E454FC" w:rsidRDefault="001852F2" w:rsidP="00E454FC">
            <w:pPr>
              <w:pStyle w:val="OikoTables03Content"/>
            </w:pPr>
            <w:r w:rsidRPr="00E454FC">
              <w:t>Crop-farming households / individuals</w:t>
            </w:r>
          </w:p>
        </w:tc>
        <w:tc>
          <w:tcPr>
            <w:tcW w:w="3281" w:type="dxa"/>
            <w:tcMar>
              <w:top w:w="60" w:type="dxa"/>
              <w:left w:w="100" w:type="dxa"/>
              <w:bottom w:w="60" w:type="dxa"/>
              <w:right w:w="100" w:type="dxa"/>
            </w:tcMar>
            <w:vAlign w:val="center"/>
          </w:tcPr>
          <w:p w14:paraId="0D80222C" w14:textId="77777777" w:rsidR="001852F2" w:rsidRPr="00E454FC" w:rsidRDefault="001852F2" w:rsidP="00E454FC">
            <w:pPr>
              <w:pStyle w:val="OikoTables03Content"/>
            </w:pPr>
            <w:r w:rsidRPr="00E454FC">
              <w:t>~1,140 households (2024); up from 722 in 2018</w:t>
            </w:r>
          </w:p>
        </w:tc>
        <w:tc>
          <w:tcPr>
            <w:tcW w:w="3281" w:type="dxa"/>
            <w:tcMar>
              <w:top w:w="60" w:type="dxa"/>
              <w:left w:w="100" w:type="dxa"/>
              <w:bottom w:w="60" w:type="dxa"/>
              <w:right w:w="100" w:type="dxa"/>
            </w:tcMar>
            <w:vAlign w:val="center"/>
          </w:tcPr>
          <w:p w14:paraId="07ABA83C" w14:textId="77777777" w:rsidR="001852F2" w:rsidRPr="00E454FC" w:rsidRDefault="001852F2" w:rsidP="00E454FC">
            <w:pPr>
              <w:pStyle w:val="OikoTables03Content"/>
            </w:pPr>
            <w:r w:rsidRPr="00E454FC">
              <w:t>114 individual households (2025)</w:t>
            </w:r>
          </w:p>
        </w:tc>
      </w:tr>
      <w:tr w:rsidR="001852F2" w:rsidRPr="00E454FC" w14:paraId="67C276C8" w14:textId="77777777" w:rsidTr="00D85766">
        <w:tc>
          <w:tcPr>
            <w:tcW w:w="3072" w:type="dxa"/>
            <w:tcMar>
              <w:top w:w="60" w:type="dxa"/>
              <w:left w:w="100" w:type="dxa"/>
              <w:bottom w:w="60" w:type="dxa"/>
              <w:right w:w="100" w:type="dxa"/>
            </w:tcMar>
            <w:vAlign w:val="center"/>
          </w:tcPr>
          <w:p w14:paraId="45F8E27A" w14:textId="77777777" w:rsidR="001852F2" w:rsidRPr="00E454FC" w:rsidRDefault="001852F2" w:rsidP="00E454FC">
            <w:pPr>
              <w:pStyle w:val="OikoTables03Content"/>
            </w:pPr>
            <w:r w:rsidRPr="00E454FC">
              <w:t>Crop enterprises / cooperatives</w:t>
            </w:r>
          </w:p>
        </w:tc>
        <w:tc>
          <w:tcPr>
            <w:tcW w:w="3281" w:type="dxa"/>
            <w:tcMar>
              <w:top w:w="60" w:type="dxa"/>
              <w:left w:w="100" w:type="dxa"/>
              <w:bottom w:w="60" w:type="dxa"/>
              <w:right w:w="100" w:type="dxa"/>
            </w:tcMar>
            <w:vAlign w:val="center"/>
          </w:tcPr>
          <w:p w14:paraId="78153E67" w14:textId="77777777" w:rsidR="001852F2" w:rsidRPr="00E454FC" w:rsidRDefault="001852F2" w:rsidP="00E454FC">
            <w:pPr>
              <w:pStyle w:val="OikoTables03Content"/>
            </w:pPr>
            <w:r w:rsidRPr="00E454FC">
              <w:t>96 enterprises (2024); up from 73 in 2018</w:t>
            </w:r>
          </w:p>
        </w:tc>
        <w:tc>
          <w:tcPr>
            <w:tcW w:w="3281" w:type="dxa"/>
            <w:tcMar>
              <w:top w:w="60" w:type="dxa"/>
              <w:left w:w="100" w:type="dxa"/>
              <w:bottom w:w="60" w:type="dxa"/>
              <w:right w:w="100" w:type="dxa"/>
            </w:tcMar>
            <w:vAlign w:val="center"/>
          </w:tcPr>
          <w:p w14:paraId="6207FEAF" w14:textId="77777777" w:rsidR="001852F2" w:rsidRPr="00E454FC" w:rsidRDefault="001852F2" w:rsidP="00E454FC">
            <w:pPr>
              <w:pStyle w:val="OikoTables03Content"/>
            </w:pPr>
            <w:r w:rsidRPr="00E454FC">
              <w:t>18 enterprises + 7 cooperatives (2025)</w:t>
            </w:r>
          </w:p>
        </w:tc>
      </w:tr>
      <w:tr w:rsidR="001852F2" w:rsidRPr="00E454FC" w14:paraId="0082BCE3" w14:textId="77777777" w:rsidTr="00D85766">
        <w:tc>
          <w:tcPr>
            <w:tcW w:w="3072" w:type="dxa"/>
            <w:tcMar>
              <w:top w:w="60" w:type="dxa"/>
              <w:left w:w="100" w:type="dxa"/>
              <w:bottom w:w="60" w:type="dxa"/>
              <w:right w:w="100" w:type="dxa"/>
            </w:tcMar>
            <w:vAlign w:val="center"/>
          </w:tcPr>
          <w:p w14:paraId="2A53D67C" w14:textId="77777777" w:rsidR="001852F2" w:rsidRPr="00E454FC" w:rsidRDefault="001852F2" w:rsidP="00E454FC">
            <w:pPr>
              <w:pStyle w:val="OikoTables03Content"/>
            </w:pPr>
            <w:r w:rsidRPr="00E454FC">
              <w:t>Vegetable area</w:t>
            </w:r>
          </w:p>
        </w:tc>
        <w:tc>
          <w:tcPr>
            <w:tcW w:w="3281" w:type="dxa"/>
            <w:tcMar>
              <w:top w:w="60" w:type="dxa"/>
              <w:left w:w="100" w:type="dxa"/>
              <w:bottom w:w="60" w:type="dxa"/>
              <w:right w:w="100" w:type="dxa"/>
            </w:tcMar>
            <w:vAlign w:val="center"/>
          </w:tcPr>
          <w:p w14:paraId="6D58283D" w14:textId="77777777" w:rsidR="001852F2" w:rsidRPr="00E454FC" w:rsidRDefault="001852F2" w:rsidP="00E454FC">
            <w:pPr>
              <w:pStyle w:val="OikoTables03Content"/>
            </w:pPr>
            <w:r w:rsidRPr="00E454FC">
              <w:t>~281 ha (of which ~204 ha by households)</w:t>
            </w:r>
          </w:p>
        </w:tc>
        <w:tc>
          <w:tcPr>
            <w:tcW w:w="3281" w:type="dxa"/>
            <w:tcMar>
              <w:top w:w="60" w:type="dxa"/>
              <w:left w:w="100" w:type="dxa"/>
              <w:bottom w:w="60" w:type="dxa"/>
              <w:right w:w="100" w:type="dxa"/>
            </w:tcMar>
            <w:vAlign w:val="center"/>
          </w:tcPr>
          <w:p w14:paraId="6A0C9A27" w14:textId="77777777" w:rsidR="001852F2" w:rsidRPr="00E454FC" w:rsidRDefault="001852F2" w:rsidP="00E454FC">
            <w:pPr>
              <w:pStyle w:val="OikoTables03Content"/>
            </w:pPr>
            <w:r w:rsidRPr="00E454FC">
              <w:t>29 ha</w:t>
            </w:r>
          </w:p>
        </w:tc>
      </w:tr>
      <w:tr w:rsidR="001852F2" w:rsidRPr="00E454FC" w14:paraId="66898CFC" w14:textId="77777777" w:rsidTr="00D85766">
        <w:tc>
          <w:tcPr>
            <w:tcW w:w="3072" w:type="dxa"/>
            <w:tcMar>
              <w:top w:w="60" w:type="dxa"/>
              <w:left w:w="100" w:type="dxa"/>
              <w:bottom w:w="60" w:type="dxa"/>
              <w:right w:w="100" w:type="dxa"/>
            </w:tcMar>
            <w:vAlign w:val="center"/>
          </w:tcPr>
          <w:p w14:paraId="32950777" w14:textId="77777777" w:rsidR="001852F2" w:rsidRPr="00E454FC" w:rsidRDefault="001852F2" w:rsidP="00E454FC">
            <w:pPr>
              <w:pStyle w:val="OikoTables03Content"/>
            </w:pPr>
            <w:r w:rsidRPr="00E454FC">
              <w:t>Potato area</w:t>
            </w:r>
          </w:p>
        </w:tc>
        <w:tc>
          <w:tcPr>
            <w:tcW w:w="3281" w:type="dxa"/>
            <w:tcMar>
              <w:top w:w="60" w:type="dxa"/>
              <w:left w:w="100" w:type="dxa"/>
              <w:bottom w:w="60" w:type="dxa"/>
              <w:right w:w="100" w:type="dxa"/>
            </w:tcMar>
            <w:vAlign w:val="center"/>
          </w:tcPr>
          <w:p w14:paraId="1A4C2026" w14:textId="77777777" w:rsidR="001852F2" w:rsidRPr="00E454FC" w:rsidRDefault="001852F2" w:rsidP="00E454FC">
            <w:pPr>
              <w:pStyle w:val="OikoTables03Content"/>
            </w:pPr>
            <w:r w:rsidRPr="00E454FC">
              <w:t>~387 ha (of which ~279 ha by households)</w:t>
            </w:r>
          </w:p>
        </w:tc>
        <w:tc>
          <w:tcPr>
            <w:tcW w:w="3281" w:type="dxa"/>
            <w:tcMar>
              <w:top w:w="60" w:type="dxa"/>
              <w:left w:w="100" w:type="dxa"/>
              <w:bottom w:w="60" w:type="dxa"/>
              <w:right w:w="100" w:type="dxa"/>
            </w:tcMar>
            <w:vAlign w:val="center"/>
          </w:tcPr>
          <w:p w14:paraId="757A0E75" w14:textId="77777777" w:rsidR="001852F2" w:rsidRPr="00E454FC" w:rsidRDefault="001852F2" w:rsidP="00E454FC">
            <w:pPr>
              <w:pStyle w:val="OikoTables03Content"/>
            </w:pPr>
            <w:r w:rsidRPr="00E454FC">
              <w:t>26.8 ha</w:t>
            </w:r>
          </w:p>
        </w:tc>
      </w:tr>
      <w:tr w:rsidR="001852F2" w:rsidRPr="00E454FC" w14:paraId="04053502" w14:textId="77777777" w:rsidTr="00D85766">
        <w:tc>
          <w:tcPr>
            <w:tcW w:w="3072" w:type="dxa"/>
            <w:tcMar>
              <w:top w:w="60" w:type="dxa"/>
              <w:left w:w="100" w:type="dxa"/>
              <w:bottom w:w="60" w:type="dxa"/>
              <w:right w:w="100" w:type="dxa"/>
            </w:tcMar>
            <w:vAlign w:val="center"/>
          </w:tcPr>
          <w:p w14:paraId="45F28620" w14:textId="77777777" w:rsidR="001852F2" w:rsidRPr="00E454FC" w:rsidRDefault="001852F2" w:rsidP="00E454FC">
            <w:pPr>
              <w:pStyle w:val="OikoTables03Content"/>
            </w:pPr>
            <w:r w:rsidRPr="00E454FC">
              <w:t>Vegetable output</w:t>
            </w:r>
          </w:p>
        </w:tc>
        <w:tc>
          <w:tcPr>
            <w:tcW w:w="3281" w:type="dxa"/>
            <w:tcMar>
              <w:top w:w="60" w:type="dxa"/>
              <w:left w:w="100" w:type="dxa"/>
              <w:bottom w:w="60" w:type="dxa"/>
              <w:right w:w="100" w:type="dxa"/>
            </w:tcMar>
            <w:vAlign w:val="center"/>
          </w:tcPr>
          <w:p w14:paraId="041046A8" w14:textId="77777777" w:rsidR="001852F2" w:rsidRPr="00E454FC" w:rsidRDefault="001852F2" w:rsidP="00E454FC">
            <w:pPr>
              <w:pStyle w:val="OikoTables03Content"/>
            </w:pPr>
            <w:r w:rsidRPr="00E454FC">
              <w:t xml:space="preserve">Several thousand </w:t>
            </w:r>
            <w:proofErr w:type="spellStart"/>
            <w:r w:rsidRPr="00E454FC">
              <w:t>tonnes</w:t>
            </w:r>
            <w:proofErr w:type="spellEnd"/>
            <w:r w:rsidRPr="00E454FC">
              <w:t xml:space="preserve"> (provincial)</w:t>
            </w:r>
          </w:p>
        </w:tc>
        <w:tc>
          <w:tcPr>
            <w:tcW w:w="3281" w:type="dxa"/>
            <w:tcMar>
              <w:top w:w="60" w:type="dxa"/>
              <w:left w:w="100" w:type="dxa"/>
              <w:bottom w:w="60" w:type="dxa"/>
              <w:right w:w="100" w:type="dxa"/>
            </w:tcMar>
            <w:vAlign w:val="center"/>
          </w:tcPr>
          <w:p w14:paraId="7F734403" w14:textId="77777777" w:rsidR="001852F2" w:rsidRPr="00E454FC" w:rsidRDefault="001852F2" w:rsidP="00E454FC">
            <w:pPr>
              <w:pStyle w:val="OikoTables03Content"/>
            </w:pPr>
            <w:r w:rsidRPr="00E454FC">
              <w:t>235.8 t</w:t>
            </w:r>
          </w:p>
        </w:tc>
      </w:tr>
      <w:tr w:rsidR="001852F2" w:rsidRPr="00E454FC" w14:paraId="55CB24DC" w14:textId="77777777" w:rsidTr="00D85766">
        <w:tc>
          <w:tcPr>
            <w:tcW w:w="3072" w:type="dxa"/>
            <w:tcMar>
              <w:top w:w="60" w:type="dxa"/>
              <w:left w:w="100" w:type="dxa"/>
              <w:bottom w:w="60" w:type="dxa"/>
              <w:right w:w="100" w:type="dxa"/>
            </w:tcMar>
            <w:vAlign w:val="center"/>
          </w:tcPr>
          <w:p w14:paraId="56CF4266" w14:textId="77777777" w:rsidR="001852F2" w:rsidRPr="00E454FC" w:rsidRDefault="001852F2" w:rsidP="00E454FC">
            <w:pPr>
              <w:pStyle w:val="OikoTables03Content"/>
            </w:pPr>
            <w:r w:rsidRPr="00E454FC">
              <w:t>Potato output</w:t>
            </w:r>
          </w:p>
        </w:tc>
        <w:tc>
          <w:tcPr>
            <w:tcW w:w="3281" w:type="dxa"/>
            <w:tcMar>
              <w:top w:w="60" w:type="dxa"/>
              <w:left w:w="100" w:type="dxa"/>
              <w:bottom w:w="60" w:type="dxa"/>
              <w:right w:w="100" w:type="dxa"/>
            </w:tcMar>
            <w:vAlign w:val="center"/>
          </w:tcPr>
          <w:p w14:paraId="6833377E" w14:textId="77777777" w:rsidR="001852F2" w:rsidRPr="00E454FC" w:rsidRDefault="001852F2" w:rsidP="00E454FC">
            <w:pPr>
              <w:pStyle w:val="OikoTables03Content"/>
            </w:pPr>
            <w:r w:rsidRPr="00E454FC">
              <w:t xml:space="preserve">~3.8 thousand </w:t>
            </w:r>
            <w:proofErr w:type="spellStart"/>
            <w:r w:rsidRPr="00E454FC">
              <w:t>tonnes</w:t>
            </w:r>
            <w:proofErr w:type="spellEnd"/>
            <w:r w:rsidRPr="00E454FC">
              <w:t xml:space="preserve"> (households + enterprises)</w:t>
            </w:r>
          </w:p>
        </w:tc>
        <w:tc>
          <w:tcPr>
            <w:tcW w:w="3281" w:type="dxa"/>
            <w:tcMar>
              <w:top w:w="60" w:type="dxa"/>
              <w:left w:w="100" w:type="dxa"/>
              <w:bottom w:w="60" w:type="dxa"/>
              <w:right w:w="100" w:type="dxa"/>
            </w:tcMar>
            <w:vAlign w:val="center"/>
          </w:tcPr>
          <w:p w14:paraId="0FE4C0F5" w14:textId="77777777" w:rsidR="001852F2" w:rsidRPr="00E454FC" w:rsidRDefault="001852F2" w:rsidP="00E454FC">
            <w:pPr>
              <w:pStyle w:val="OikoTables03Content"/>
            </w:pPr>
            <w:r w:rsidRPr="00E454FC">
              <w:t>280 t</w:t>
            </w:r>
          </w:p>
        </w:tc>
      </w:tr>
      <w:tr w:rsidR="001852F2" w:rsidRPr="00E454FC" w14:paraId="0D102143" w14:textId="77777777" w:rsidTr="00D85766">
        <w:tc>
          <w:tcPr>
            <w:tcW w:w="3072" w:type="dxa"/>
            <w:tcMar>
              <w:top w:w="60" w:type="dxa"/>
              <w:left w:w="100" w:type="dxa"/>
              <w:bottom w:w="60" w:type="dxa"/>
              <w:right w:w="100" w:type="dxa"/>
            </w:tcMar>
            <w:vAlign w:val="center"/>
          </w:tcPr>
          <w:p w14:paraId="6D51EC0D" w14:textId="77777777" w:rsidR="001852F2" w:rsidRPr="00E454FC" w:rsidRDefault="001852F2" w:rsidP="00E454FC">
            <w:pPr>
              <w:pStyle w:val="OikoTables03Content"/>
            </w:pPr>
            <w:r w:rsidRPr="00E454FC">
              <w:t>Fruit / berry area</w:t>
            </w:r>
          </w:p>
        </w:tc>
        <w:tc>
          <w:tcPr>
            <w:tcW w:w="3281" w:type="dxa"/>
            <w:tcMar>
              <w:top w:w="60" w:type="dxa"/>
              <w:left w:w="100" w:type="dxa"/>
              <w:bottom w:w="60" w:type="dxa"/>
              <w:right w:w="100" w:type="dxa"/>
            </w:tcMar>
            <w:vAlign w:val="center"/>
          </w:tcPr>
          <w:p w14:paraId="7AD9B0A5" w14:textId="77777777" w:rsidR="001852F2" w:rsidRPr="00E454FC" w:rsidRDefault="001852F2" w:rsidP="00E454FC">
            <w:pPr>
              <w:pStyle w:val="OikoTables03Content"/>
            </w:pPr>
            <w:r w:rsidRPr="00E454FC">
              <w:t>Emerging (orchards, berry shrubs)</w:t>
            </w:r>
          </w:p>
        </w:tc>
        <w:tc>
          <w:tcPr>
            <w:tcW w:w="3281" w:type="dxa"/>
            <w:tcMar>
              <w:top w:w="60" w:type="dxa"/>
              <w:left w:w="100" w:type="dxa"/>
              <w:bottom w:w="60" w:type="dxa"/>
              <w:right w:w="100" w:type="dxa"/>
            </w:tcMar>
            <w:vAlign w:val="center"/>
          </w:tcPr>
          <w:p w14:paraId="0C5AA8F3" w14:textId="77777777" w:rsidR="001852F2" w:rsidRPr="00E454FC" w:rsidRDefault="001852F2" w:rsidP="00E454FC">
            <w:pPr>
              <w:pStyle w:val="OikoTables03Content"/>
            </w:pPr>
            <w:r w:rsidRPr="00E454FC">
              <w:t>21 ha → 28.2 t</w:t>
            </w:r>
          </w:p>
        </w:tc>
      </w:tr>
      <w:tr w:rsidR="001852F2" w:rsidRPr="00E454FC" w14:paraId="6CA14E1F" w14:textId="77777777" w:rsidTr="00D85766">
        <w:tc>
          <w:tcPr>
            <w:tcW w:w="3072" w:type="dxa"/>
            <w:tcMar>
              <w:top w:w="60" w:type="dxa"/>
              <w:left w:w="100" w:type="dxa"/>
              <w:bottom w:w="60" w:type="dxa"/>
              <w:right w:w="100" w:type="dxa"/>
            </w:tcMar>
            <w:vAlign w:val="center"/>
          </w:tcPr>
          <w:p w14:paraId="3ED8B68C" w14:textId="77777777" w:rsidR="001852F2" w:rsidRPr="00E454FC" w:rsidRDefault="001852F2" w:rsidP="00E454FC">
            <w:pPr>
              <w:pStyle w:val="OikoTables03Content"/>
            </w:pPr>
            <w:r w:rsidRPr="00E454FC">
              <w:t>Greenhouses</w:t>
            </w:r>
          </w:p>
        </w:tc>
        <w:tc>
          <w:tcPr>
            <w:tcW w:w="3281" w:type="dxa"/>
            <w:tcMar>
              <w:top w:w="60" w:type="dxa"/>
              <w:left w:w="100" w:type="dxa"/>
              <w:bottom w:w="60" w:type="dxa"/>
              <w:right w:w="100" w:type="dxa"/>
            </w:tcMar>
            <w:vAlign w:val="center"/>
          </w:tcPr>
          <w:p w14:paraId="1ADFDCF9" w14:textId="77777777" w:rsidR="001852F2" w:rsidRPr="00E454FC" w:rsidRDefault="001852F2" w:rsidP="00E454FC">
            <w:pPr>
              <w:pStyle w:val="OikoTables03Content"/>
            </w:pPr>
            <w:r w:rsidRPr="00E454FC">
              <w:t>~253 units (provincial)</w:t>
            </w:r>
          </w:p>
        </w:tc>
        <w:tc>
          <w:tcPr>
            <w:tcW w:w="3281" w:type="dxa"/>
            <w:tcMar>
              <w:top w:w="60" w:type="dxa"/>
              <w:left w:w="100" w:type="dxa"/>
              <w:bottom w:w="60" w:type="dxa"/>
              <w:right w:w="100" w:type="dxa"/>
            </w:tcMar>
            <w:vAlign w:val="center"/>
          </w:tcPr>
          <w:p w14:paraId="192CF435" w14:textId="77777777" w:rsidR="001852F2" w:rsidRPr="00E454FC" w:rsidRDefault="001852F2" w:rsidP="00E454FC">
            <w:pPr>
              <w:pStyle w:val="OikoTables03Content"/>
            </w:pPr>
            <w:r w:rsidRPr="00E454FC">
              <w:t>156 units ≈ 19,530 m²</w:t>
            </w:r>
          </w:p>
        </w:tc>
      </w:tr>
      <w:tr w:rsidR="001852F2" w:rsidRPr="00E454FC" w14:paraId="6AED69B7" w14:textId="77777777" w:rsidTr="00D85766">
        <w:tc>
          <w:tcPr>
            <w:tcW w:w="3072" w:type="dxa"/>
            <w:tcMar>
              <w:top w:w="60" w:type="dxa"/>
              <w:left w:w="100" w:type="dxa"/>
              <w:bottom w:w="60" w:type="dxa"/>
              <w:right w:w="100" w:type="dxa"/>
            </w:tcMar>
            <w:vAlign w:val="center"/>
          </w:tcPr>
          <w:p w14:paraId="033EF64C" w14:textId="77777777" w:rsidR="001852F2" w:rsidRPr="00E454FC" w:rsidRDefault="001852F2" w:rsidP="00E454FC">
            <w:pPr>
              <w:pStyle w:val="OikoTables03Content"/>
            </w:pPr>
            <w:r w:rsidRPr="00E454FC">
              <w:t>Local self-sufficiency (potato + vegetables)</w:t>
            </w:r>
          </w:p>
        </w:tc>
        <w:tc>
          <w:tcPr>
            <w:tcW w:w="3281" w:type="dxa"/>
            <w:tcMar>
              <w:top w:w="60" w:type="dxa"/>
              <w:left w:w="100" w:type="dxa"/>
              <w:bottom w:w="60" w:type="dxa"/>
              <w:right w:w="100" w:type="dxa"/>
            </w:tcMar>
            <w:vAlign w:val="center"/>
          </w:tcPr>
          <w:p w14:paraId="217B7EFA" w14:textId="77777777" w:rsidR="001852F2" w:rsidRPr="00E454FC" w:rsidRDefault="001852F2" w:rsidP="00E454FC">
            <w:pPr>
              <w:pStyle w:val="OikoTables03Content"/>
            </w:pPr>
            <w:r w:rsidRPr="00E454FC">
              <w:t>Vegetables reported below 30%</w:t>
            </w:r>
          </w:p>
        </w:tc>
        <w:tc>
          <w:tcPr>
            <w:tcW w:w="3281" w:type="dxa"/>
            <w:tcMar>
              <w:top w:w="60" w:type="dxa"/>
              <w:left w:w="100" w:type="dxa"/>
              <w:bottom w:w="60" w:type="dxa"/>
              <w:right w:w="100" w:type="dxa"/>
            </w:tcMar>
            <w:vAlign w:val="center"/>
          </w:tcPr>
          <w:p w14:paraId="19C30D99" w14:textId="77777777" w:rsidR="001852F2" w:rsidRPr="00E454FC" w:rsidRDefault="001852F2" w:rsidP="00E454FC">
            <w:pPr>
              <w:pStyle w:val="OikoTables03Content"/>
            </w:pPr>
            <w:r w:rsidRPr="00E454FC">
              <w:t>~23% (potato ~17%, vegetables ~6.5%)</w:t>
            </w:r>
          </w:p>
        </w:tc>
      </w:tr>
    </w:tbl>
    <w:p w14:paraId="30FD8818" w14:textId="2AAFE092" w:rsidR="001852F2" w:rsidRDefault="001852F2" w:rsidP="00D16E24">
      <w:pPr>
        <w:spacing w:before="30" w:after="120" w:line="240" w:lineRule="auto"/>
        <w:contextualSpacing w:val="0"/>
      </w:pPr>
      <w:r>
        <w:rPr>
          <w:rFonts w:eastAsia="Times New Roman" w:cs="Times New Roman"/>
          <w:i/>
          <w:iCs/>
          <w:sz w:val="18"/>
          <w:szCs w:val="18"/>
        </w:rPr>
        <w:t xml:space="preserve">Source: Gazar </w:t>
      </w:r>
      <w:proofErr w:type="spellStart"/>
      <w:r>
        <w:rPr>
          <w:rFonts w:eastAsia="Times New Roman" w:cs="Times New Roman"/>
          <w:i/>
          <w:iCs/>
          <w:sz w:val="18"/>
          <w:szCs w:val="18"/>
        </w:rPr>
        <w:t>Delkhii</w:t>
      </w:r>
      <w:proofErr w:type="spellEnd"/>
      <w:r>
        <w:rPr>
          <w:rFonts w:eastAsia="Times New Roman" w:cs="Times New Roman"/>
          <w:i/>
          <w:iCs/>
          <w:sz w:val="18"/>
          <w:szCs w:val="18"/>
        </w:rPr>
        <w:t xml:space="preserve"> LLC (</w:t>
      </w:r>
      <w:proofErr w:type="gramStart"/>
      <w:r>
        <w:rPr>
          <w:rFonts w:eastAsia="Times New Roman" w:cs="Times New Roman"/>
          <w:i/>
          <w:iCs/>
          <w:sz w:val="18"/>
          <w:szCs w:val="18"/>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21]</w:t>
      </w:r>
      <w:r>
        <w:rPr>
          <w:rFonts w:eastAsia="Times New Roman" w:cs="Times New Roman"/>
          <w:i/>
          <w:iCs/>
          <w:sz w:val="18"/>
          <w:szCs w:val="18"/>
        </w:rPr>
        <w:t xml:space="preserve"> drawing on NSO (2025</w:t>
      </w:r>
      <w:proofErr w:type="gramStart"/>
      <w:r>
        <w:rPr>
          <w:rFonts w:eastAsia="Times New Roman" w:cs="Times New Roman"/>
          <w:i/>
          <w:iCs/>
          <w:sz w:val="18"/>
          <w:szCs w:val="18"/>
        </w:rPr>
        <w:t>a)</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43]</w:t>
      </w:r>
      <w:r>
        <w:rPr>
          <w:rFonts w:eastAsia="Times New Roman" w:cs="Times New Roman"/>
          <w:i/>
          <w:iCs/>
          <w:sz w:val="18"/>
          <w:szCs w:val="18"/>
        </w:rPr>
        <w:t xml:space="preserve">; Annual reports of DFAs in both </w:t>
      </w:r>
      <w:proofErr w:type="spellStart"/>
      <w:r>
        <w:rPr>
          <w:rFonts w:eastAsia="Times New Roman" w:cs="Times New Roman"/>
          <w:i/>
          <w:iCs/>
          <w:sz w:val="18"/>
          <w:szCs w:val="18"/>
        </w:rPr>
        <w:t>aimags</w:t>
      </w:r>
      <w:proofErr w:type="spellEnd"/>
      <w:r>
        <w:rPr>
          <w:rFonts w:eastAsia="Times New Roman" w:cs="Times New Roman"/>
          <w:i/>
          <w:iCs/>
          <w:sz w:val="18"/>
          <w:szCs w:val="18"/>
        </w:rPr>
        <w:t xml:space="preserve"> (</w:t>
      </w:r>
      <w:proofErr w:type="gramStart"/>
      <w:r>
        <w:rPr>
          <w:rFonts w:eastAsia="Times New Roman" w:cs="Times New Roman"/>
          <w:i/>
          <w:iCs/>
          <w:sz w:val="18"/>
          <w:szCs w:val="18"/>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12, 13]</w:t>
      </w:r>
      <w:r>
        <w:rPr>
          <w:rFonts w:eastAsia="Times New Roman" w:cs="Times New Roman"/>
          <w:i/>
          <w:iCs/>
          <w:sz w:val="18"/>
          <w:szCs w:val="18"/>
        </w:rPr>
        <w:t xml:space="preserve">; CTCN field </w:t>
      </w:r>
      <w:proofErr w:type="gramStart"/>
      <w:r>
        <w:rPr>
          <w:rFonts w:eastAsia="Times New Roman" w:cs="Times New Roman"/>
          <w:i/>
          <w:iCs/>
          <w:sz w:val="18"/>
          <w:szCs w:val="18"/>
        </w:rPr>
        <w:t>missions.</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w:t>
      </w:r>
      <w:r>
        <w:rPr>
          <w:rFonts w:eastAsia="Times New Roman" w:cs="Times New Roman"/>
          <w:i/>
          <w:iCs/>
          <w:sz w:val="18"/>
          <w:szCs w:val="18"/>
        </w:rPr>
        <w:t xml:space="preserve"> Figures rounded; greenhouse counts include seasonal and winter structures.</w:t>
      </w:r>
    </w:p>
    <w:p w14:paraId="095AC8E1" w14:textId="1B1E17FB" w:rsidR="001852F2" w:rsidRDefault="001852F2" w:rsidP="00016E8C">
      <w:pPr>
        <w:pStyle w:val="Heading3"/>
        <w:spacing w:before="240" w:line="240" w:lineRule="auto"/>
        <w:contextualSpacing w:val="0"/>
      </w:pPr>
      <w:bookmarkStart w:id="79" w:name="_Toc233981289"/>
      <w:r>
        <w:t>The greenhouse sub-sector</w:t>
      </w:r>
      <w:bookmarkEnd w:id="79"/>
    </w:p>
    <w:p w14:paraId="7AD91024" w14:textId="7A72F4D1" w:rsidR="001852F2" w:rsidRDefault="001852F2" w:rsidP="00EB489E">
      <w:r>
        <w:t xml:space="preserve">Protected cultivation is the </w:t>
      </w:r>
      <w:proofErr w:type="gramStart"/>
      <w:r>
        <w:t>fastest-moving</w:t>
      </w:r>
      <w:proofErr w:type="gramEnd"/>
      <w:r>
        <w:t xml:space="preserve"> and most strategically important segment for this project, and the field missions documented it in detail. In Uvurkhangai, the dominant structure is the seasonal polyethylene-film tunnel (single and double film), used mainly from spring to autumn, with year-round winter production still rare; designs range from self-built passive-solar greenhouses through imported Chinese double-film polytunnels to one fully controlled-environment hydroponic farm.</w:t>
      </w:r>
      <w:r>
        <w:rPr>
          <w:vertAlign w:val="superscript"/>
        </w:rPr>
        <w:t>[46]</w:t>
      </w:r>
      <w:r>
        <w:t xml:space="preserve"> Representative scales illustrate the spread: household units run from roughly 32–160 m² up to two 20×6 m tunnels; one assessed enterprise operated a 210 m² passive-solar greenhouse alongside a 274 m² double-film and a 48 m² single-film unit; and the </w:t>
      </w:r>
      <w:proofErr w:type="spellStart"/>
      <w:r>
        <w:t>Arvaikheer</w:t>
      </w:r>
      <w:proofErr w:type="spellEnd"/>
      <w:r>
        <w:t xml:space="preserve"> municipal complex (about 5 ha, 37 staff) was deploying 37 tunnels ranging from 4×8 m to 8×28 m. Reported provincial output from 253 greenhouses was on the order of 7,000 t of cucumber, 5,000 t of tomato, 3,100 t of watermelon and smaller quantities of pepper and other crops, with realistic tomato yields around 15–20 kg/m².</w:t>
      </w:r>
      <w:r>
        <w:rPr>
          <w:vertAlign w:val="superscript"/>
        </w:rPr>
        <w:t>[46]</w:t>
      </w:r>
      <w:r>
        <w:t xml:space="preserve"> Mechanisation is essentially absent and much production is fully manual.</w:t>
      </w:r>
    </w:p>
    <w:p w14:paraId="66061BE9" w14:textId="77777777" w:rsidR="00132E95" w:rsidRDefault="00132E95" w:rsidP="00EB489E"/>
    <w:p w14:paraId="744D1BF4" w14:textId="3E448744" w:rsidR="001852F2" w:rsidRDefault="001852F2" w:rsidP="00EB489E">
      <w:r>
        <w:lastRenderedPageBreak/>
        <w:t>In Dundgovi, the same technologies appear under harsher conditions and at a smaller scale. The province operated 156 greenhouses (about 19,530 m²) in 2025, including 2,980 m² of winter greenhouses producing chard, strawberry and cucumber, for a total greenhouse harvest of about 163 t.</w:t>
      </w:r>
      <w:r>
        <w:rPr>
          <w:vertAlign w:val="superscript"/>
        </w:rPr>
        <w:t>[12]</w:t>
      </w:r>
      <w:r>
        <w:t xml:space="preserve"> Field visits documented a government-owned facility of two 600 m² passive-solar greenhouses clad in polycarbonate (chosen over polyethylene for durability and thermal performance, with an integrated but non-operational heating system), Korean-design greenhouses modified by reducing height from 6 m to 4 m to resist wind, and an emerging commercial farm combining a large insulated-wall passive-solar greenhouse with a double-polyethylene unit, all under drip irrigation with plastic mulch.</w:t>
      </w:r>
      <w:r>
        <w:rPr>
          <w:vertAlign w:val="superscript"/>
        </w:rPr>
        <w:t>[45]</w:t>
      </w:r>
      <w:r>
        <w:t xml:space="preserve"> Two observations from the missions are decisive for the feasibility logic and recur throughout this report: financial metrics for greenhouses must assume seasonal rather than year-round operation; and the choice between a low-cost passive-solar design and a high-specification polycarbonate structure is the single most consequential variable for viability in Dundgovi.</w:t>
      </w:r>
    </w:p>
    <w:p w14:paraId="4D36489D" w14:textId="19BFC5DB" w:rsidR="001852F2" w:rsidRDefault="001852F2" w:rsidP="00016E8C">
      <w:pPr>
        <w:pStyle w:val="Heading2"/>
        <w:spacing w:before="360" w:line="240" w:lineRule="auto"/>
        <w:contextualSpacing w:val="0"/>
      </w:pPr>
      <w:bookmarkStart w:id="80" w:name="_Toc233981290"/>
      <w:r>
        <w:t>Typology of farming systems</w:t>
      </w:r>
      <w:bookmarkEnd w:id="80"/>
    </w:p>
    <w:p w14:paraId="368C9B4F" w14:textId="73D4BF90" w:rsidR="001852F2" w:rsidRDefault="001852F2" w:rsidP="00EB489E">
      <w:r>
        <w:t>The suitability and scalability of the proposed technologies depend on the structure of the production systems into which they are introduced. Four farming systems are relevant to this project. Reflecting field experience, the two systems that depend most directly on supplementary irrigation — open-field smallholder vegetable plots and climate-stressed dryland plots — are treated together as a single open-field irrigated vegetable system, because in practice both require the same core solution (efficient, pressure-based drip irrigation) and both benefit from the same complementary measures (perimeter fencing and shelterbelts). The distinction between them is one of degree — water scarcity is more acute in the dryland (Dundgovi) case — rather than of kind. This consolidation also clarifies the sizing question that recurred during the missions: open-field vegetable plots in the target range are most realistically supported at between roughly 500 m² and 1 ha, where a fenced, drip-irrigated plot is large enough to be commercially meaningful yet small enough to be managed by a family unit and protected by a shelterbelt or perimeter fence.</w:t>
      </w:r>
    </w:p>
    <w:p w14:paraId="1630560A" w14:textId="77777777" w:rsidR="00D85766" w:rsidRDefault="00D85766" w:rsidP="00EB489E"/>
    <w:p w14:paraId="4B2EEB3B" w14:textId="2D5E5003" w:rsidR="001852F2" w:rsidRDefault="001852F2" w:rsidP="00EB489E">
      <w:r>
        <w:t>Protected cultivation forms the second system. Greenhouses in the project context are most realistically sized from about 50 m² as a small-scale household unit up to about 300 m² for a passive-solar structure — either earth-walled designs or newer cold-resistant variants — with both worth piloting and validating side by side. The third system, mixed crop–livestock production, remains the dominant rural livelihood model, in which vegetables compete with livestock for labour and capital and typically play a secondary, food-security role. The fourth, an emerging diversified and commercial horticulture system, is represented by the entrepreneurial producers documented in both provinces — seedling specialists, hydroponic operators, orchard and berry growers, and multi-structure greenhouse farms — who, although fewer in number, demonstrate the upper end of what is achievable and serve as demonstration and supply hubs. Table 16 maps each system to its constraints, indicative sizing and best-fit technologies.</w:t>
      </w:r>
    </w:p>
    <w:p w14:paraId="50AD2BCD" w14:textId="77777777" w:rsidR="00D85766" w:rsidRDefault="00D85766" w:rsidP="00EB489E"/>
    <w:p w14:paraId="620325DA" w14:textId="2D538D97" w:rsidR="001852F2" w:rsidRDefault="001852F2" w:rsidP="00D85766">
      <w:pPr>
        <w:pStyle w:val="Caption"/>
        <w:framePr w:wrap="notBeside"/>
      </w:pPr>
      <w:r>
        <w:t>Table 16. Typology of smallholder farming systems: constraints, indicative sizing and suitable technologies</w:t>
      </w:r>
    </w:p>
    <w:tbl>
      <w:tblPr>
        <w:tblW w:w="9634" w:type="dxa"/>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2050"/>
        <w:gridCol w:w="2200"/>
        <w:gridCol w:w="1622"/>
        <w:gridCol w:w="3762"/>
      </w:tblGrid>
      <w:tr w:rsidR="001852F2" w14:paraId="22C4B2DE" w14:textId="77777777" w:rsidTr="00ED71A8">
        <w:trPr>
          <w:tblHeader/>
        </w:trPr>
        <w:tc>
          <w:tcPr>
            <w:tcW w:w="2050" w:type="dxa"/>
            <w:shd w:val="clear" w:color="auto" w:fill="E99E6D" w:themeFill="accent3"/>
            <w:tcMar>
              <w:top w:w="60" w:type="dxa"/>
              <w:left w:w="100" w:type="dxa"/>
              <w:bottom w:w="60" w:type="dxa"/>
              <w:right w:w="100" w:type="dxa"/>
            </w:tcMar>
            <w:vAlign w:val="center"/>
          </w:tcPr>
          <w:p w14:paraId="2DCFF9DB" w14:textId="77777777" w:rsidR="001852F2" w:rsidRDefault="001852F2" w:rsidP="00ED71A8">
            <w:pPr>
              <w:pStyle w:val="OikoTables02"/>
            </w:pPr>
            <w:r>
              <w:t>Farming system</w:t>
            </w:r>
          </w:p>
        </w:tc>
        <w:tc>
          <w:tcPr>
            <w:tcW w:w="2200" w:type="dxa"/>
            <w:shd w:val="clear" w:color="auto" w:fill="E99E6D" w:themeFill="accent3"/>
            <w:tcMar>
              <w:top w:w="60" w:type="dxa"/>
              <w:left w:w="100" w:type="dxa"/>
              <w:bottom w:w="60" w:type="dxa"/>
              <w:right w:w="100" w:type="dxa"/>
            </w:tcMar>
            <w:vAlign w:val="center"/>
          </w:tcPr>
          <w:p w14:paraId="1EB12259" w14:textId="77777777" w:rsidR="001852F2" w:rsidRDefault="001852F2" w:rsidP="00ED71A8">
            <w:pPr>
              <w:pStyle w:val="OikoTables02"/>
            </w:pPr>
            <w:r>
              <w:t>Key constraints</w:t>
            </w:r>
          </w:p>
        </w:tc>
        <w:tc>
          <w:tcPr>
            <w:tcW w:w="1622" w:type="dxa"/>
            <w:shd w:val="clear" w:color="auto" w:fill="E99E6D" w:themeFill="accent3"/>
            <w:tcMar>
              <w:top w:w="60" w:type="dxa"/>
              <w:left w:w="100" w:type="dxa"/>
              <w:bottom w:w="60" w:type="dxa"/>
              <w:right w:w="100" w:type="dxa"/>
            </w:tcMar>
            <w:vAlign w:val="center"/>
          </w:tcPr>
          <w:p w14:paraId="0C7F775E" w14:textId="77777777" w:rsidR="001852F2" w:rsidRDefault="001852F2" w:rsidP="00ED71A8">
            <w:pPr>
              <w:pStyle w:val="OikoTables02"/>
            </w:pPr>
            <w:r>
              <w:t>Indicative sizing</w:t>
            </w:r>
          </w:p>
        </w:tc>
        <w:tc>
          <w:tcPr>
            <w:tcW w:w="3762" w:type="dxa"/>
            <w:shd w:val="clear" w:color="auto" w:fill="E99E6D" w:themeFill="accent3"/>
            <w:tcMar>
              <w:top w:w="60" w:type="dxa"/>
              <w:left w:w="100" w:type="dxa"/>
              <w:bottom w:w="60" w:type="dxa"/>
              <w:right w:w="100" w:type="dxa"/>
            </w:tcMar>
            <w:vAlign w:val="center"/>
          </w:tcPr>
          <w:p w14:paraId="11130C1F" w14:textId="77777777" w:rsidR="001852F2" w:rsidRDefault="001852F2" w:rsidP="00ED71A8">
            <w:pPr>
              <w:pStyle w:val="OikoTables02"/>
            </w:pPr>
            <w:r>
              <w:t>Suitable technologies &amp; objective</w:t>
            </w:r>
          </w:p>
        </w:tc>
      </w:tr>
      <w:tr w:rsidR="001852F2" w14:paraId="45AB8B51" w14:textId="77777777" w:rsidTr="00ED71A8">
        <w:tc>
          <w:tcPr>
            <w:tcW w:w="2050" w:type="dxa"/>
            <w:tcMar>
              <w:top w:w="60" w:type="dxa"/>
              <w:left w:w="100" w:type="dxa"/>
              <w:bottom w:w="60" w:type="dxa"/>
              <w:right w:w="100" w:type="dxa"/>
            </w:tcMar>
            <w:vAlign w:val="center"/>
          </w:tcPr>
          <w:p w14:paraId="6F0EAB90" w14:textId="77777777" w:rsidR="001852F2" w:rsidRPr="00ED71A8" w:rsidRDefault="001852F2" w:rsidP="00ED71A8">
            <w:pPr>
              <w:pStyle w:val="OikoTables03Content"/>
            </w:pPr>
            <w:r w:rsidRPr="00ED71A8">
              <w:t>Open-field irrigated vegetable systems (incl. climate-stressed dryland plots)</w:t>
            </w:r>
          </w:p>
        </w:tc>
        <w:tc>
          <w:tcPr>
            <w:tcW w:w="2200" w:type="dxa"/>
            <w:tcMar>
              <w:top w:w="60" w:type="dxa"/>
              <w:left w:w="100" w:type="dxa"/>
              <w:bottom w:w="60" w:type="dxa"/>
              <w:right w:w="100" w:type="dxa"/>
            </w:tcMar>
            <w:vAlign w:val="center"/>
          </w:tcPr>
          <w:p w14:paraId="20D8A701" w14:textId="77777777" w:rsidR="001852F2" w:rsidRPr="00ED71A8" w:rsidRDefault="001852F2" w:rsidP="00ED71A8">
            <w:pPr>
              <w:pStyle w:val="OikoTables03Content"/>
            </w:pPr>
            <w:r w:rsidRPr="00ED71A8">
              <w:t>Inefficient water use; drought and wind exposure; soil erosion; salinity locally</w:t>
            </w:r>
          </w:p>
        </w:tc>
        <w:tc>
          <w:tcPr>
            <w:tcW w:w="1622" w:type="dxa"/>
            <w:tcMar>
              <w:top w:w="60" w:type="dxa"/>
              <w:left w:w="100" w:type="dxa"/>
              <w:bottom w:w="60" w:type="dxa"/>
              <w:right w:w="100" w:type="dxa"/>
            </w:tcMar>
            <w:vAlign w:val="center"/>
          </w:tcPr>
          <w:p w14:paraId="328B9639" w14:textId="77777777" w:rsidR="001852F2" w:rsidRPr="00ED71A8" w:rsidRDefault="001852F2" w:rsidP="00ED71A8">
            <w:pPr>
              <w:pStyle w:val="OikoTables03Content"/>
            </w:pPr>
            <w:r w:rsidRPr="00ED71A8">
              <w:t>Plots ~500 m² – 1 ha; fenced</w:t>
            </w:r>
          </w:p>
        </w:tc>
        <w:tc>
          <w:tcPr>
            <w:tcW w:w="3762" w:type="dxa"/>
            <w:tcMar>
              <w:top w:w="60" w:type="dxa"/>
              <w:left w:w="100" w:type="dxa"/>
              <w:bottom w:w="60" w:type="dxa"/>
              <w:right w:w="100" w:type="dxa"/>
            </w:tcMar>
            <w:vAlign w:val="center"/>
          </w:tcPr>
          <w:p w14:paraId="300EDFC6" w14:textId="77777777" w:rsidR="001852F2" w:rsidRPr="00ED71A8" w:rsidRDefault="001852F2" w:rsidP="00ED71A8">
            <w:pPr>
              <w:pStyle w:val="OikoTables03Content"/>
            </w:pPr>
            <w:r w:rsidRPr="00ED71A8">
              <w:t>Solar-powered drip irrigation; perimeter fencing and shelterbelts (agroforestry); improved seed and fertigation. Objective: water efficiency, wind protection and higher, more stable yields</w:t>
            </w:r>
          </w:p>
        </w:tc>
      </w:tr>
      <w:tr w:rsidR="001852F2" w14:paraId="6E152233" w14:textId="77777777" w:rsidTr="00ED71A8">
        <w:tc>
          <w:tcPr>
            <w:tcW w:w="2050" w:type="dxa"/>
            <w:tcMar>
              <w:top w:w="60" w:type="dxa"/>
              <w:left w:w="100" w:type="dxa"/>
              <w:bottom w:w="60" w:type="dxa"/>
              <w:right w:w="100" w:type="dxa"/>
            </w:tcMar>
            <w:vAlign w:val="center"/>
          </w:tcPr>
          <w:p w14:paraId="610C7AD7" w14:textId="77777777" w:rsidR="001852F2" w:rsidRPr="00ED71A8" w:rsidRDefault="001852F2" w:rsidP="00ED71A8">
            <w:pPr>
              <w:pStyle w:val="OikoTables03Content"/>
            </w:pPr>
            <w:r w:rsidRPr="00ED71A8">
              <w:t>Protected cultivation (greenhouse) systems</w:t>
            </w:r>
          </w:p>
        </w:tc>
        <w:tc>
          <w:tcPr>
            <w:tcW w:w="2200" w:type="dxa"/>
            <w:tcMar>
              <w:top w:w="60" w:type="dxa"/>
              <w:left w:w="100" w:type="dxa"/>
              <w:bottom w:w="60" w:type="dxa"/>
              <w:right w:w="100" w:type="dxa"/>
            </w:tcMar>
            <w:vAlign w:val="center"/>
          </w:tcPr>
          <w:p w14:paraId="36D170D5" w14:textId="77777777" w:rsidR="001852F2" w:rsidRPr="00ED71A8" w:rsidRDefault="001852F2" w:rsidP="00ED71A8">
            <w:pPr>
              <w:pStyle w:val="OikoTables03Content"/>
            </w:pPr>
            <w:r w:rsidRPr="00ED71A8">
              <w:t>Short season; temperature extremes; high capital cost; wind/snow loads</w:t>
            </w:r>
          </w:p>
        </w:tc>
        <w:tc>
          <w:tcPr>
            <w:tcW w:w="1622" w:type="dxa"/>
            <w:tcMar>
              <w:top w:w="60" w:type="dxa"/>
              <w:left w:w="100" w:type="dxa"/>
              <w:bottom w:w="60" w:type="dxa"/>
              <w:right w:w="100" w:type="dxa"/>
            </w:tcMar>
            <w:vAlign w:val="center"/>
          </w:tcPr>
          <w:p w14:paraId="1BE27658" w14:textId="77777777" w:rsidR="001852F2" w:rsidRPr="00ED71A8" w:rsidRDefault="001852F2" w:rsidP="00ED71A8">
            <w:pPr>
              <w:pStyle w:val="OikoTables03Content"/>
            </w:pPr>
            <w:r w:rsidRPr="00ED71A8">
              <w:t>Greenhouses ~50 m² (small) – 300 m² (passive-solar)</w:t>
            </w:r>
          </w:p>
        </w:tc>
        <w:tc>
          <w:tcPr>
            <w:tcW w:w="3762" w:type="dxa"/>
            <w:tcMar>
              <w:top w:w="60" w:type="dxa"/>
              <w:left w:w="100" w:type="dxa"/>
              <w:bottom w:w="60" w:type="dxa"/>
              <w:right w:w="100" w:type="dxa"/>
            </w:tcMar>
            <w:vAlign w:val="center"/>
          </w:tcPr>
          <w:p w14:paraId="59E2D513" w14:textId="77777777" w:rsidR="001852F2" w:rsidRPr="00ED71A8" w:rsidRDefault="001852F2" w:rsidP="00ED71A8">
            <w:pPr>
              <w:pStyle w:val="OikoTables03Content"/>
            </w:pPr>
            <w:r w:rsidRPr="00ED71A8">
              <w:t xml:space="preserve">Passive-solar greenhouses (earth-wall and cold-resistant types) with drip; low tunnels and film for season extension; seedling raising. Objective: extend season, raise value, </w:t>
            </w:r>
            <w:proofErr w:type="spellStart"/>
            <w:r w:rsidRPr="00ED71A8">
              <w:t>stabilise</w:t>
            </w:r>
            <w:proofErr w:type="spellEnd"/>
            <w:r w:rsidRPr="00ED71A8">
              <w:t xml:space="preserve"> supply</w:t>
            </w:r>
          </w:p>
        </w:tc>
      </w:tr>
      <w:tr w:rsidR="001852F2" w14:paraId="02E7850E" w14:textId="77777777" w:rsidTr="00ED71A8">
        <w:tc>
          <w:tcPr>
            <w:tcW w:w="2050" w:type="dxa"/>
            <w:tcMar>
              <w:top w:w="60" w:type="dxa"/>
              <w:left w:w="100" w:type="dxa"/>
              <w:bottom w:w="60" w:type="dxa"/>
              <w:right w:w="100" w:type="dxa"/>
            </w:tcMar>
            <w:vAlign w:val="center"/>
          </w:tcPr>
          <w:p w14:paraId="3BCDF8BC" w14:textId="77777777" w:rsidR="001852F2" w:rsidRPr="00ED71A8" w:rsidRDefault="001852F2" w:rsidP="00ED71A8">
            <w:pPr>
              <w:pStyle w:val="OikoTables03Content"/>
            </w:pPr>
            <w:r w:rsidRPr="00ED71A8">
              <w:t>Mixed crop–livestock systems</w:t>
            </w:r>
          </w:p>
        </w:tc>
        <w:tc>
          <w:tcPr>
            <w:tcW w:w="2200" w:type="dxa"/>
            <w:tcMar>
              <w:top w:w="60" w:type="dxa"/>
              <w:left w:w="100" w:type="dxa"/>
              <w:bottom w:w="60" w:type="dxa"/>
              <w:right w:w="100" w:type="dxa"/>
            </w:tcMar>
            <w:vAlign w:val="center"/>
          </w:tcPr>
          <w:p w14:paraId="67CC2806" w14:textId="77777777" w:rsidR="001852F2" w:rsidRPr="00ED71A8" w:rsidRDefault="001852F2" w:rsidP="00ED71A8">
            <w:pPr>
              <w:pStyle w:val="OikoTables03Content"/>
            </w:pPr>
            <w:r w:rsidRPr="00ED71A8">
              <w:t xml:space="preserve">Competing </w:t>
            </w:r>
            <w:proofErr w:type="spellStart"/>
            <w:r w:rsidRPr="00ED71A8">
              <w:t>labour</w:t>
            </w:r>
            <w:proofErr w:type="spellEnd"/>
            <w:r w:rsidRPr="00ED71A8">
              <w:t xml:space="preserve"> and capital; vegetables secondary; low priority</w:t>
            </w:r>
          </w:p>
        </w:tc>
        <w:tc>
          <w:tcPr>
            <w:tcW w:w="1622" w:type="dxa"/>
            <w:tcMar>
              <w:top w:w="60" w:type="dxa"/>
              <w:left w:w="100" w:type="dxa"/>
              <w:bottom w:w="60" w:type="dxa"/>
              <w:right w:w="100" w:type="dxa"/>
            </w:tcMar>
            <w:vAlign w:val="center"/>
          </w:tcPr>
          <w:p w14:paraId="1E286551" w14:textId="77777777" w:rsidR="001852F2" w:rsidRPr="00ED71A8" w:rsidRDefault="001852F2" w:rsidP="00ED71A8">
            <w:pPr>
              <w:pStyle w:val="OikoTables03Content"/>
            </w:pPr>
            <w:r w:rsidRPr="00ED71A8">
              <w:t>Household garden plots; small structures</w:t>
            </w:r>
          </w:p>
        </w:tc>
        <w:tc>
          <w:tcPr>
            <w:tcW w:w="3762" w:type="dxa"/>
            <w:tcMar>
              <w:top w:w="60" w:type="dxa"/>
              <w:left w:w="100" w:type="dxa"/>
              <w:bottom w:w="60" w:type="dxa"/>
              <w:right w:w="100" w:type="dxa"/>
            </w:tcMar>
            <w:vAlign w:val="center"/>
          </w:tcPr>
          <w:p w14:paraId="0EC3A6ED" w14:textId="77777777" w:rsidR="001852F2" w:rsidRPr="00ED71A8" w:rsidRDefault="001852F2" w:rsidP="00ED71A8">
            <w:pPr>
              <w:pStyle w:val="OikoTables03Content"/>
            </w:pPr>
            <w:r w:rsidRPr="00ED71A8">
              <w:t>Integrated small-scale irrigation and greenhouses; fodder systems. Objective: diversify income and build resilience</w:t>
            </w:r>
          </w:p>
        </w:tc>
      </w:tr>
      <w:tr w:rsidR="001852F2" w14:paraId="669148EE" w14:textId="77777777" w:rsidTr="00ED71A8">
        <w:tc>
          <w:tcPr>
            <w:tcW w:w="2050" w:type="dxa"/>
            <w:tcMar>
              <w:top w:w="60" w:type="dxa"/>
              <w:left w:w="100" w:type="dxa"/>
              <w:bottom w:w="60" w:type="dxa"/>
              <w:right w:w="100" w:type="dxa"/>
            </w:tcMar>
            <w:vAlign w:val="center"/>
          </w:tcPr>
          <w:p w14:paraId="06E80AFC" w14:textId="77777777" w:rsidR="001852F2" w:rsidRPr="00ED71A8" w:rsidRDefault="001852F2" w:rsidP="00ED71A8">
            <w:pPr>
              <w:pStyle w:val="OikoTables03Content"/>
            </w:pPr>
            <w:r w:rsidRPr="00ED71A8">
              <w:t>Emerging diversified / commercial horticulture</w:t>
            </w:r>
          </w:p>
        </w:tc>
        <w:tc>
          <w:tcPr>
            <w:tcW w:w="2200" w:type="dxa"/>
            <w:tcMar>
              <w:top w:w="60" w:type="dxa"/>
              <w:left w:w="100" w:type="dxa"/>
              <w:bottom w:w="60" w:type="dxa"/>
              <w:right w:w="100" w:type="dxa"/>
            </w:tcMar>
            <w:vAlign w:val="center"/>
          </w:tcPr>
          <w:p w14:paraId="0EFA0F10" w14:textId="77777777" w:rsidR="001852F2" w:rsidRPr="00ED71A8" w:rsidRDefault="001852F2" w:rsidP="00ED71A8">
            <w:pPr>
              <w:pStyle w:val="OikoTables03Content"/>
            </w:pPr>
            <w:r w:rsidRPr="00ED71A8">
              <w:t>Capital intensity; technical and maintenance demands; market risk</w:t>
            </w:r>
          </w:p>
        </w:tc>
        <w:tc>
          <w:tcPr>
            <w:tcW w:w="1622" w:type="dxa"/>
            <w:tcMar>
              <w:top w:w="60" w:type="dxa"/>
              <w:left w:w="100" w:type="dxa"/>
              <w:bottom w:w="60" w:type="dxa"/>
              <w:right w:w="100" w:type="dxa"/>
            </w:tcMar>
            <w:vAlign w:val="center"/>
          </w:tcPr>
          <w:p w14:paraId="2A20950C" w14:textId="77777777" w:rsidR="001852F2" w:rsidRPr="00ED71A8" w:rsidRDefault="001852F2" w:rsidP="00ED71A8">
            <w:pPr>
              <w:pStyle w:val="OikoTables03Content"/>
            </w:pPr>
            <w:r w:rsidRPr="00ED71A8">
              <w:t>Multiple structures; orchards 1–2 ha</w:t>
            </w:r>
          </w:p>
        </w:tc>
        <w:tc>
          <w:tcPr>
            <w:tcW w:w="3762" w:type="dxa"/>
            <w:tcMar>
              <w:top w:w="60" w:type="dxa"/>
              <w:left w:w="100" w:type="dxa"/>
              <w:bottom w:w="60" w:type="dxa"/>
              <w:right w:w="100" w:type="dxa"/>
            </w:tcMar>
            <w:vAlign w:val="center"/>
          </w:tcPr>
          <w:p w14:paraId="3F02B973" w14:textId="77777777" w:rsidR="001852F2" w:rsidRPr="00ED71A8" w:rsidRDefault="001852F2" w:rsidP="00ED71A8">
            <w:pPr>
              <w:pStyle w:val="OikoTables03Content"/>
            </w:pPr>
            <w:r w:rsidRPr="00ED71A8">
              <w:t>Double-film/polycarbonate greenhouses; hydroponics; orchards and berry shrubs; nurseries. Objective: demonstration, value-chain leadership and local input supply</w:t>
            </w:r>
          </w:p>
        </w:tc>
      </w:tr>
    </w:tbl>
    <w:p w14:paraId="6EA7B404" w14:textId="415FB714" w:rsidR="001852F2" w:rsidRDefault="001852F2" w:rsidP="00D16E24">
      <w:pPr>
        <w:spacing w:before="30" w:after="120" w:line="240" w:lineRule="auto"/>
        <w:contextualSpacing w:val="0"/>
      </w:pPr>
      <w:r>
        <w:rPr>
          <w:rFonts w:eastAsia="Times New Roman" w:cs="Times New Roman"/>
          <w:i/>
          <w:iCs/>
          <w:sz w:val="18"/>
          <w:szCs w:val="18"/>
        </w:rPr>
        <w:t xml:space="preserve">Source: Authors' synthesis based on CTCN field </w:t>
      </w:r>
      <w:proofErr w:type="gramStart"/>
      <w:r>
        <w:rPr>
          <w:rFonts w:eastAsia="Times New Roman" w:cs="Times New Roman"/>
          <w:i/>
          <w:iCs/>
          <w:sz w:val="18"/>
          <w:szCs w:val="18"/>
        </w:rPr>
        <w:t>missions</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w:t>
      </w:r>
      <w:r>
        <w:rPr>
          <w:rFonts w:eastAsia="Times New Roman" w:cs="Times New Roman"/>
          <w:i/>
          <w:iCs/>
          <w:sz w:val="18"/>
          <w:szCs w:val="18"/>
        </w:rPr>
        <w:t xml:space="preserve"> and provincial data. Sizing guidance reflects field-verified, family-manageable units and feeds the reference units used in the CBA.</w:t>
      </w:r>
    </w:p>
    <w:p w14:paraId="32B1EA53" w14:textId="1CF1E7C1" w:rsidR="001852F2" w:rsidRDefault="001852F2" w:rsidP="00016E8C">
      <w:pPr>
        <w:pStyle w:val="Heading2"/>
        <w:spacing w:before="360" w:line="240" w:lineRule="auto"/>
        <w:contextualSpacing w:val="0"/>
      </w:pPr>
      <w:bookmarkStart w:id="81" w:name="_Toc233981291"/>
      <w:r>
        <w:lastRenderedPageBreak/>
        <w:t>Land and water tenure and shared infrastructure</w:t>
      </w:r>
      <w:bookmarkEnd w:id="81"/>
    </w:p>
    <w:p w14:paraId="6E774924" w14:textId="77777777" w:rsidR="001852F2" w:rsidRDefault="001852F2" w:rsidP="00EB489E">
      <w:r>
        <w:t>Two ownership questions must be settled before any capital-intensive technology can be recommended, because they determine who can lawfully invest in a fixed asset on a given plot and who can operate a shared water point. The first concerns land; the second concerns water and the pumping infrastructure — including solar pumps — that draws on it. Both are decisive for whether solar-powered irrigation, greenhouses and shelterbelts can be financed and sustained, and both were raised directly during project review.</w:t>
      </w:r>
    </w:p>
    <w:p w14:paraId="713DE5DB" w14:textId="1F08E868" w:rsidR="001852F2" w:rsidRDefault="001852F2" w:rsidP="00016E8C">
      <w:pPr>
        <w:pStyle w:val="Heading3"/>
        <w:spacing w:before="240" w:line="240" w:lineRule="auto"/>
        <w:contextualSpacing w:val="0"/>
      </w:pPr>
      <w:bookmarkStart w:id="82" w:name="_Toc233981292"/>
      <w:r>
        <w:t>Land tenure: ownership, possession and use</w:t>
      </w:r>
      <w:bookmarkEnd w:id="82"/>
    </w:p>
    <w:p w14:paraId="6EA80575" w14:textId="1560B1DA" w:rsidR="001852F2" w:rsidRDefault="001852F2" w:rsidP="00EB489E">
      <w:r>
        <w:t>Under the Constitution and the Law on Land, land in Mongolia is the property of the State, except for limited plots that may be owned by Mongolian citizens — in practice residential and household plots, capped in soum centres at about 0.5 ha per household.</w:t>
      </w:r>
      <w:r>
        <w:rPr>
          <w:rStyle w:val="FootnoteReference"/>
        </w:rPr>
        <w:footnoteReference w:id="5"/>
      </w:r>
      <w:r>
        <w:t xml:space="preserve"> Agricultural cropland is therefore almost never owned outright; instead it is held under land possession rights, granted for terms of 15 to 60 years and renewable, by a certificate issued by the Soum or District Governor, typically allocated through a tender or administrative decision.</w:t>
      </w:r>
      <w:r>
        <w:rPr>
          <w:vertAlign w:val="superscript"/>
        </w:rPr>
        <w:t>[50]</w:t>
      </w:r>
      <w:r>
        <w:t xml:space="preserve"> A separate, weaker category of land use rights allows shorter-term or secondary access, including by legal entities and for specific purposes. Registration, mapping and monitoring of these rights are administered through the national e-land platform (egazar.gov.mn), which records parcel boundaries, holders and the type and term of right.</w:t>
      </w:r>
    </w:p>
    <w:p w14:paraId="198B4F14" w14:textId="77777777" w:rsidR="00D85766" w:rsidRDefault="00D85766" w:rsidP="00EB489E"/>
    <w:p w14:paraId="3EE63FEE" w14:textId="2CAA3A4C" w:rsidR="001852F2" w:rsidRDefault="001852F2" w:rsidP="00EB489E">
      <w:r>
        <w:t>The practical implications for the project are significant. A farmer with a long-term, registered possession certificate has the secure tenure needed to justify a fixed investment such as a greenhouse, a borehole or a shelterbelt, and to pledge associated assets when seeking finance — possession can be inherited and, within limits, transferred, which gives it real collateral-like value even though the land itself remains State property. Conversely, where a household holds only a short use right, or occupies a plot informally, the same investment is far riskier and harder to finance. Secure, documented possession should therefore be treated as a basic targeting criterion (Section 5.7), and project support for technologies with long asset lives should be directed first to beneficiaries whose tenure horizon matches or exceeds the payback period of the technology. Tenure is parcel-specific and verifiable on egazar.gov.mn.</w:t>
      </w:r>
    </w:p>
    <w:p w14:paraId="222F72FE" w14:textId="33C8A111" w:rsidR="001852F2" w:rsidRDefault="001852F2" w:rsidP="00016E8C">
      <w:pPr>
        <w:pStyle w:val="Heading3"/>
        <w:spacing w:before="240" w:line="240" w:lineRule="auto"/>
        <w:contextualSpacing w:val="0"/>
      </w:pPr>
      <w:bookmarkStart w:id="83" w:name="_Toc233981293"/>
      <w:r>
        <w:t>Water access and the limits of pumping</w:t>
      </w:r>
      <w:bookmarkEnd w:id="83"/>
    </w:p>
    <w:p w14:paraId="115B3279" w14:textId="3C16C9ED" w:rsidR="001852F2" w:rsidRDefault="001852F2" w:rsidP="00EB489E">
      <w:r>
        <w:t xml:space="preserve">Across both provinces, groundwater is the principal source of irrigation water, supplemented by rivers, springs and channels in a few better-endowed soums. The field missions documented greenhouse and irrigation wells of roughly 80–150 m depth in the central steppe zone of Uvurkhangai, and shallower boreholes of about 50–60 m at the Dundgovi provincial </w:t>
      </w:r>
      <w:proofErr w:type="gramStart"/>
      <w:r>
        <w:t>nursery.</w:t>
      </w:r>
      <w:r>
        <w:rPr>
          <w:vertAlign w:val="superscript"/>
        </w:rPr>
        <w:t>[</w:t>
      </w:r>
      <w:proofErr w:type="gramEnd"/>
      <w:r>
        <w:rPr>
          <w:vertAlign w:val="superscript"/>
        </w:rPr>
        <w:t>45, 46]</w:t>
      </w:r>
      <w:r>
        <w:t xml:space="preserve"> Irrigation practice is mixed and largely inefficient: hand watering still dominates open-field plots, only around 10% of producers use sprinklers, and drip irrigation — although standard inside greenhouses — is not yet widespread in the open field. Pumping is mostly powered by diesel or grid electricity, frequently on old or rented equipment of inadequate capacity, and no operating solar-powered pumping was observed during the missions, although provincial officials expressed strong interest in it for off-grid sites.</w:t>
      </w:r>
      <w:r>
        <w:rPr>
          <w:sz w:val="18"/>
          <w:szCs w:val="18"/>
          <w:vertAlign w:val="superscript"/>
        </w:rPr>
        <w:t>[46]</w:t>
      </w:r>
      <w:r>
        <w:t xml:space="preserve"> These conditions define both the opportunity and the binding constraints for solar-powered irrigation: deep boreholes in the steppe imply submersible DC pumps with storage and a realistic planning assumption of roughly seven to eight effective solar-pumping hours per day, whereas shallower wells permit simpler direct-pumping configurations.</w:t>
      </w:r>
    </w:p>
    <w:p w14:paraId="49694C8F" w14:textId="77777777" w:rsidR="009E1B3A" w:rsidRDefault="009E1B3A" w:rsidP="00EB489E"/>
    <w:p w14:paraId="72AC0846" w14:textId="2FEA4517" w:rsidR="001852F2" w:rsidRDefault="001852F2" w:rsidP="00EB489E">
      <w:r>
        <w:t>Water tenure differs fundamentally from land tenure and is central to how solar pumps can be shared. Under the Law on Land and the Water Law, water resources are State property, and wells and water points constructed on pastureland are treated as common-tenure resources available to herders and households of the locality rather than the exclusive property of a single user, while abstraction is regulated through use permits, fees and river-basin authorities (for example the Orkhon basin authority in Uvurkhangai).</w:t>
      </w:r>
      <w:r>
        <w:rPr>
          <w:vertAlign w:val="superscript"/>
        </w:rPr>
        <w:t>[50]</w:t>
      </w:r>
      <w:r>
        <w:t xml:space="preserve"> A borehole and pump installed on an individual's possessed cropland can reasonably be operated by that household alone; but a water point intended to serve several producers, or located on common land, requires a collective arrangement for ownership, operation, maintenance and cost-sharing. There is at present no dedicated national standard for solar irrigation systems — only the Renewable Energy Law, the Water Law and general MNS/IEC equipment standards apply — so operating and maintenance responsibilities for shared solar pumps must be defined contractually at project level.</w:t>
      </w:r>
      <w:r>
        <w:rPr>
          <w:vertAlign w:val="superscript"/>
        </w:rPr>
        <w:t>[46]</w:t>
      </w:r>
    </w:p>
    <w:p w14:paraId="4CC647BC" w14:textId="13DFBCAD" w:rsidR="001852F2" w:rsidRDefault="001852F2" w:rsidP="00016E8C">
      <w:pPr>
        <w:pStyle w:val="Heading3"/>
        <w:spacing w:before="240" w:line="240" w:lineRule="auto"/>
        <w:contextualSpacing w:val="0"/>
      </w:pPr>
      <w:bookmarkStart w:id="84" w:name="_Toc233981294"/>
      <w:r>
        <w:lastRenderedPageBreak/>
        <w:t>Ownership and management models for solar pumps and shared assets</w:t>
      </w:r>
      <w:bookmarkEnd w:id="84"/>
    </w:p>
    <w:p w14:paraId="6DBADD1F" w14:textId="2B9FF269" w:rsidR="001852F2" w:rsidRDefault="001852F2" w:rsidP="00EB489E">
      <w:r>
        <w:t>Resolving the question “how can we make use of the solar pump — water-user association, cooperative, or individual?” requires matching the ownership model to the tenure situation and the number of users served. Three models are appropriate to the project context, and the choice among them follows directly from land and water tenure rather than from preference. Table 17 sets out the three models, the tenure basis for each, the situations they best fit and their principal conditions and risks. The field evidence counsels caution about the most communal end of the spectrum: a government-owned communal “</w:t>
      </w:r>
      <w:proofErr w:type="spellStart"/>
      <w:r>
        <w:t>Agro</w:t>
      </w:r>
      <w:proofErr w:type="spellEnd"/>
      <w:r>
        <w:t xml:space="preserve"> Park” in Dundgovi, intended for shared use, was found largely abandoned, underlining that communal models succeed only where operation, maintenance and cost recovery are clearly assigned and genuinely owned by the users.</w:t>
      </w:r>
    </w:p>
    <w:p w14:paraId="249ACF68" w14:textId="77777777" w:rsidR="009E1B3A" w:rsidRDefault="009E1B3A" w:rsidP="00EB489E"/>
    <w:p w14:paraId="34C1E8B2" w14:textId="19E2D3B9" w:rsidR="001852F2" w:rsidRDefault="001852F2" w:rsidP="009E1B3A">
      <w:pPr>
        <w:pStyle w:val="Caption"/>
        <w:framePr w:wrap="notBeside"/>
      </w:pPr>
      <w:r>
        <w:t>Table 17. Ownership and management models for solar-powered pumps and shared irrigation infrastructure</w:t>
      </w:r>
    </w:p>
    <w:tbl>
      <w:tblPr>
        <w:tblW w:w="9493" w:type="dxa"/>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1850"/>
        <w:gridCol w:w="2150"/>
        <w:gridCol w:w="2372"/>
        <w:gridCol w:w="3121"/>
      </w:tblGrid>
      <w:tr w:rsidR="001852F2" w14:paraId="3266C31E" w14:textId="77777777" w:rsidTr="00ED71A8">
        <w:trPr>
          <w:tblHeader/>
        </w:trPr>
        <w:tc>
          <w:tcPr>
            <w:tcW w:w="1850" w:type="dxa"/>
            <w:shd w:val="clear" w:color="auto" w:fill="E99E6D" w:themeFill="accent3"/>
            <w:tcMar>
              <w:top w:w="60" w:type="dxa"/>
              <w:left w:w="100" w:type="dxa"/>
              <w:bottom w:w="60" w:type="dxa"/>
              <w:right w:w="100" w:type="dxa"/>
            </w:tcMar>
            <w:vAlign w:val="center"/>
          </w:tcPr>
          <w:p w14:paraId="0E08C703" w14:textId="77777777" w:rsidR="001852F2" w:rsidRDefault="001852F2" w:rsidP="00ED71A8">
            <w:pPr>
              <w:pStyle w:val="OikoTables02"/>
            </w:pPr>
            <w:r>
              <w:t>Model</w:t>
            </w:r>
          </w:p>
        </w:tc>
        <w:tc>
          <w:tcPr>
            <w:tcW w:w="2150" w:type="dxa"/>
            <w:shd w:val="clear" w:color="auto" w:fill="E99E6D" w:themeFill="accent3"/>
            <w:tcMar>
              <w:top w:w="60" w:type="dxa"/>
              <w:left w:w="100" w:type="dxa"/>
              <w:bottom w:w="60" w:type="dxa"/>
              <w:right w:w="100" w:type="dxa"/>
            </w:tcMar>
            <w:vAlign w:val="center"/>
          </w:tcPr>
          <w:p w14:paraId="01C78979" w14:textId="77777777" w:rsidR="001852F2" w:rsidRDefault="001852F2" w:rsidP="00ED71A8">
            <w:pPr>
              <w:pStyle w:val="OikoTables02"/>
            </w:pPr>
            <w:r>
              <w:t>Tenure basis</w:t>
            </w:r>
          </w:p>
        </w:tc>
        <w:tc>
          <w:tcPr>
            <w:tcW w:w="2372" w:type="dxa"/>
            <w:shd w:val="clear" w:color="auto" w:fill="E99E6D" w:themeFill="accent3"/>
            <w:tcMar>
              <w:top w:w="60" w:type="dxa"/>
              <w:left w:w="100" w:type="dxa"/>
              <w:bottom w:w="60" w:type="dxa"/>
              <w:right w:w="100" w:type="dxa"/>
            </w:tcMar>
            <w:vAlign w:val="center"/>
          </w:tcPr>
          <w:p w14:paraId="5EF19017" w14:textId="77777777" w:rsidR="001852F2" w:rsidRDefault="001852F2" w:rsidP="00ED71A8">
            <w:pPr>
              <w:pStyle w:val="OikoTables02"/>
            </w:pPr>
            <w:r>
              <w:t>Best-fit situation</w:t>
            </w:r>
          </w:p>
        </w:tc>
        <w:tc>
          <w:tcPr>
            <w:tcW w:w="3121" w:type="dxa"/>
            <w:shd w:val="clear" w:color="auto" w:fill="E99E6D" w:themeFill="accent3"/>
            <w:tcMar>
              <w:top w:w="60" w:type="dxa"/>
              <w:left w:w="100" w:type="dxa"/>
              <w:bottom w:w="60" w:type="dxa"/>
              <w:right w:w="100" w:type="dxa"/>
            </w:tcMar>
            <w:vAlign w:val="center"/>
          </w:tcPr>
          <w:p w14:paraId="7431B7D8" w14:textId="77777777" w:rsidR="001852F2" w:rsidRDefault="001852F2" w:rsidP="00ED71A8">
            <w:pPr>
              <w:pStyle w:val="OikoTables02"/>
            </w:pPr>
            <w:r>
              <w:t>Key conditions and risks</w:t>
            </w:r>
          </w:p>
        </w:tc>
      </w:tr>
      <w:tr w:rsidR="001852F2" w14:paraId="1A5DAD03" w14:textId="77777777" w:rsidTr="00ED71A8">
        <w:tc>
          <w:tcPr>
            <w:tcW w:w="1850" w:type="dxa"/>
            <w:tcMar>
              <w:top w:w="60" w:type="dxa"/>
              <w:left w:w="100" w:type="dxa"/>
              <w:bottom w:w="60" w:type="dxa"/>
              <w:right w:w="100" w:type="dxa"/>
            </w:tcMar>
            <w:vAlign w:val="center"/>
          </w:tcPr>
          <w:p w14:paraId="2B58343C" w14:textId="77777777" w:rsidR="001852F2" w:rsidRPr="004A4A98" w:rsidRDefault="001852F2" w:rsidP="009E1B3A">
            <w:pPr>
              <w:pStyle w:val="OikoTables03Content"/>
            </w:pPr>
            <w:r>
              <w:rPr>
                <w:rFonts w:eastAsia="Times New Roman" w:cs="Times New Roman"/>
                <w:sz w:val="20"/>
                <w:szCs w:val="20"/>
              </w:rPr>
              <w:t xml:space="preserve">Individual / </w:t>
            </w:r>
            <w:proofErr w:type="gramStart"/>
            <w:r>
              <w:rPr>
                <w:rFonts w:eastAsia="Times New Roman" w:cs="Times New Roman"/>
                <w:sz w:val="20"/>
                <w:szCs w:val="20"/>
              </w:rPr>
              <w:t>on-plot</w:t>
            </w:r>
            <w:proofErr w:type="gramEnd"/>
          </w:p>
        </w:tc>
        <w:tc>
          <w:tcPr>
            <w:tcW w:w="2150" w:type="dxa"/>
            <w:tcMar>
              <w:top w:w="60" w:type="dxa"/>
              <w:left w:w="100" w:type="dxa"/>
              <w:bottom w:w="60" w:type="dxa"/>
              <w:right w:w="100" w:type="dxa"/>
            </w:tcMar>
            <w:vAlign w:val="center"/>
          </w:tcPr>
          <w:p w14:paraId="71D8AF92" w14:textId="77777777" w:rsidR="001852F2" w:rsidRDefault="001852F2" w:rsidP="009E1B3A">
            <w:pPr>
              <w:pStyle w:val="OikoTables03Content"/>
            </w:pPr>
            <w:r>
              <w:t>Single household's registered possession of the cropland; well serves that plot</w:t>
            </w:r>
          </w:p>
        </w:tc>
        <w:tc>
          <w:tcPr>
            <w:tcW w:w="2372" w:type="dxa"/>
            <w:tcMar>
              <w:top w:w="60" w:type="dxa"/>
              <w:left w:w="100" w:type="dxa"/>
              <w:bottom w:w="60" w:type="dxa"/>
              <w:right w:w="100" w:type="dxa"/>
            </w:tcMar>
            <w:vAlign w:val="center"/>
          </w:tcPr>
          <w:p w14:paraId="20D462B6" w14:textId="77777777" w:rsidR="001852F2" w:rsidRDefault="001852F2" w:rsidP="009E1B3A">
            <w:pPr>
              <w:pStyle w:val="OikoTables03Content"/>
            </w:pPr>
            <w:r>
              <w:t>A Tier 2 or Tier 3 farmer with a secure possession certificate and a borehole on their own plot, irrigating a greenhouse and drip field</w:t>
            </w:r>
          </w:p>
        </w:tc>
        <w:tc>
          <w:tcPr>
            <w:tcW w:w="3121" w:type="dxa"/>
            <w:tcMar>
              <w:top w:w="60" w:type="dxa"/>
              <w:left w:w="100" w:type="dxa"/>
              <w:bottom w:w="60" w:type="dxa"/>
              <w:right w:w="100" w:type="dxa"/>
            </w:tcMar>
            <w:vAlign w:val="center"/>
          </w:tcPr>
          <w:p w14:paraId="0EDB9E89" w14:textId="77777777" w:rsidR="001852F2" w:rsidRDefault="001852F2" w:rsidP="009E1B3A">
            <w:pPr>
              <w:pStyle w:val="OikoTables03Content"/>
            </w:pPr>
            <w:r>
              <w:t>Simplest and most robust model; requires secure individual possession and sufficient own/loan finance; no cost-sharing complications</w:t>
            </w:r>
          </w:p>
        </w:tc>
      </w:tr>
      <w:tr w:rsidR="001852F2" w14:paraId="06FD88A5" w14:textId="77777777" w:rsidTr="00ED71A8">
        <w:tc>
          <w:tcPr>
            <w:tcW w:w="1850" w:type="dxa"/>
            <w:tcMar>
              <w:top w:w="60" w:type="dxa"/>
              <w:left w:w="100" w:type="dxa"/>
              <w:bottom w:w="60" w:type="dxa"/>
              <w:right w:w="100" w:type="dxa"/>
            </w:tcMar>
            <w:vAlign w:val="center"/>
          </w:tcPr>
          <w:p w14:paraId="16C30B42" w14:textId="77777777" w:rsidR="001852F2" w:rsidRPr="004A4A98" w:rsidRDefault="001852F2" w:rsidP="009E1B3A">
            <w:pPr>
              <w:pStyle w:val="OikoTables03Content"/>
            </w:pPr>
            <w:r>
              <w:rPr>
                <w:rFonts w:eastAsia="Times New Roman" w:cs="Times New Roman"/>
                <w:sz w:val="20"/>
                <w:szCs w:val="20"/>
              </w:rPr>
              <w:t>Water-user association / shared borehole</w:t>
            </w:r>
          </w:p>
        </w:tc>
        <w:tc>
          <w:tcPr>
            <w:tcW w:w="2150" w:type="dxa"/>
            <w:tcMar>
              <w:top w:w="60" w:type="dxa"/>
              <w:left w:w="100" w:type="dxa"/>
              <w:bottom w:w="60" w:type="dxa"/>
              <w:right w:w="100" w:type="dxa"/>
            </w:tcMar>
            <w:vAlign w:val="center"/>
          </w:tcPr>
          <w:p w14:paraId="53939B2C" w14:textId="65AEEC76" w:rsidR="001852F2" w:rsidRDefault="001852F2" w:rsidP="009E1B3A">
            <w:pPr>
              <w:pStyle w:val="OikoTables03Content"/>
            </w:pPr>
            <w:r>
              <w:t xml:space="preserve">Common-tenure water point on shared or </w:t>
            </w:r>
            <w:proofErr w:type="gramStart"/>
            <w:r>
              <w:t>pasture land</w:t>
            </w:r>
            <w:proofErr w:type="gramEnd"/>
            <w:r>
              <w:t xml:space="preserve">; association of </w:t>
            </w:r>
            <w:r w:rsidR="006F3DAC">
              <w:t>neighboring</w:t>
            </w:r>
            <w:r>
              <w:t xml:space="preserve"> users</w:t>
            </w:r>
          </w:p>
        </w:tc>
        <w:tc>
          <w:tcPr>
            <w:tcW w:w="2372" w:type="dxa"/>
            <w:tcMar>
              <w:top w:w="60" w:type="dxa"/>
              <w:left w:w="100" w:type="dxa"/>
              <w:bottom w:w="60" w:type="dxa"/>
              <w:right w:w="100" w:type="dxa"/>
            </w:tcMar>
            <w:vAlign w:val="center"/>
          </w:tcPr>
          <w:p w14:paraId="60B4C9AA" w14:textId="77777777" w:rsidR="001852F2" w:rsidRDefault="001852F2" w:rsidP="009E1B3A">
            <w:pPr>
              <w:pStyle w:val="OikoTables03Content"/>
            </w:pPr>
            <w:r>
              <w:t>Several adjacent smallholders (incl. Tier 1) sharing one deeper borehole, pump and storage where individual wells are uneconomic</w:t>
            </w:r>
          </w:p>
        </w:tc>
        <w:tc>
          <w:tcPr>
            <w:tcW w:w="3121" w:type="dxa"/>
            <w:tcMar>
              <w:top w:w="60" w:type="dxa"/>
              <w:left w:w="100" w:type="dxa"/>
              <w:bottom w:w="60" w:type="dxa"/>
              <w:right w:w="100" w:type="dxa"/>
            </w:tcMar>
            <w:vAlign w:val="center"/>
          </w:tcPr>
          <w:p w14:paraId="12A96111" w14:textId="77777777" w:rsidR="001852F2" w:rsidRDefault="001852F2" w:rsidP="009E1B3A">
            <w:pPr>
              <w:pStyle w:val="OikoTables03Content"/>
            </w:pPr>
            <w:r>
              <w:t>Needs a written agreement on ownership, abstraction shares, maintenance duties and fees; aligns with common-tenure rules; risk of free-riding if rules are unclear</w:t>
            </w:r>
          </w:p>
        </w:tc>
      </w:tr>
      <w:tr w:rsidR="001852F2" w14:paraId="5DFED0A4" w14:textId="77777777" w:rsidTr="00ED71A8">
        <w:tc>
          <w:tcPr>
            <w:tcW w:w="1850" w:type="dxa"/>
            <w:tcMar>
              <w:top w:w="60" w:type="dxa"/>
              <w:left w:w="100" w:type="dxa"/>
              <w:bottom w:w="60" w:type="dxa"/>
              <w:right w:w="100" w:type="dxa"/>
            </w:tcMar>
            <w:vAlign w:val="center"/>
          </w:tcPr>
          <w:p w14:paraId="476FCFA6" w14:textId="77777777" w:rsidR="001852F2" w:rsidRPr="004A4A98" w:rsidRDefault="001852F2" w:rsidP="009E1B3A">
            <w:pPr>
              <w:pStyle w:val="OikoTables03Content"/>
            </w:pPr>
            <w:r>
              <w:rPr>
                <w:rFonts w:eastAsia="Times New Roman" w:cs="Times New Roman"/>
                <w:sz w:val="20"/>
                <w:szCs w:val="20"/>
              </w:rPr>
              <w:t>Cooperative / communal facility</w:t>
            </w:r>
          </w:p>
        </w:tc>
        <w:tc>
          <w:tcPr>
            <w:tcW w:w="2150" w:type="dxa"/>
            <w:tcMar>
              <w:top w:w="60" w:type="dxa"/>
              <w:left w:w="100" w:type="dxa"/>
              <w:bottom w:w="60" w:type="dxa"/>
              <w:right w:w="100" w:type="dxa"/>
            </w:tcMar>
            <w:vAlign w:val="center"/>
          </w:tcPr>
          <w:p w14:paraId="277DE581" w14:textId="77777777" w:rsidR="001852F2" w:rsidRDefault="001852F2" w:rsidP="009E1B3A">
            <w:pPr>
              <w:pStyle w:val="OikoTables03Content"/>
            </w:pPr>
            <w:r>
              <w:t>Cooperative or local-government asset; members hold use rights to land and shared equipment</w:t>
            </w:r>
          </w:p>
        </w:tc>
        <w:tc>
          <w:tcPr>
            <w:tcW w:w="2372" w:type="dxa"/>
            <w:tcMar>
              <w:top w:w="60" w:type="dxa"/>
              <w:left w:w="100" w:type="dxa"/>
              <w:bottom w:w="60" w:type="dxa"/>
              <w:right w:w="100" w:type="dxa"/>
            </w:tcMar>
            <w:vAlign w:val="center"/>
          </w:tcPr>
          <w:p w14:paraId="23DA434E" w14:textId="77777777" w:rsidR="001852F2" w:rsidRDefault="001852F2" w:rsidP="009E1B3A">
            <w:pPr>
              <w:pStyle w:val="OikoTables03Content"/>
            </w:pPr>
            <w:r>
              <w:t>A registered cooperative operating a shared pumping and greenhouse facility, or anchoring a cluster of members; useful for collective finance and marketing</w:t>
            </w:r>
          </w:p>
        </w:tc>
        <w:tc>
          <w:tcPr>
            <w:tcW w:w="3121" w:type="dxa"/>
            <w:tcMar>
              <w:top w:w="60" w:type="dxa"/>
              <w:left w:w="100" w:type="dxa"/>
              <w:bottom w:w="60" w:type="dxa"/>
              <w:right w:w="100" w:type="dxa"/>
            </w:tcMar>
            <w:vAlign w:val="center"/>
          </w:tcPr>
          <w:p w14:paraId="0754DF15" w14:textId="77777777" w:rsidR="001852F2" w:rsidRDefault="001852F2" w:rsidP="009E1B3A">
            <w:pPr>
              <w:pStyle w:val="OikoTables03Content"/>
            </w:pPr>
            <w:r>
              <w:t xml:space="preserve">Strongest for accessing SME/cooperative finance and economies of scale, but most demanding to govern; cautionary precedent of an abandoned communal </w:t>
            </w:r>
            <w:proofErr w:type="spellStart"/>
            <w:r>
              <w:t>Agro</w:t>
            </w:r>
            <w:proofErr w:type="spellEnd"/>
            <w:r>
              <w:t xml:space="preserve"> Park where maintenance was unassigned</w:t>
            </w:r>
          </w:p>
        </w:tc>
      </w:tr>
    </w:tbl>
    <w:p w14:paraId="1396FD45" w14:textId="5E22AFC0" w:rsidR="001852F2" w:rsidRDefault="001852F2" w:rsidP="00D16E24">
      <w:pPr>
        <w:spacing w:before="30" w:after="120" w:line="240" w:lineRule="auto"/>
        <w:contextualSpacing w:val="0"/>
      </w:pPr>
      <w:r>
        <w:rPr>
          <w:rFonts w:eastAsia="Times New Roman" w:cs="Times New Roman"/>
          <w:i/>
          <w:iCs/>
          <w:sz w:val="18"/>
          <w:szCs w:val="18"/>
        </w:rPr>
        <w:t xml:space="preserve">Source: Authors' synthesis based on the Law on Land and Water Law of Mongolia and CTCN field missions (May </w:t>
      </w:r>
      <w:proofErr w:type="gramStart"/>
      <w:r>
        <w:rPr>
          <w:rFonts w:eastAsia="Times New Roman" w:cs="Times New Roman"/>
          <w:i/>
          <w:iCs/>
          <w:sz w:val="18"/>
          <w:szCs w:val="18"/>
        </w:rPr>
        <w:t>2026)</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 50, 59]</w:t>
      </w:r>
      <w:r>
        <w:rPr>
          <w:rFonts w:eastAsia="Times New Roman" w:cs="Times New Roman"/>
          <w:i/>
          <w:iCs/>
          <w:sz w:val="18"/>
          <w:szCs w:val="18"/>
        </w:rPr>
        <w:t>. The ownership model should be confirmed per site, using egazar.gov.mn tenure records.</w:t>
      </w:r>
    </w:p>
    <w:p w14:paraId="227F03CE" w14:textId="31D33848" w:rsidR="001852F2" w:rsidRDefault="001852F2" w:rsidP="00016E8C">
      <w:pPr>
        <w:pStyle w:val="Heading2"/>
        <w:spacing w:before="360" w:line="240" w:lineRule="auto"/>
        <w:contextualSpacing w:val="0"/>
      </w:pPr>
      <w:bookmarkStart w:id="85" w:name="_Toc233981295"/>
      <w:r>
        <w:t>Farmer characteristics: gender, income, finance and access to resources</w:t>
      </w:r>
      <w:bookmarkEnd w:id="85"/>
    </w:p>
    <w:p w14:paraId="7DC1B11A" w14:textId="77777777" w:rsidR="001852F2" w:rsidRDefault="001852F2" w:rsidP="00EB489E">
      <w:r>
        <w:t>Beyond farm structure and tenure, four cross-cutting characteristics shape whether and how the target households can adopt the proposed technologies: the role of women, the level and stability of income, access to finance, and access to inputs, extension and markets. The climate hazards that bear on these households — drought, water scarcity, frost, wind, hail and dust storms — are documented in detail in the biophysical baseline (Chapter 4) and are not repeated here; this section treats them only as they translate into socio-economic vulnerability and investment capacity.</w:t>
      </w:r>
    </w:p>
    <w:p w14:paraId="0AB4264A" w14:textId="7CCBFA36" w:rsidR="001852F2" w:rsidRDefault="001852F2" w:rsidP="00016E8C">
      <w:pPr>
        <w:pStyle w:val="Heading3"/>
        <w:spacing w:before="240" w:line="240" w:lineRule="auto"/>
        <w:contextualSpacing w:val="0"/>
      </w:pPr>
      <w:bookmarkStart w:id="86" w:name="_Toc233981296"/>
      <w:r>
        <w:t>Gender dimensions</w:t>
      </w:r>
      <w:bookmarkEnd w:id="86"/>
    </w:p>
    <w:p w14:paraId="3C2D9177" w14:textId="56241AAF" w:rsidR="001852F2" w:rsidRDefault="001852F2" w:rsidP="00EB489E">
      <w:r>
        <w:t xml:space="preserve">Women are central to smallholder vegetable and greenhouse production in both </w:t>
      </w:r>
      <w:proofErr w:type="gramStart"/>
      <w:r>
        <w:t>provinces, and</w:t>
      </w:r>
      <w:proofErr w:type="gramEnd"/>
      <w:r>
        <w:t xml:space="preserve"> frequently lead it. The field missions documented enterprises reporting equal participation and joint decision-making, a fully women-operated hydroponic farm, and prominent women-led businesses in both </w:t>
      </w:r>
      <w:proofErr w:type="spellStart"/>
      <w:r>
        <w:t>Arvaikheer</w:t>
      </w:r>
      <w:proofErr w:type="spellEnd"/>
      <w:r>
        <w:t xml:space="preserve"> and Kharkhorin, including a former nurse running three production sites and an experienced woman seedling producer.</w:t>
      </w:r>
      <w:r>
        <w:rPr>
          <w:vertAlign w:val="superscript"/>
        </w:rPr>
        <w:t>[46]</w:t>
      </w:r>
      <w:r>
        <w:t xml:space="preserve"> Yet this high participation is not matched by equal control of assets or access to support: land and equipment, and the State production incentives attached to them, are frequently registered in the name of the (often male) household head, and access to finance, machinery and technical training remains comparatively more limited for women.</w:t>
      </w:r>
      <w:r>
        <w:rPr>
          <w:rStyle w:val="FootnoteReference"/>
        </w:rPr>
        <w:footnoteReference w:id="6"/>
      </w:r>
      <w:r>
        <w:t xml:space="preserve"> International evidence is consistent that closing these gaps in access to land, finance, inputs and </w:t>
      </w:r>
      <w:r>
        <w:lastRenderedPageBreak/>
        <w:t>extension raises both productivity and resilience.</w:t>
      </w:r>
      <w:r>
        <w:rPr>
          <w:vertAlign w:val="superscript"/>
        </w:rPr>
        <w:t>[20]</w:t>
      </w:r>
      <w:r>
        <w:t xml:space="preserve"> For this project the implication is operational rather than rhetorical: technology, finance and training measures should be explicitly gender-responsive — for example by enabling women to hold possession certificates and loans in their own name, and by setting gender-disaggregated participation targets — so that women's high labour contribution translates into an equal share of the benefits.</w:t>
      </w:r>
    </w:p>
    <w:p w14:paraId="3B325EFE" w14:textId="128FF1B6" w:rsidR="001852F2" w:rsidRDefault="001852F2" w:rsidP="00016E8C">
      <w:pPr>
        <w:pStyle w:val="Heading3"/>
        <w:spacing w:before="240" w:line="240" w:lineRule="auto"/>
        <w:contextualSpacing w:val="0"/>
      </w:pPr>
      <w:bookmarkStart w:id="88" w:name="_Toc233981297"/>
      <w:r>
        <w:t>Income, livelihood structure and investment capacity</w:t>
      </w:r>
      <w:bookmarkEnd w:id="88"/>
    </w:p>
    <w:p w14:paraId="16730B2C" w14:textId="77777777" w:rsidR="001852F2" w:rsidRDefault="001852F2" w:rsidP="00EB489E">
      <w:r>
        <w:t xml:space="preserve">Smallholder households in both provinces typically operate in low-to-moderate income brackets, with livelihoods diversified across livestock herding, seasonal crop production and off-farm income. Vegetable production usually contributes a supplementary rather than a primary share of household income, and earnings are highly variable and sensitive to climatic conditions — markedly so in drought-prone Dundgovi. This combination of modest, unstable income and a risk-averse, diversified livelihood </w:t>
      </w:r>
      <w:proofErr w:type="gramStart"/>
      <w:r>
        <w:t>has</w:t>
      </w:r>
      <w:proofErr w:type="gramEnd"/>
      <w:r>
        <w:t xml:space="preserve"> a direct bearing on investment capacity: it depresses the volume of own funds a household can commit up front and raises the premium it places on avoiding catastrophic loss. It does not, however, mean that smallholders cannot invest at all. As Section 5.2.3 established, the binding determinant of investment capacity is access to finance, not current savings, and the central task is therefore to convert latent capacity into actual investment through appropriately structured credit and risk-sharing.</w:t>
      </w:r>
    </w:p>
    <w:p w14:paraId="568042BE" w14:textId="69327B79" w:rsidR="001852F2" w:rsidRDefault="001852F2" w:rsidP="00016E8C">
      <w:pPr>
        <w:pStyle w:val="Heading3"/>
        <w:spacing w:before="240" w:line="240" w:lineRule="auto"/>
        <w:contextualSpacing w:val="0"/>
      </w:pPr>
      <w:bookmarkStart w:id="89" w:name="_Toc233981298"/>
      <w:r>
        <w:t>Access to finance</w:t>
      </w:r>
      <w:bookmarkEnd w:id="89"/>
    </w:p>
    <w:p w14:paraId="118D4FDD" w14:textId="50B0B0D7" w:rsidR="001852F2" w:rsidRDefault="001852F2" w:rsidP="00EB489E">
      <w:r>
        <w:t>Access to formal finance is the single most-cited barrier to technology adoption, and the finance and insurance mission mapped the available instruments in detail. Smallholder credit access is very low — reported at under 10% — principally because of high collateral requirements and the fact that crops and livestock are not accepted as loan collateral; banks instead require property, vehicle, life or credit insurance alongside any loan.</w:t>
      </w:r>
      <w:r>
        <w:rPr>
          <w:sz w:val="18"/>
          <w:szCs w:val="18"/>
          <w:vertAlign w:val="superscript"/>
        </w:rPr>
        <w:t>[47]</w:t>
      </w:r>
      <w:r>
        <w:t xml:space="preserve"> Against this backdrop, a set of public and quasi-public instruments materially expands what a registered smallholder can mobilise. The Small and Medium Enterprises Agency offers subsidised loans at 5% with the first two years interest-only, available to micro-enterprises of fewer than ten staff up to 300 million MNT, but only to farmers registered as legal entities. The Credit Guarantee Fund guarantees up to 60% of a loan (to a maximum of 1.2 billion MNT, about EUR 300,000) for crop, livestock and greenhouse farmers with at least one year of operation, at 10.27–12.34% against prevailing market rates of 19–20%. Commercial banks lend to the sector on a smaller scale — State Bank's agricultural loans average around USD 10,000 (up to 100 million MNT) and Khan Bank offers farmers a preferential 18.6% — but agriculture remains under 1% of bank portfolios.</w:t>
      </w:r>
      <w:r>
        <w:rPr>
          <w:sz w:val="18"/>
          <w:szCs w:val="18"/>
          <w:vertAlign w:val="superscript"/>
        </w:rPr>
        <w:t>[47]</w:t>
      </w:r>
      <w:r>
        <w:t xml:space="preserve"> Table 18 summarises these instruments and links each to the beneficiary tiers defined earlier. The clear conclusion is that registration as a legal entity is the gateway to affordable finance, and that the project's affordability case for Tier 2 rests on combining subsidised loans, partial guarantees and risk-sharing rather than on any single product.</w:t>
      </w:r>
    </w:p>
    <w:p w14:paraId="5C2AB117" w14:textId="77777777" w:rsidR="009E1B3A" w:rsidRDefault="009E1B3A" w:rsidP="00EB489E"/>
    <w:p w14:paraId="753D86C8" w14:textId="2DE12D89" w:rsidR="001852F2" w:rsidRDefault="001852F2" w:rsidP="009E1B3A">
      <w:pPr>
        <w:pStyle w:val="Caption"/>
        <w:framePr w:wrap="notBeside"/>
      </w:pPr>
      <w:r>
        <w:t>Table 18. Principal finance and risk-sharing instruments and their relevance to the beneficiary tiers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000" w:firstRow="0" w:lastRow="0" w:firstColumn="0" w:lastColumn="0" w:noHBand="0" w:noVBand="0"/>
      </w:tblPr>
      <w:tblGrid>
        <w:gridCol w:w="2050"/>
        <w:gridCol w:w="1622"/>
        <w:gridCol w:w="2700"/>
        <w:gridCol w:w="2700"/>
      </w:tblGrid>
      <w:tr w:rsidR="001852F2" w14:paraId="7A6E7035" w14:textId="77777777" w:rsidTr="00ED71A8">
        <w:trPr>
          <w:tblHeader/>
        </w:trPr>
        <w:tc>
          <w:tcPr>
            <w:tcW w:w="205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4689B05" w14:textId="77777777" w:rsidR="001852F2" w:rsidRDefault="001852F2" w:rsidP="00ED71A8">
            <w:pPr>
              <w:pStyle w:val="OikoTables02"/>
            </w:pPr>
            <w:r>
              <w:t>Instrument</w:t>
            </w:r>
          </w:p>
        </w:tc>
        <w:tc>
          <w:tcPr>
            <w:tcW w:w="1622"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4C0FEC1A" w14:textId="77777777" w:rsidR="001852F2" w:rsidRDefault="001852F2" w:rsidP="00ED71A8">
            <w:pPr>
              <w:pStyle w:val="OikoTables02"/>
            </w:pPr>
            <w:r>
              <w:t>Provider</w:t>
            </w:r>
          </w:p>
        </w:tc>
        <w:tc>
          <w:tcPr>
            <w:tcW w:w="27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19E180C2" w14:textId="77777777" w:rsidR="001852F2" w:rsidRDefault="001852F2" w:rsidP="00ED71A8">
            <w:pPr>
              <w:pStyle w:val="OikoTables02"/>
            </w:pPr>
            <w:r>
              <w:t>Key terms</w:t>
            </w:r>
          </w:p>
        </w:tc>
        <w:tc>
          <w:tcPr>
            <w:tcW w:w="27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7B1547BF" w14:textId="77777777" w:rsidR="001852F2" w:rsidRDefault="001852F2" w:rsidP="00ED71A8">
            <w:pPr>
              <w:pStyle w:val="OikoTables02"/>
            </w:pPr>
            <w:r>
              <w:t>Eligibility &amp; relevance to tiers</w:t>
            </w:r>
          </w:p>
        </w:tc>
      </w:tr>
      <w:tr w:rsidR="001852F2" w14:paraId="4A47899D" w14:textId="77777777" w:rsidTr="009E1B3A">
        <w:tc>
          <w:tcPr>
            <w:tcW w:w="20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9D38AF9" w14:textId="0C953ED5" w:rsidR="001852F2" w:rsidRPr="004A4A98" w:rsidRDefault="006F3DAC" w:rsidP="009E1B3A">
            <w:pPr>
              <w:pStyle w:val="OikoTables03Content"/>
            </w:pPr>
            <w:r>
              <w:t>Subsidized</w:t>
            </w:r>
            <w:r w:rsidR="001852F2">
              <w:t xml:space="preserve"> SME loan</w:t>
            </w:r>
          </w:p>
        </w:tc>
        <w:tc>
          <w:tcPr>
            <w:tcW w:w="16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3877E0C" w14:textId="77777777" w:rsidR="001852F2" w:rsidRDefault="001852F2" w:rsidP="009E1B3A">
            <w:pPr>
              <w:pStyle w:val="OikoTables03Content"/>
            </w:pPr>
            <w:r>
              <w:t>SME Agency (via commercial banks)</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FFB7B7C" w14:textId="77777777" w:rsidR="001852F2" w:rsidRDefault="001852F2" w:rsidP="009E1B3A">
            <w:pPr>
              <w:pStyle w:val="OikoTables03Content"/>
            </w:pPr>
            <w:r>
              <w:t>5% interest; first 2 years interest-only; up to 5-year term; up to 300 M MNT for micro-enterprises (&lt;10 staff)</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DBD17D1" w14:textId="6EB90C78" w:rsidR="001852F2" w:rsidRDefault="001852F2" w:rsidP="009E1B3A">
            <w:pPr>
              <w:pStyle w:val="OikoTables03Content"/>
            </w:pPr>
            <w:r>
              <w:t xml:space="preserve">Legal entities only. Core enabler for Tier 2 greenhouse/irrigation packages; </w:t>
            </w:r>
            <w:r w:rsidR="006F3DAC">
              <w:t>incentivizes</w:t>
            </w:r>
            <w:r>
              <w:t xml:space="preserve"> registration</w:t>
            </w:r>
          </w:p>
        </w:tc>
      </w:tr>
      <w:tr w:rsidR="001852F2" w14:paraId="44F196FA" w14:textId="77777777" w:rsidTr="009E1B3A">
        <w:tc>
          <w:tcPr>
            <w:tcW w:w="20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57719F6" w14:textId="77777777" w:rsidR="001852F2" w:rsidRPr="004A4A98" w:rsidRDefault="001852F2" w:rsidP="009E1B3A">
            <w:pPr>
              <w:pStyle w:val="OikoTables03Content"/>
            </w:pPr>
            <w:r>
              <w:t>Credit guarantee (green loan)</w:t>
            </w:r>
          </w:p>
        </w:tc>
        <w:tc>
          <w:tcPr>
            <w:tcW w:w="16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52BC89C" w14:textId="77777777" w:rsidR="001852F2" w:rsidRDefault="001852F2" w:rsidP="009E1B3A">
            <w:pPr>
              <w:pStyle w:val="OikoTables03Content"/>
            </w:pPr>
            <w:r>
              <w:t>Credit Guarantee Fund</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BBBE522" w14:textId="77777777" w:rsidR="001852F2" w:rsidRDefault="001852F2" w:rsidP="009E1B3A">
            <w:pPr>
              <w:pStyle w:val="OikoTables03Content"/>
            </w:pPr>
            <w:r>
              <w:t>Guarantees up to 60% of loan; max 1.2 B MNT (~EUR 300,000); 10.27–12.34% vs 19–20% market; ≥1 year in business</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25228BD" w14:textId="77777777" w:rsidR="001852F2" w:rsidRDefault="001852F2" w:rsidP="009E1B3A">
            <w:pPr>
              <w:pStyle w:val="OikoTables03Content"/>
            </w:pPr>
            <w:r>
              <w:t>Crop, livestock and greenhouse farmers. Lowers collateral barrier for Tier 2 and Tier 3; substitutes for missing crop collateral</w:t>
            </w:r>
          </w:p>
        </w:tc>
      </w:tr>
      <w:tr w:rsidR="001852F2" w14:paraId="76BD8EA9" w14:textId="77777777" w:rsidTr="009E1B3A">
        <w:tc>
          <w:tcPr>
            <w:tcW w:w="20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339D721" w14:textId="77777777" w:rsidR="001852F2" w:rsidRPr="004A4A98" w:rsidRDefault="001852F2" w:rsidP="009E1B3A">
            <w:pPr>
              <w:pStyle w:val="OikoTables03Content"/>
            </w:pPr>
            <w:r>
              <w:t>Commercial agricultural loan</w:t>
            </w:r>
          </w:p>
        </w:tc>
        <w:tc>
          <w:tcPr>
            <w:tcW w:w="16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CFECC73" w14:textId="77777777" w:rsidR="001852F2" w:rsidRDefault="001852F2" w:rsidP="009E1B3A">
            <w:pPr>
              <w:pStyle w:val="OikoTables03Content"/>
            </w:pPr>
            <w:r>
              <w:t>State Bank, Khan Bank and others</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5F65237" w14:textId="77777777" w:rsidR="001852F2" w:rsidRDefault="001852F2" w:rsidP="009E1B3A">
            <w:pPr>
              <w:pStyle w:val="OikoTables03Content"/>
            </w:pPr>
            <w:r>
              <w:t>State Bank avg ~USD 10,000 (up to 100 M MNT); Khan Bank ~18.6% (vs ~20%); land, housing, machinery as collateral</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5BCCAD1" w14:textId="77777777" w:rsidR="001852F2" w:rsidRDefault="001852F2" w:rsidP="009E1B3A">
            <w:pPr>
              <w:pStyle w:val="OikoTables03Content"/>
            </w:pPr>
            <w:r>
              <w:t>Available to registered producers with collateral. Supports Tier 3 scaling and working capital; limited for unregistered Tier 1</w:t>
            </w:r>
          </w:p>
        </w:tc>
      </w:tr>
      <w:tr w:rsidR="001852F2" w14:paraId="098FE6D2" w14:textId="77777777" w:rsidTr="009E1B3A">
        <w:tc>
          <w:tcPr>
            <w:tcW w:w="20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116E852" w14:textId="77777777" w:rsidR="001852F2" w:rsidRPr="004A4A98" w:rsidRDefault="001852F2" w:rsidP="009E1B3A">
            <w:pPr>
              <w:pStyle w:val="OikoTables03Content"/>
            </w:pPr>
            <w:r>
              <w:t>Index / picture-based crop insurance (proposed)</w:t>
            </w:r>
          </w:p>
        </w:tc>
        <w:tc>
          <w:tcPr>
            <w:tcW w:w="16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6DB869A" w14:textId="16F25833" w:rsidR="001852F2" w:rsidRDefault="001852F2" w:rsidP="009E1B3A">
            <w:pPr>
              <w:pStyle w:val="OikoTables03Content"/>
            </w:pPr>
            <w:r>
              <w:t>Mongolian Re and private insurers</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EC7A29A" w14:textId="77777777" w:rsidR="001852F2" w:rsidRDefault="001852F2" w:rsidP="009E1B3A">
            <w:pPr>
              <w:pStyle w:val="OikoTables03Content"/>
            </w:pPr>
            <w:r>
              <w:t>No premium subsidy yet; index-based livestock insurance reaches ~18% penetration; horticulture products to be designed under the project</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BB5D3EB" w14:textId="77777777" w:rsidR="001852F2" w:rsidRDefault="001852F2" w:rsidP="009E1B3A">
            <w:pPr>
              <w:pStyle w:val="OikoTables03Content"/>
            </w:pPr>
            <w:r>
              <w:t>Risk-sharing layer that makes loans serviceable across tiers; precondition treated in the CBA and the Output 3 design</w:t>
            </w:r>
          </w:p>
        </w:tc>
      </w:tr>
      <w:tr w:rsidR="001852F2" w14:paraId="1C7C8E2D" w14:textId="77777777" w:rsidTr="009E1B3A">
        <w:tc>
          <w:tcPr>
            <w:tcW w:w="20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096B0EC" w14:textId="77777777" w:rsidR="001852F2" w:rsidRPr="004A4A98" w:rsidRDefault="001852F2" w:rsidP="009E1B3A">
            <w:pPr>
              <w:pStyle w:val="OikoTables03Content"/>
            </w:pPr>
            <w:r>
              <w:lastRenderedPageBreak/>
              <w:t>Own funds, grants, shared assets</w:t>
            </w:r>
          </w:p>
        </w:tc>
        <w:tc>
          <w:tcPr>
            <w:tcW w:w="162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00E3522" w14:textId="77777777" w:rsidR="001852F2" w:rsidRDefault="001852F2" w:rsidP="009E1B3A">
            <w:pPr>
              <w:pStyle w:val="OikoTables03Content"/>
            </w:pPr>
            <w:r>
              <w:t>Household savings; donor / government grants</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C194CAB" w14:textId="77777777" w:rsidR="001852F2" w:rsidRDefault="001852F2" w:rsidP="009E1B3A">
            <w:pPr>
              <w:pStyle w:val="OikoTables03Content"/>
            </w:pPr>
            <w:r>
              <w:t>Self-financed micro-amounts; grant or communal provision of entry-level equipment</w:t>
            </w:r>
          </w:p>
        </w:tc>
        <w:tc>
          <w:tcPr>
            <w:tcW w:w="2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19F0481" w14:textId="77777777" w:rsidR="001852F2" w:rsidRDefault="001852F2" w:rsidP="009E1B3A">
            <w:pPr>
              <w:pStyle w:val="OikoTables03Content"/>
            </w:pPr>
            <w:r>
              <w:t>Reaches Tier 1 (subsistence) households not yet able to register or borrow; finances low-tunnel and shared-pump entry options</w:t>
            </w:r>
          </w:p>
        </w:tc>
      </w:tr>
    </w:tbl>
    <w:p w14:paraId="7167087F" w14:textId="4814412E" w:rsidR="001852F2" w:rsidRDefault="001852F2" w:rsidP="00D16E24">
      <w:pPr>
        <w:spacing w:before="30" w:after="120" w:line="240" w:lineRule="auto"/>
        <w:contextualSpacing w:val="0"/>
      </w:pPr>
      <w:r>
        <w:rPr>
          <w:rFonts w:eastAsia="Times New Roman" w:cs="Times New Roman"/>
          <w:i/>
          <w:iCs/>
          <w:sz w:val="18"/>
          <w:szCs w:val="18"/>
        </w:rPr>
        <w:t>Source: CTCN finance and insurance mission consultations with the SME Agency, Credit Guarantee Fund, State Bank, Khan Bank, Mongolia Re and MIMA in May 2026.</w:t>
      </w:r>
      <w:r>
        <w:rPr>
          <w:rFonts w:eastAsia="Times New Roman" w:cs="Times New Roman"/>
          <w:i/>
          <w:iCs/>
          <w:sz w:val="18"/>
          <w:szCs w:val="18"/>
          <w:vertAlign w:val="superscript"/>
        </w:rPr>
        <w:t>[47]</w:t>
      </w:r>
      <w:r>
        <w:rPr>
          <w:rFonts w:eastAsia="Times New Roman" w:cs="Times New Roman"/>
          <w:i/>
          <w:iCs/>
          <w:sz w:val="18"/>
          <w:szCs w:val="18"/>
        </w:rPr>
        <w:t xml:space="preserve"> Terms indicative and subject to change; insurance products are to be designed under the project.</w:t>
      </w:r>
    </w:p>
    <w:p w14:paraId="18BDDA2A" w14:textId="69C06FDA" w:rsidR="001852F2" w:rsidRDefault="001852F2" w:rsidP="00016E8C">
      <w:pPr>
        <w:pStyle w:val="Heading3"/>
        <w:spacing w:before="240" w:line="240" w:lineRule="auto"/>
        <w:contextualSpacing w:val="0"/>
      </w:pPr>
      <w:bookmarkStart w:id="90" w:name="_Toc233981299"/>
      <w:r>
        <w:t>Access to inputs, extension and markets</w:t>
      </w:r>
      <w:bookmarkEnd w:id="90"/>
    </w:p>
    <w:p w14:paraId="466731A2" w14:textId="4AB472DC" w:rsidR="001852F2" w:rsidRDefault="001852F2" w:rsidP="00EB489E">
      <w:r>
        <w:t>Three further resource constraints complete the picture. Access to quality inputs is uneven: seed, fertiliser and equipment are supplied largely through Ulaanbaatar-based traders who prefer larger customers, although local seedling and nursery production — a women-led strength in both provinces, with the Uvurkhangai forest nursery producing over 500,000 seedlings and the Dundgovi provincial nursery around 800,000 — is reducing dependence on imported planting material and strengthening local value chains.</w:t>
      </w:r>
      <w:r>
        <w:rPr>
          <w:sz w:val="18"/>
          <w:szCs w:val="18"/>
          <w:vertAlign w:val="superscript"/>
        </w:rPr>
        <w:t>[45, 46]</w:t>
      </w:r>
      <w:r>
        <w:t xml:space="preserve"> Extension and advisory services reach larger and cooperative producers reasonably well but do not consistently reach smaller and women-headed households, so technology adoption is constrained as much by knowledge as by capital. Market orientation rises with scale and is stronger in Uvurkhangai, where proximity to </w:t>
      </w:r>
      <w:proofErr w:type="spellStart"/>
      <w:r>
        <w:t>Arvaikheer</w:t>
      </w:r>
      <w:proofErr w:type="spellEnd"/>
      <w:r>
        <w:t>, Kharkhorin and the Ulaanbaatar corridor supports semi-commercial production, than in more remote Dundgovi, where output is more subsistence-oriented; the detail of demand, prices and value chains is treated in Chapter 6. Taken together, these constraints reinforce the case for pairing each technology with targeted training, support for local input supply, and attention to the market link, rather than supplying hardware alone.</w:t>
      </w:r>
    </w:p>
    <w:p w14:paraId="2C368B34" w14:textId="0CAC57E4" w:rsidR="001852F2" w:rsidRDefault="00D91847" w:rsidP="00016E8C">
      <w:pPr>
        <w:pStyle w:val="Heading2"/>
        <w:spacing w:before="360"/>
      </w:pPr>
      <w:bookmarkStart w:id="91" w:name="_Toc233981300"/>
      <w:r>
        <w:t>Existing production constraints</w:t>
      </w:r>
      <w:bookmarkEnd w:id="91"/>
    </w:p>
    <w:p w14:paraId="2294225E" w14:textId="77777777" w:rsidR="00D91847" w:rsidRDefault="00D91847" w:rsidP="00D16E24">
      <w:pPr>
        <w:keepNext/>
        <w:spacing w:before="260" w:after="120" w:line="240" w:lineRule="auto"/>
        <w:contextualSpacing w:val="0"/>
        <w:rPr>
          <w:rFonts w:eastAsia="Times New Roman" w:cs="Times New Roman"/>
        </w:rPr>
      </w:pPr>
      <w:r>
        <w:rPr>
          <w:rFonts w:eastAsia="Times New Roman" w:cs="Times New Roman"/>
        </w:rPr>
        <w:t>A growing number of former herders are leaving the pastoral economy and settling in and around regional centres, where households typically hold plots of roughly 700 m² to two hectares; for these new small-scale farmers, vegetable production — in the open field or under cover — offers a profitable alternative to scarce year-round wage employment. Yet the smallholders who have taken it up face, beyond the biophysical envelope described in Chapter 4 and the socio-economic characteristics set out above, a set of structural and technical production constraints that depress productivity, destabilise income and slow technology adoption. These constraints are the immediate rationale for the technology packages assessed in the remainder of the report. Four production-capacity constraints are drawn together here — irrigation infrastructure, climate-protection infrastructure, mechanisation and technical support. The closely related constraints of access to finance and insurance are treated in the analysis of farmer finance earlier in this chapter, and those of storage, post-harvest loss and market access are treated in the market assessment (Chapter 6); they are therefore only cross-referenced below.</w:t>
      </w:r>
    </w:p>
    <w:p w14:paraId="09AA5C9C" w14:textId="77777777" w:rsidR="00D91847" w:rsidRPr="00D91847" w:rsidRDefault="00D91847" w:rsidP="00016E8C">
      <w:pPr>
        <w:pStyle w:val="Heading3"/>
        <w:spacing w:before="240"/>
      </w:pPr>
      <w:bookmarkStart w:id="92" w:name="_Toc233981301"/>
      <w:r>
        <w:t>Low irrigation efficiency and ageing infrastructure</w:t>
      </w:r>
      <w:bookmarkEnd w:id="92"/>
    </w:p>
    <w:p w14:paraId="67AF8A09" w14:textId="42DE7AF0" w:rsidR="00D91847" w:rsidRPr="00D91847" w:rsidRDefault="00D91847" w:rsidP="00EB489E">
      <w:r>
        <w:t>Irrigation is a critical input under Mongolia’s continental dryland conditions, yet only about 13.6 thousand hectares of cropland were irrigated nationally in 2024, of which Uvurkhangai accounted for less than 100 ha and Dundgovi practically none.</w:t>
      </w:r>
      <w:r>
        <w:rPr>
          <w:vertAlign w:val="superscript"/>
        </w:rPr>
        <w:t>[43]</w:t>
      </w:r>
      <w:r>
        <w:t xml:space="preserve"> Existing systems are also ageing and failing: the 2025 Uvurkhangai DFA report attributes declining potato and vegetable harvests in Kharkhorin, </w:t>
      </w:r>
      <w:proofErr w:type="spellStart"/>
      <w:r>
        <w:t>Arvaikheer</w:t>
      </w:r>
      <w:proofErr w:type="spellEnd"/>
      <w:r>
        <w:t xml:space="preserve"> and </w:t>
      </w:r>
      <w:proofErr w:type="spellStart"/>
      <w:r>
        <w:t>Taragt</w:t>
      </w:r>
      <w:proofErr w:type="spellEnd"/>
      <w:r>
        <w:t xml:space="preserve"> soums directly to the breakdown of irrigation systems, compounded by the failure of a small water-retention dam in </w:t>
      </w:r>
      <w:proofErr w:type="spellStart"/>
      <w:r>
        <w:t>Tugrug</w:t>
      </w:r>
      <w:proofErr w:type="spellEnd"/>
      <w:r>
        <w:t xml:space="preserve"> soum.</w:t>
      </w:r>
      <w:r>
        <w:rPr>
          <w:vertAlign w:val="superscript"/>
        </w:rPr>
        <w:t>[13]</w:t>
      </w:r>
      <w:r>
        <w:t xml:space="preserve"> Most systems in Uvurkhangai still rely on furrow or basin irrigation, with relatively few drip or sprinkler installations; in Dundgovi the small irrigated footprint is divided between greenhouse hand-watering, isolated drip systems and a handful of small solar-pump units.</w:t>
      </w:r>
      <w:r>
        <w:rPr>
          <w:vertAlign w:val="superscript"/>
        </w:rPr>
        <w:t>[12, 14]</w:t>
      </w:r>
      <w:r>
        <w:t xml:space="preserve"> This condition — distinct from the water-access and tenure questions discussed above — is the direct rationale for the water-efficient, solar-powered drip irrigation the project promotes.</w:t>
      </w:r>
    </w:p>
    <w:p w14:paraId="544F7268" w14:textId="77777777" w:rsidR="00D91847" w:rsidRPr="00D91847" w:rsidRDefault="00D91847" w:rsidP="00016E8C">
      <w:pPr>
        <w:pStyle w:val="Heading3"/>
        <w:spacing w:before="240"/>
      </w:pPr>
      <w:bookmarkStart w:id="93" w:name="_Toc233981302"/>
      <w:r>
        <w:lastRenderedPageBreak/>
        <w:t>Limited and fragile climate-protection infrastructure</w:t>
      </w:r>
      <w:bookmarkEnd w:id="93"/>
    </w:p>
    <w:p w14:paraId="06E4D248" w14:textId="02FF84AA" w:rsidR="00D91847" w:rsidRPr="00D91847" w:rsidRDefault="00D91847" w:rsidP="00EB489E">
      <w:r>
        <w:t xml:space="preserve">The existing stock of protected-cultivation structures is being eroded faster than it is replenished. National greenhouse area declined by 23.0% in 2024 (from 493.4 ha to 379.9 ha) and total greenhouse harvest fell by 31.5% to 3,673 </w:t>
      </w:r>
      <w:proofErr w:type="gramStart"/>
      <w:r>
        <w:t>t.</w:t>
      </w:r>
      <w:r>
        <w:rPr>
          <w:vertAlign w:val="superscript"/>
        </w:rPr>
        <w:t>[</w:t>
      </w:r>
      <w:proofErr w:type="gramEnd"/>
      <w:r>
        <w:rPr>
          <w:vertAlign w:val="superscript"/>
        </w:rPr>
        <w:t>43]</w:t>
      </w:r>
      <w:r>
        <w:t xml:space="preserve"> The predominant structures in both target provinces are low-cost single-film plastic tunnels with a useful life of only two to three seasons; passive-solar, polycarbonate and earth-sheltered designs remain rare, and few facilities incorporate environmental controls, automated ventilation or thermal storage. In Dundgovi, of 156 greenhouse units only two are winter-capable, and the </w:t>
      </w:r>
      <w:proofErr w:type="spellStart"/>
      <w:r>
        <w:t>Undurshil</w:t>
      </w:r>
      <w:proofErr w:type="spellEnd"/>
      <w:r>
        <w:t xml:space="preserve"> and </w:t>
      </w:r>
      <w:proofErr w:type="spellStart"/>
      <w:r>
        <w:t>Gurvansaikhan</w:t>
      </w:r>
      <w:proofErr w:type="spellEnd"/>
      <w:r>
        <w:t xml:space="preserve"> soums both reported total greenhouse losses to wind events over the previous </w:t>
      </w:r>
      <w:proofErr w:type="gramStart"/>
      <w:r>
        <w:t>decade.</w:t>
      </w:r>
      <w:r>
        <w:rPr>
          <w:vertAlign w:val="superscript"/>
        </w:rPr>
        <w:t>[</w:t>
      </w:r>
      <w:proofErr w:type="gramEnd"/>
      <w:r>
        <w:rPr>
          <w:vertAlign w:val="superscript"/>
        </w:rPr>
        <w:t>12, 14]</w:t>
      </w:r>
      <w:r>
        <w:t xml:space="preserve"> This fragility — set against the greenhouse sub-sector described earlier in this chapter — is precisely why the project prioritises reinforced, wind-rated and passive-solar designs over lightweight single-film structures.</w:t>
      </w:r>
    </w:p>
    <w:p w14:paraId="1363C71C" w14:textId="77777777" w:rsidR="00D91847" w:rsidRPr="00D91847" w:rsidRDefault="00D91847" w:rsidP="00016E8C">
      <w:pPr>
        <w:pStyle w:val="Heading3"/>
        <w:spacing w:before="240"/>
      </w:pPr>
      <w:bookmarkStart w:id="94" w:name="_Toc233981303"/>
      <w:r>
        <w:t>Low mechanisation and high manual labour intensity</w:t>
      </w:r>
      <w:bookmarkEnd w:id="94"/>
    </w:p>
    <w:p w14:paraId="75DA446D" w14:textId="2630526E" w:rsidR="00D91847" w:rsidRPr="00D91847" w:rsidRDefault="00D91847" w:rsidP="00EB489E">
      <w:r>
        <w:t>Vegetable production remains heavily manual. Sectoral analysis of the value chain finds that household producers, who account for around 70% of national vegetable output, perform roughly 80% of all production tasks by hand.</w:t>
      </w:r>
      <w:r>
        <w:rPr>
          <w:vertAlign w:val="superscript"/>
        </w:rPr>
        <w:t>[42]</w:t>
      </w:r>
      <w:r>
        <w:t xml:space="preserve"> Recent equipment investment in Uvurkhangai has begun to ease this — including MNT 740 million of private machinery investment in Kharkhorin and </w:t>
      </w:r>
      <w:proofErr w:type="spellStart"/>
      <w:r>
        <w:t>Uyanga</w:t>
      </w:r>
      <w:proofErr w:type="spellEnd"/>
      <w:r>
        <w:t xml:space="preserve"> soums and MNT 350 million of local-budget machinery support in </w:t>
      </w:r>
      <w:proofErr w:type="spellStart"/>
      <w:r>
        <w:t>Yesunzuil</w:t>
      </w:r>
      <w:proofErr w:type="spellEnd"/>
      <w:r>
        <w:t xml:space="preserve"> and Kharkhorin in 2025 — but coverage remains thin.</w:t>
      </w:r>
      <w:r>
        <w:rPr>
          <w:vertAlign w:val="superscript"/>
        </w:rPr>
        <w:t>[13]</w:t>
      </w:r>
      <w:r>
        <w:t xml:space="preserve"> In Dundgovi, mechanisation stands at 33.5% across all crop categories combined, highest in </w:t>
      </w:r>
      <w:proofErr w:type="spellStart"/>
      <w:r>
        <w:t>Erdenedalai</w:t>
      </w:r>
      <w:proofErr w:type="spellEnd"/>
      <w:r>
        <w:t xml:space="preserve"> soum following its 2025 acquisition of a tractor, plough, fine-vegetable </w:t>
      </w:r>
      <w:proofErr w:type="spellStart"/>
      <w:r>
        <w:t>seeder</w:t>
      </w:r>
      <w:proofErr w:type="spellEnd"/>
      <w:r>
        <w:t xml:space="preserve">, oat </w:t>
      </w:r>
      <w:proofErr w:type="spellStart"/>
      <w:r>
        <w:t>seeder</w:t>
      </w:r>
      <w:proofErr w:type="spellEnd"/>
      <w:r>
        <w:t xml:space="preserve"> and maize harvester, and at or below 25% elsewhere.</w:t>
      </w:r>
      <w:r>
        <w:rPr>
          <w:vertAlign w:val="superscript"/>
        </w:rPr>
        <w:t>[12, 14]</w:t>
      </w:r>
      <w:r>
        <w:t xml:space="preserve"> Low mechanisation raises labour costs and caps the area a family can realistically manage — a constraint the field-verified sizing of the reference units in this chapter explicitly accounts for.</w:t>
      </w:r>
    </w:p>
    <w:p w14:paraId="517FFFD5" w14:textId="77777777" w:rsidR="00D91847" w:rsidRPr="00D91847" w:rsidRDefault="00D91847" w:rsidP="00016E8C">
      <w:pPr>
        <w:pStyle w:val="Heading3"/>
        <w:spacing w:before="240"/>
      </w:pPr>
      <w:bookmarkStart w:id="95" w:name="_Toc233981304"/>
      <w:r>
        <w:t>Limited technical support</w:t>
      </w:r>
      <w:bookmarkEnd w:id="95"/>
    </w:p>
    <w:p w14:paraId="3686807F" w14:textId="2408E2E0" w:rsidR="00D91847" w:rsidRPr="00D91847" w:rsidRDefault="00D91847" w:rsidP="00EB489E">
      <w:r>
        <w:t>The Mongolian Extension Advisory Service system has been described as fragmented, under-resourced and disproportionately focused on the livestock sector, with only one or two agronomists per province. [6] Provincial delivery, while meaningful, is modest relative to need: in 2025 the Uvurkhangai DFA delivered three farmer-training events to 56 vegetable producers alongside aimag- and national-level grower meetings,</w:t>
      </w:r>
      <w:r>
        <w:rPr>
          <w:vertAlign w:val="superscript"/>
        </w:rPr>
        <w:t>[13]</w:t>
      </w:r>
      <w:r>
        <w:t xml:space="preserve"> and the Dundgovi DFA delivered four training events to 168 vegetable growers in coordination with the JICA MON-SHEP project and the Billion Trees / Green Dundgovi initiatives.</w:t>
      </w:r>
      <w:r>
        <w:rPr>
          <w:vertAlign w:val="superscript"/>
        </w:rPr>
        <w:t>[12, 14, 23, 30]</w:t>
      </w:r>
      <w:r>
        <w:t xml:space="preserve"> Both fall well short of the demand documented in farmer surveys and do not substitute for a sustained, demand-driven extension model with permanent local presence. Because adoption is constrained as much by knowledge as by capital, this gap reinforces the case, developed throughout this report, for pairing each technology with targeted training and advisory support rather than supplying hardware alone.</w:t>
      </w:r>
    </w:p>
    <w:p w14:paraId="1DB6F830" w14:textId="77777777" w:rsidR="00CA62F5" w:rsidRDefault="00CA62F5" w:rsidP="00EB489E"/>
    <w:p w14:paraId="60FC541D" w14:textId="1A893B5C" w:rsidR="00D91847" w:rsidRPr="00D91847" w:rsidRDefault="00D91847" w:rsidP="00EB489E">
      <w:r>
        <w:t>Taken together with the finance and insurance constraints discussed earlier in this chapter, and with the storage, post-harvest-loss and market-access constraints treated in Chapter 6, these production-capacity constraints define what the recommended technology packages must overcome. They also explain why the project pairs each production technology with finance, training and market-linkage measures: hardware alone would not be sufficient to convert the sector’s latent potential into durable, bankable smallholder livelihoods.</w:t>
      </w:r>
    </w:p>
    <w:p w14:paraId="7FE7EC6A" w14:textId="438717D1" w:rsidR="001852F2" w:rsidRDefault="001852F2" w:rsidP="00016E8C">
      <w:pPr>
        <w:pStyle w:val="Heading2"/>
        <w:spacing w:before="360" w:line="240" w:lineRule="auto"/>
        <w:contextualSpacing w:val="0"/>
      </w:pPr>
      <w:bookmarkStart w:id="96" w:name="_Toc233981305"/>
      <w:r>
        <w:t>Priority beneficiaries and targeting strategy</w:t>
      </w:r>
      <w:bookmarkEnd w:id="96"/>
    </w:p>
    <w:p w14:paraId="7F65932B" w14:textId="77777777" w:rsidR="001852F2" w:rsidRDefault="001852F2" w:rsidP="00EB489E">
      <w:r>
        <w:t>Drawing the preceding analysis together, this section identifies the priority beneficiary groups, the geographic and system-based logic for reaching them, and the criteria by which individual beneficiaries should be selected. The aim is a targeting strategy that keeps the project's development focus on vulnerable smallholders while concentrating limited resources where the recommended technologies can succeed and be sustained.</w:t>
      </w:r>
    </w:p>
    <w:p w14:paraId="76CBD1C7" w14:textId="30A9832B" w:rsidR="001852F2" w:rsidRDefault="001852F2" w:rsidP="00016E8C">
      <w:pPr>
        <w:pStyle w:val="Heading3"/>
        <w:spacing w:before="240" w:line="240" w:lineRule="auto"/>
        <w:contextualSpacing w:val="0"/>
      </w:pPr>
      <w:bookmarkStart w:id="97" w:name="_Toc233981306"/>
      <w:r>
        <w:t>Priority beneficiary groups</w:t>
      </w:r>
      <w:bookmarkEnd w:id="97"/>
    </w:p>
    <w:p w14:paraId="043BB48F" w14:textId="77777777" w:rsidR="001852F2" w:rsidRDefault="001852F2" w:rsidP="00EB489E">
      <w:r>
        <w:t>Five overlapping groups warrant priority. They are not mutually exclusive — a single household may belong to several — and they map onto the investment tiers defined in Table 14 rather than replacing them. Table 19 describes each group, the rationale for prioritising it and its principal tier association.</w:t>
      </w:r>
    </w:p>
    <w:p w14:paraId="0BE6EC20" w14:textId="77777777" w:rsidR="006F3DAC" w:rsidRDefault="006F3DAC" w:rsidP="00EB489E"/>
    <w:p w14:paraId="707B1581" w14:textId="77777777" w:rsidR="006F3DAC" w:rsidRDefault="006F3DAC" w:rsidP="00EB489E"/>
    <w:p w14:paraId="018A8FC5" w14:textId="329CA5A1" w:rsidR="001852F2" w:rsidRDefault="001852F2" w:rsidP="00CA62F5">
      <w:pPr>
        <w:pStyle w:val="Caption"/>
        <w:framePr w:wrap="notBeside"/>
      </w:pPr>
      <w:r>
        <w:lastRenderedPageBreak/>
        <w:t>Table 19. Priority beneficiary groups and rationale</w:t>
      </w:r>
    </w:p>
    <w:tbl>
      <w:tblPr>
        <w:tblW w:w="9634" w:type="dxa"/>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2300"/>
        <w:gridCol w:w="2657"/>
        <w:gridCol w:w="2965"/>
        <w:gridCol w:w="1712"/>
      </w:tblGrid>
      <w:tr w:rsidR="001852F2" w14:paraId="50E3C138" w14:textId="77777777" w:rsidTr="006F3DAC">
        <w:trPr>
          <w:tblHeader/>
        </w:trPr>
        <w:tc>
          <w:tcPr>
            <w:tcW w:w="2300" w:type="dxa"/>
            <w:shd w:val="clear" w:color="auto" w:fill="E99E6D" w:themeFill="accent3"/>
            <w:tcMar>
              <w:top w:w="60" w:type="dxa"/>
              <w:left w:w="100" w:type="dxa"/>
              <w:bottom w:w="60" w:type="dxa"/>
              <w:right w:w="100" w:type="dxa"/>
            </w:tcMar>
            <w:vAlign w:val="center"/>
          </w:tcPr>
          <w:p w14:paraId="3BBA266C" w14:textId="77777777" w:rsidR="001852F2" w:rsidRDefault="001852F2" w:rsidP="00ED71A8">
            <w:pPr>
              <w:pStyle w:val="OikoTables02"/>
            </w:pPr>
            <w:r>
              <w:t>Group</w:t>
            </w:r>
          </w:p>
        </w:tc>
        <w:tc>
          <w:tcPr>
            <w:tcW w:w="2657" w:type="dxa"/>
            <w:shd w:val="clear" w:color="auto" w:fill="E99E6D" w:themeFill="accent3"/>
            <w:tcMar>
              <w:top w:w="60" w:type="dxa"/>
              <w:left w:w="100" w:type="dxa"/>
              <w:bottom w:w="60" w:type="dxa"/>
              <w:right w:w="100" w:type="dxa"/>
            </w:tcMar>
            <w:vAlign w:val="center"/>
          </w:tcPr>
          <w:p w14:paraId="6F60DD5E" w14:textId="77777777" w:rsidR="001852F2" w:rsidRDefault="001852F2" w:rsidP="00ED71A8">
            <w:pPr>
              <w:pStyle w:val="OikoTables02"/>
            </w:pPr>
            <w:r>
              <w:t>Description</w:t>
            </w:r>
          </w:p>
        </w:tc>
        <w:tc>
          <w:tcPr>
            <w:tcW w:w="2965" w:type="dxa"/>
            <w:shd w:val="clear" w:color="auto" w:fill="E99E6D" w:themeFill="accent3"/>
            <w:tcMar>
              <w:top w:w="60" w:type="dxa"/>
              <w:left w:w="100" w:type="dxa"/>
              <w:bottom w:w="60" w:type="dxa"/>
              <w:right w:w="100" w:type="dxa"/>
            </w:tcMar>
            <w:vAlign w:val="center"/>
          </w:tcPr>
          <w:p w14:paraId="7219462C" w14:textId="77777777" w:rsidR="001852F2" w:rsidRDefault="001852F2" w:rsidP="00ED71A8">
            <w:pPr>
              <w:pStyle w:val="OikoTables02"/>
            </w:pPr>
            <w:r>
              <w:t>Priority rationale</w:t>
            </w:r>
          </w:p>
        </w:tc>
        <w:tc>
          <w:tcPr>
            <w:tcW w:w="1712" w:type="dxa"/>
            <w:shd w:val="clear" w:color="auto" w:fill="E99E6D" w:themeFill="accent3"/>
            <w:tcMar>
              <w:top w:w="60" w:type="dxa"/>
              <w:left w:w="100" w:type="dxa"/>
              <w:bottom w:w="60" w:type="dxa"/>
              <w:right w:w="100" w:type="dxa"/>
            </w:tcMar>
            <w:vAlign w:val="center"/>
          </w:tcPr>
          <w:p w14:paraId="4EA5FCE5" w14:textId="77777777" w:rsidR="001852F2" w:rsidRDefault="001852F2" w:rsidP="00ED71A8">
            <w:pPr>
              <w:pStyle w:val="OikoTables02"/>
            </w:pPr>
            <w:r>
              <w:t>Main tier</w:t>
            </w:r>
          </w:p>
        </w:tc>
      </w:tr>
      <w:tr w:rsidR="001852F2" w14:paraId="6059D2AF" w14:textId="77777777" w:rsidTr="006F3DAC">
        <w:tc>
          <w:tcPr>
            <w:tcW w:w="2300" w:type="dxa"/>
            <w:tcMar>
              <w:top w:w="60" w:type="dxa"/>
              <w:left w:w="100" w:type="dxa"/>
              <w:bottom w:w="60" w:type="dxa"/>
              <w:right w:w="100" w:type="dxa"/>
            </w:tcMar>
            <w:vAlign w:val="center"/>
          </w:tcPr>
          <w:p w14:paraId="4C786DFD" w14:textId="77777777" w:rsidR="001852F2" w:rsidRPr="004A4A98" w:rsidRDefault="001852F2" w:rsidP="00CA62F5">
            <w:pPr>
              <w:pStyle w:val="OikoTables03Content"/>
            </w:pPr>
            <w:r>
              <w:t>Emerging commercial smallholders</w:t>
            </w:r>
          </w:p>
        </w:tc>
        <w:tc>
          <w:tcPr>
            <w:tcW w:w="2657" w:type="dxa"/>
            <w:tcMar>
              <w:top w:w="60" w:type="dxa"/>
              <w:left w:w="100" w:type="dxa"/>
              <w:bottom w:w="60" w:type="dxa"/>
              <w:right w:w="100" w:type="dxa"/>
            </w:tcMar>
            <w:vAlign w:val="center"/>
          </w:tcPr>
          <w:p w14:paraId="43206B49" w14:textId="77777777" w:rsidR="001852F2" w:rsidRDefault="001852F2" w:rsidP="00CA62F5">
            <w:pPr>
              <w:pStyle w:val="OikoTables03Content"/>
            </w:pPr>
            <w:r>
              <w:t xml:space="preserve">Family-operated, market-oriented vegetable producers on ~0.2–2 ha, able to register as legal entities and access </w:t>
            </w:r>
            <w:proofErr w:type="spellStart"/>
            <w:r>
              <w:t>subsidised</w:t>
            </w:r>
            <w:proofErr w:type="spellEnd"/>
            <w:r>
              <w:t xml:space="preserve"> finance</w:t>
            </w:r>
          </w:p>
        </w:tc>
        <w:tc>
          <w:tcPr>
            <w:tcW w:w="2965" w:type="dxa"/>
            <w:tcMar>
              <w:top w:w="60" w:type="dxa"/>
              <w:left w:w="100" w:type="dxa"/>
              <w:bottom w:w="60" w:type="dxa"/>
              <w:right w:w="100" w:type="dxa"/>
            </w:tcMar>
            <w:vAlign w:val="center"/>
          </w:tcPr>
          <w:p w14:paraId="4DC0AA55" w14:textId="77777777" w:rsidR="001852F2" w:rsidRDefault="001852F2" w:rsidP="00CA62F5">
            <w:pPr>
              <w:pStyle w:val="OikoTables03Content"/>
            </w:pPr>
            <w:r>
              <w:t>The core target: large in number, technically ready, and the group for which the recommended packages are both needed and affordable</w:t>
            </w:r>
          </w:p>
        </w:tc>
        <w:tc>
          <w:tcPr>
            <w:tcW w:w="1712" w:type="dxa"/>
            <w:tcMar>
              <w:top w:w="60" w:type="dxa"/>
              <w:left w:w="100" w:type="dxa"/>
              <w:bottom w:w="60" w:type="dxa"/>
              <w:right w:w="100" w:type="dxa"/>
            </w:tcMar>
            <w:vAlign w:val="center"/>
          </w:tcPr>
          <w:p w14:paraId="73535E69" w14:textId="77777777" w:rsidR="001852F2" w:rsidRPr="004A4A98" w:rsidRDefault="001852F2" w:rsidP="00CA62F5">
            <w:pPr>
              <w:pStyle w:val="OikoTables03Content"/>
            </w:pPr>
            <w:r>
              <w:rPr>
                <w:rFonts w:eastAsia="Times New Roman" w:cs="Times New Roman"/>
                <w:sz w:val="20"/>
                <w:szCs w:val="20"/>
              </w:rPr>
              <w:t>Tier 2</w:t>
            </w:r>
          </w:p>
        </w:tc>
      </w:tr>
      <w:tr w:rsidR="001852F2" w14:paraId="529EA058" w14:textId="77777777" w:rsidTr="006F3DAC">
        <w:tc>
          <w:tcPr>
            <w:tcW w:w="2300" w:type="dxa"/>
            <w:tcMar>
              <w:top w:w="60" w:type="dxa"/>
              <w:left w:w="100" w:type="dxa"/>
              <w:bottom w:w="60" w:type="dxa"/>
              <w:right w:w="100" w:type="dxa"/>
            </w:tcMar>
            <w:vAlign w:val="center"/>
          </w:tcPr>
          <w:p w14:paraId="70F47D2E" w14:textId="77777777" w:rsidR="001852F2" w:rsidRPr="004A4A98" w:rsidRDefault="001852F2" w:rsidP="00CA62F5">
            <w:pPr>
              <w:pStyle w:val="OikoTables03Content"/>
            </w:pPr>
            <w:r>
              <w:t>Women producers and women-led enterprises</w:t>
            </w:r>
          </w:p>
        </w:tc>
        <w:tc>
          <w:tcPr>
            <w:tcW w:w="2657" w:type="dxa"/>
            <w:tcMar>
              <w:top w:w="60" w:type="dxa"/>
              <w:left w:w="100" w:type="dxa"/>
              <w:bottom w:w="60" w:type="dxa"/>
              <w:right w:w="100" w:type="dxa"/>
            </w:tcMar>
            <w:vAlign w:val="center"/>
          </w:tcPr>
          <w:p w14:paraId="6E734658" w14:textId="77777777" w:rsidR="001852F2" w:rsidRDefault="001852F2" w:rsidP="00CA62F5">
            <w:pPr>
              <w:pStyle w:val="OikoTables03Content"/>
            </w:pPr>
            <w:r w:rsidRPr="7E00F032">
              <w:rPr>
                <w:lang w:val="en-GB"/>
              </w:rPr>
              <w:t>Women managing or co-managing vegetable, seedling and greenhouse operations, often without assets or finance in their own name</w:t>
            </w:r>
          </w:p>
        </w:tc>
        <w:tc>
          <w:tcPr>
            <w:tcW w:w="2965" w:type="dxa"/>
            <w:tcMar>
              <w:top w:w="60" w:type="dxa"/>
              <w:left w:w="100" w:type="dxa"/>
              <w:bottom w:w="60" w:type="dxa"/>
              <w:right w:w="100" w:type="dxa"/>
            </w:tcMar>
            <w:vAlign w:val="center"/>
          </w:tcPr>
          <w:p w14:paraId="575E88E4" w14:textId="77777777" w:rsidR="001852F2" w:rsidRDefault="001852F2" w:rsidP="00CA62F5">
            <w:pPr>
              <w:pStyle w:val="OikoTables03Content"/>
            </w:pPr>
            <w:r w:rsidRPr="7E00F032">
              <w:rPr>
                <w:lang w:val="en-GB"/>
              </w:rPr>
              <w:t>High labour contribution and strong track record, but underserved; gender-responsive targeting raises productivity and equity</w:t>
            </w:r>
          </w:p>
        </w:tc>
        <w:tc>
          <w:tcPr>
            <w:tcW w:w="1712" w:type="dxa"/>
            <w:tcMar>
              <w:top w:w="60" w:type="dxa"/>
              <w:left w:w="100" w:type="dxa"/>
              <w:bottom w:w="60" w:type="dxa"/>
              <w:right w:w="100" w:type="dxa"/>
            </w:tcMar>
            <w:vAlign w:val="center"/>
          </w:tcPr>
          <w:p w14:paraId="60B67475" w14:textId="77777777" w:rsidR="001852F2" w:rsidRPr="004A4A98" w:rsidRDefault="001852F2" w:rsidP="00CA62F5">
            <w:pPr>
              <w:pStyle w:val="OikoTables03Content"/>
            </w:pPr>
            <w:r>
              <w:rPr>
                <w:rFonts w:eastAsia="Times New Roman" w:cs="Times New Roman"/>
                <w:sz w:val="20"/>
                <w:szCs w:val="20"/>
              </w:rPr>
              <w:t>Tiers 1–3</w:t>
            </w:r>
          </w:p>
        </w:tc>
      </w:tr>
      <w:tr w:rsidR="001852F2" w14:paraId="0F33A503" w14:textId="77777777" w:rsidTr="006F3DAC">
        <w:tc>
          <w:tcPr>
            <w:tcW w:w="2300" w:type="dxa"/>
            <w:tcMar>
              <w:top w:w="60" w:type="dxa"/>
              <w:left w:w="100" w:type="dxa"/>
              <w:bottom w:w="60" w:type="dxa"/>
              <w:right w:w="100" w:type="dxa"/>
            </w:tcMar>
            <w:vAlign w:val="center"/>
          </w:tcPr>
          <w:p w14:paraId="2A7A22C4" w14:textId="77777777" w:rsidR="001852F2" w:rsidRPr="004A4A98" w:rsidRDefault="001852F2" w:rsidP="00CA62F5">
            <w:pPr>
              <w:pStyle w:val="OikoTables03Content"/>
            </w:pPr>
            <w:r>
              <w:t>Subsistence and near-subsistence households</w:t>
            </w:r>
          </w:p>
        </w:tc>
        <w:tc>
          <w:tcPr>
            <w:tcW w:w="2657" w:type="dxa"/>
            <w:tcMar>
              <w:top w:w="60" w:type="dxa"/>
              <w:left w:w="100" w:type="dxa"/>
              <w:bottom w:w="60" w:type="dxa"/>
              <w:right w:w="100" w:type="dxa"/>
            </w:tcMar>
            <w:vAlign w:val="center"/>
          </w:tcPr>
          <w:p w14:paraId="2A948808" w14:textId="77777777" w:rsidR="001852F2" w:rsidRDefault="001852F2" w:rsidP="00CA62F5">
            <w:pPr>
              <w:pStyle w:val="OikoTables03Content"/>
            </w:pPr>
            <w:r w:rsidRPr="7E00F032">
              <w:rPr>
                <w:lang w:val="en-GB"/>
              </w:rPr>
              <w:t>Very small producers (&lt;0.2 ha) growing mainly for self-consumption, with little cash and often unregistered</w:t>
            </w:r>
          </w:p>
        </w:tc>
        <w:tc>
          <w:tcPr>
            <w:tcW w:w="2965" w:type="dxa"/>
            <w:tcMar>
              <w:top w:w="60" w:type="dxa"/>
              <w:left w:w="100" w:type="dxa"/>
              <w:bottom w:w="60" w:type="dxa"/>
              <w:right w:w="100" w:type="dxa"/>
            </w:tcMar>
            <w:vAlign w:val="center"/>
          </w:tcPr>
          <w:p w14:paraId="1F3351AE" w14:textId="77777777" w:rsidR="001852F2" w:rsidRDefault="001852F2" w:rsidP="00CA62F5">
            <w:pPr>
              <w:pStyle w:val="OikoTables03Content"/>
            </w:pPr>
            <w:r>
              <w:t>Most climate-vulnerable; reached through low-cost entry options and shared/grant-financed assets so they are not excluded</w:t>
            </w:r>
          </w:p>
        </w:tc>
        <w:tc>
          <w:tcPr>
            <w:tcW w:w="1712" w:type="dxa"/>
            <w:tcMar>
              <w:top w:w="60" w:type="dxa"/>
              <w:left w:w="100" w:type="dxa"/>
              <w:bottom w:w="60" w:type="dxa"/>
              <w:right w:w="100" w:type="dxa"/>
            </w:tcMar>
            <w:vAlign w:val="center"/>
          </w:tcPr>
          <w:p w14:paraId="0ED15196" w14:textId="77777777" w:rsidR="001852F2" w:rsidRPr="004A4A98" w:rsidRDefault="001852F2" w:rsidP="00CA62F5">
            <w:pPr>
              <w:pStyle w:val="OikoTables03Content"/>
            </w:pPr>
            <w:r>
              <w:rPr>
                <w:rFonts w:eastAsia="Times New Roman" w:cs="Times New Roman"/>
                <w:sz w:val="20"/>
                <w:szCs w:val="20"/>
              </w:rPr>
              <w:t>Tier 1</w:t>
            </w:r>
          </w:p>
        </w:tc>
      </w:tr>
      <w:tr w:rsidR="001852F2" w14:paraId="08079211" w14:textId="77777777" w:rsidTr="006F3DAC">
        <w:tc>
          <w:tcPr>
            <w:tcW w:w="2300" w:type="dxa"/>
            <w:tcMar>
              <w:top w:w="60" w:type="dxa"/>
              <w:left w:w="100" w:type="dxa"/>
              <w:bottom w:w="60" w:type="dxa"/>
              <w:right w:w="100" w:type="dxa"/>
            </w:tcMar>
            <w:vAlign w:val="center"/>
          </w:tcPr>
          <w:p w14:paraId="4B4E1C70" w14:textId="77777777" w:rsidR="001852F2" w:rsidRPr="004A4A98" w:rsidRDefault="001852F2" w:rsidP="00CA62F5">
            <w:pPr>
              <w:pStyle w:val="OikoTables03Content"/>
            </w:pPr>
            <w:r>
              <w:t>Established producers and demonstration farms</w:t>
            </w:r>
          </w:p>
        </w:tc>
        <w:tc>
          <w:tcPr>
            <w:tcW w:w="2657" w:type="dxa"/>
            <w:tcMar>
              <w:top w:w="60" w:type="dxa"/>
              <w:left w:w="100" w:type="dxa"/>
              <w:bottom w:w="60" w:type="dxa"/>
              <w:right w:w="100" w:type="dxa"/>
            </w:tcMar>
            <w:vAlign w:val="center"/>
          </w:tcPr>
          <w:p w14:paraId="0EA5BEF2" w14:textId="77777777" w:rsidR="001852F2" w:rsidRDefault="001852F2" w:rsidP="00CA62F5">
            <w:pPr>
              <w:pStyle w:val="OikoTables03Content"/>
            </w:pPr>
            <w:r w:rsidRPr="7E00F032">
              <w:rPr>
                <w:lang w:val="en-GB"/>
              </w:rPr>
              <w:t>Registered enterprises and experienced growers operating multiple structures, orchards or hydroponics</w:t>
            </w:r>
          </w:p>
        </w:tc>
        <w:tc>
          <w:tcPr>
            <w:tcW w:w="2965" w:type="dxa"/>
            <w:tcMar>
              <w:top w:w="60" w:type="dxa"/>
              <w:left w:w="100" w:type="dxa"/>
              <w:bottom w:w="60" w:type="dxa"/>
              <w:right w:w="100" w:type="dxa"/>
            </w:tcMar>
            <w:vAlign w:val="center"/>
          </w:tcPr>
          <w:p w14:paraId="079AFD9E" w14:textId="77777777" w:rsidR="001852F2" w:rsidRDefault="001852F2" w:rsidP="00CA62F5">
            <w:pPr>
              <w:pStyle w:val="OikoTables03Content"/>
            </w:pPr>
            <w:r w:rsidRPr="7E00F032">
              <w:rPr>
                <w:lang w:val="en-GB"/>
              </w:rPr>
              <w:t>Serve as demonstration anchors, local input suppliers and co-financing partners that de-risk technology for smaller tiers</w:t>
            </w:r>
          </w:p>
        </w:tc>
        <w:tc>
          <w:tcPr>
            <w:tcW w:w="1712" w:type="dxa"/>
            <w:tcMar>
              <w:top w:w="60" w:type="dxa"/>
              <w:left w:w="100" w:type="dxa"/>
              <w:bottom w:w="60" w:type="dxa"/>
              <w:right w:w="100" w:type="dxa"/>
            </w:tcMar>
            <w:vAlign w:val="center"/>
          </w:tcPr>
          <w:p w14:paraId="6000569C" w14:textId="77777777" w:rsidR="001852F2" w:rsidRPr="004A4A98" w:rsidRDefault="001852F2" w:rsidP="00CA62F5">
            <w:pPr>
              <w:pStyle w:val="OikoTables03Content"/>
            </w:pPr>
            <w:r>
              <w:rPr>
                <w:rFonts w:eastAsia="Times New Roman" w:cs="Times New Roman"/>
                <w:sz w:val="20"/>
                <w:szCs w:val="20"/>
              </w:rPr>
              <w:t>Tier 3</w:t>
            </w:r>
          </w:p>
        </w:tc>
      </w:tr>
      <w:tr w:rsidR="001852F2" w14:paraId="6507D960" w14:textId="77777777" w:rsidTr="006F3DAC">
        <w:tc>
          <w:tcPr>
            <w:tcW w:w="2300" w:type="dxa"/>
            <w:tcMar>
              <w:top w:w="60" w:type="dxa"/>
              <w:left w:w="100" w:type="dxa"/>
              <w:bottom w:w="60" w:type="dxa"/>
              <w:right w:w="100" w:type="dxa"/>
            </w:tcMar>
            <w:vAlign w:val="center"/>
          </w:tcPr>
          <w:p w14:paraId="257B3F2A" w14:textId="77777777" w:rsidR="001852F2" w:rsidRPr="004A4A98" w:rsidRDefault="001852F2" w:rsidP="00CA62F5">
            <w:pPr>
              <w:pStyle w:val="OikoTables03Content"/>
            </w:pPr>
            <w:proofErr w:type="gramStart"/>
            <w:r>
              <w:t>Cooperatives</w:t>
            </w:r>
            <w:proofErr w:type="gramEnd"/>
            <w:r>
              <w:t xml:space="preserve"> and water-user associations</w:t>
            </w:r>
          </w:p>
        </w:tc>
        <w:tc>
          <w:tcPr>
            <w:tcW w:w="2657" w:type="dxa"/>
            <w:tcMar>
              <w:top w:w="60" w:type="dxa"/>
              <w:left w:w="100" w:type="dxa"/>
              <w:bottom w:w="60" w:type="dxa"/>
              <w:right w:w="100" w:type="dxa"/>
            </w:tcMar>
            <w:vAlign w:val="center"/>
          </w:tcPr>
          <w:p w14:paraId="0432EF73" w14:textId="77777777" w:rsidR="001852F2" w:rsidRDefault="001852F2" w:rsidP="00CA62F5">
            <w:pPr>
              <w:pStyle w:val="OikoTables03Content"/>
            </w:pPr>
            <w:r w:rsidRPr="7E00F032">
              <w:rPr>
                <w:lang w:val="en-GB"/>
              </w:rPr>
              <w:t>Groups of producers organised to share boreholes, pumps, greenhouses, finance or marketing</w:t>
            </w:r>
          </w:p>
        </w:tc>
        <w:tc>
          <w:tcPr>
            <w:tcW w:w="2965" w:type="dxa"/>
            <w:tcMar>
              <w:top w:w="60" w:type="dxa"/>
              <w:left w:w="100" w:type="dxa"/>
              <w:bottom w:w="60" w:type="dxa"/>
              <w:right w:w="100" w:type="dxa"/>
            </w:tcMar>
            <w:vAlign w:val="center"/>
          </w:tcPr>
          <w:p w14:paraId="3118C34E" w14:textId="77777777" w:rsidR="001852F2" w:rsidRDefault="001852F2" w:rsidP="00CA62F5">
            <w:pPr>
              <w:pStyle w:val="OikoTables03Content"/>
            </w:pPr>
            <w:r>
              <w:t>Enable shared solar-pumping and collective finance/marketing where individual investment is uneconomic (Table 17)</w:t>
            </w:r>
          </w:p>
        </w:tc>
        <w:tc>
          <w:tcPr>
            <w:tcW w:w="1712" w:type="dxa"/>
            <w:tcMar>
              <w:top w:w="60" w:type="dxa"/>
              <w:left w:w="100" w:type="dxa"/>
              <w:bottom w:w="60" w:type="dxa"/>
              <w:right w:w="100" w:type="dxa"/>
            </w:tcMar>
            <w:vAlign w:val="center"/>
          </w:tcPr>
          <w:p w14:paraId="1E09477A" w14:textId="77777777" w:rsidR="001852F2" w:rsidRPr="004A4A98" w:rsidRDefault="001852F2" w:rsidP="00CA62F5">
            <w:pPr>
              <w:pStyle w:val="OikoTables03Content"/>
            </w:pPr>
            <w:r>
              <w:rPr>
                <w:rFonts w:eastAsia="Times New Roman" w:cs="Times New Roman"/>
                <w:sz w:val="20"/>
                <w:szCs w:val="20"/>
              </w:rPr>
              <w:t>Tiers 1–3</w:t>
            </w:r>
          </w:p>
        </w:tc>
      </w:tr>
    </w:tbl>
    <w:p w14:paraId="792B31B5" w14:textId="2D44BFC4" w:rsidR="001852F2" w:rsidRDefault="001852F2" w:rsidP="00D16E24">
      <w:pPr>
        <w:spacing w:before="30" w:after="120" w:line="240" w:lineRule="auto"/>
        <w:contextualSpacing w:val="0"/>
      </w:pPr>
      <w:r>
        <w:rPr>
          <w:rFonts w:eastAsia="Times New Roman" w:cs="Times New Roman"/>
          <w:i/>
          <w:iCs/>
          <w:sz w:val="18"/>
          <w:szCs w:val="18"/>
        </w:rPr>
        <w:t xml:space="preserve">Source: Authors' synthesis based on CTCN field missions (May </w:t>
      </w:r>
      <w:proofErr w:type="gramStart"/>
      <w:r>
        <w:rPr>
          <w:rFonts w:eastAsia="Times New Roman" w:cs="Times New Roman"/>
          <w:i/>
          <w:iCs/>
          <w:sz w:val="18"/>
          <w:szCs w:val="18"/>
        </w:rPr>
        <w:t>2026)</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w:t>
      </w:r>
      <w:r>
        <w:rPr>
          <w:rFonts w:eastAsia="Times New Roman" w:cs="Times New Roman"/>
          <w:i/>
          <w:iCs/>
          <w:sz w:val="18"/>
          <w:szCs w:val="18"/>
        </w:rPr>
        <w:t xml:space="preserve"> and provincial data. Groups overlap and map onto the investment tiers of Table 14; the emerging commercial segment is the core target.</w:t>
      </w:r>
    </w:p>
    <w:p w14:paraId="091ED3EF" w14:textId="6222026A" w:rsidR="001852F2" w:rsidRDefault="001852F2" w:rsidP="00016E8C">
      <w:pPr>
        <w:pStyle w:val="Heading3"/>
        <w:spacing w:before="240" w:line="240" w:lineRule="auto"/>
        <w:contextualSpacing w:val="0"/>
      </w:pPr>
      <w:bookmarkStart w:id="98" w:name="_Toc233981307"/>
      <w:r>
        <w:t>Geographic and system-based targeting</w:t>
      </w:r>
      <w:bookmarkEnd w:id="98"/>
    </w:p>
    <w:p w14:paraId="7EB52FF1" w14:textId="4584302C" w:rsidR="001852F2" w:rsidRDefault="001852F2" w:rsidP="00EB489E">
      <w:r>
        <w:t xml:space="preserve">Because crop production is spatially concentrated, targeting should follow the producers rather than spread thinly across rural areas. In Uvurkhangai, priority clusters are the central-steppe settlements of </w:t>
      </w:r>
      <w:proofErr w:type="spellStart"/>
      <w:r>
        <w:t>Arvaikheer</w:t>
      </w:r>
      <w:proofErr w:type="spellEnd"/>
      <w:r>
        <w:t xml:space="preserve"> and Kharkhorin and their surrounding soums, where producer density, water access and market links are strongest, with selective engagement in the </w:t>
      </w:r>
      <w:proofErr w:type="spellStart"/>
      <w:r>
        <w:t>Khangai</w:t>
      </w:r>
      <w:proofErr w:type="spellEnd"/>
      <w:r>
        <w:t xml:space="preserve"> mountain-steppe and southern Gobi soums according to zone-specific conditions. In Dundgovi, the small producer base is concentrated around the provincial capital </w:t>
      </w:r>
      <w:proofErr w:type="spellStart"/>
      <w:r>
        <w:t>Mandalgovi</w:t>
      </w:r>
      <w:proofErr w:type="spellEnd"/>
      <w:r>
        <w:t xml:space="preserve"> and a handful of soum centres, so the project should anchor on these and on the provincial nursery and demonstration facilities. Targeting should also be system-based (Table 16): the open-field irrigated vegetable system is the entry point for solar-powered drip irrigation, shelterbelts and fencing; the protected-cultivation system is the entry point for passive-solar greenhouses; and cooperative or water-user arrangements are the vehicle wherever shared boreholes and pumps are the only economic option. Province-specific differences — above all the greater water scarcity and harsher climate of Dundgovi — must continue to shape the technology mix, as established in Chapter 4 and developed in Chapters 7 and 8.</w:t>
      </w:r>
    </w:p>
    <w:p w14:paraId="07FD32A1" w14:textId="55877139" w:rsidR="001852F2" w:rsidRDefault="001852F2" w:rsidP="00016E8C">
      <w:pPr>
        <w:pStyle w:val="Heading3"/>
        <w:spacing w:before="240" w:line="240" w:lineRule="auto"/>
        <w:contextualSpacing w:val="0"/>
      </w:pPr>
      <w:bookmarkStart w:id="99" w:name="_Toc233981308"/>
      <w:r>
        <w:t>Beneficiary selection criteria and tier-to-package matching</w:t>
      </w:r>
      <w:bookmarkEnd w:id="99"/>
    </w:p>
    <w:p w14:paraId="178C0A8E" w14:textId="77777777" w:rsidR="001852F2" w:rsidRDefault="001852F2" w:rsidP="00EB489E">
      <w:r>
        <w:t>To ensure that support reaches genuine smallholders and that investments are sustainable, individual beneficiaries should be selected against a transparent set of criteria, namely: status as an active vegetable producer in the target provinces; secure, registered land tenure (possession) matched to the asset's lifespan, verifiable on egazar.gov.mn; access to a water source compatible with solar pumping, or willingness to join a shared-water arrangement; willingness to co-finance and, for the relevant tiers, to register as a legal entity in order to access subsidised finance; inclusion of women and other under-served producers; and a basic willingness to participate in training and maintain the technology. Applying these criteria, each tier and group is matched to an appropriately scaled package, finance route and risk-sharing layer. Table 20 sets out this matching together with indicative beneficiary numbers for project design.</w:t>
      </w:r>
    </w:p>
    <w:p w14:paraId="3FB3B4F5" w14:textId="6C31E34F" w:rsidR="00CA62F5" w:rsidRDefault="00CA62F5">
      <w:pPr>
        <w:spacing w:after="160" w:line="259" w:lineRule="auto"/>
        <w:contextualSpacing w:val="0"/>
        <w:jc w:val="left"/>
      </w:pPr>
      <w:r>
        <w:br w:type="page"/>
      </w:r>
    </w:p>
    <w:p w14:paraId="50EA3267" w14:textId="77777777" w:rsidR="00CA62F5" w:rsidRDefault="00CA62F5" w:rsidP="00EB489E"/>
    <w:p w14:paraId="7BFDCB16" w14:textId="77777777" w:rsidR="00CA62F5" w:rsidRDefault="00CA62F5" w:rsidP="00EB489E"/>
    <w:p w14:paraId="727DA8AC" w14:textId="3E8AE88E" w:rsidR="001852F2" w:rsidRDefault="001852F2" w:rsidP="00CA62F5">
      <w:pPr>
        <w:pStyle w:val="Caption"/>
        <w:framePr w:wrap="notBeside"/>
      </w:pPr>
      <w:r>
        <w:t>Table 20. Tier-to-package matching, finance route and indicative beneficiary numbers</w:t>
      </w:r>
    </w:p>
    <w:tbl>
      <w:tblPr>
        <w:tblW w:w="9634" w:type="dxa"/>
        <w:tblBorders>
          <w:top w:val="single" w:sz="4" w:space="0" w:color="BFBFBF"/>
          <w:bottom w:val="single" w:sz="4" w:space="0" w:color="BFBFBF"/>
          <w:insideH w:val="single" w:sz="4" w:space="0" w:color="BFBFBF"/>
        </w:tblBorders>
        <w:tblCellMar>
          <w:top w:w="60" w:type="dxa"/>
          <w:left w:w="100" w:type="dxa"/>
          <w:bottom w:w="60" w:type="dxa"/>
          <w:right w:w="100" w:type="dxa"/>
        </w:tblCellMar>
        <w:tblLook w:val="0000" w:firstRow="0" w:lastRow="0" w:firstColumn="0" w:lastColumn="0" w:noHBand="0" w:noVBand="0"/>
      </w:tblPr>
      <w:tblGrid>
        <w:gridCol w:w="1400"/>
        <w:gridCol w:w="2305"/>
        <w:gridCol w:w="1935"/>
        <w:gridCol w:w="2037"/>
        <w:gridCol w:w="1957"/>
      </w:tblGrid>
      <w:tr w:rsidR="001852F2" w14:paraId="4F358E1E" w14:textId="77777777" w:rsidTr="002F6FAF">
        <w:trPr>
          <w:tblHeader/>
        </w:trPr>
        <w:tc>
          <w:tcPr>
            <w:tcW w:w="1400" w:type="dxa"/>
            <w:shd w:val="clear" w:color="auto" w:fill="E99E6D" w:themeFill="accent3"/>
            <w:tcMar>
              <w:top w:w="60" w:type="dxa"/>
              <w:left w:w="100" w:type="dxa"/>
              <w:bottom w:w="60" w:type="dxa"/>
              <w:right w:w="100" w:type="dxa"/>
            </w:tcMar>
            <w:vAlign w:val="center"/>
          </w:tcPr>
          <w:p w14:paraId="59BCCC70" w14:textId="77777777" w:rsidR="001852F2" w:rsidRDefault="001852F2" w:rsidP="00ED71A8">
            <w:pPr>
              <w:pStyle w:val="OikoTables02"/>
            </w:pPr>
            <w:r>
              <w:t>Tier / group</w:t>
            </w:r>
          </w:p>
        </w:tc>
        <w:tc>
          <w:tcPr>
            <w:tcW w:w="2306" w:type="dxa"/>
            <w:shd w:val="clear" w:color="auto" w:fill="E99E6D" w:themeFill="accent3"/>
            <w:tcMar>
              <w:top w:w="60" w:type="dxa"/>
              <w:left w:w="100" w:type="dxa"/>
              <w:bottom w:w="60" w:type="dxa"/>
              <w:right w:w="100" w:type="dxa"/>
            </w:tcMar>
            <w:vAlign w:val="center"/>
          </w:tcPr>
          <w:p w14:paraId="3AFBCB91" w14:textId="77777777" w:rsidR="001852F2" w:rsidRDefault="001852F2" w:rsidP="00ED71A8">
            <w:pPr>
              <w:pStyle w:val="OikoTables02"/>
            </w:pPr>
            <w:r>
              <w:t>Recommended package</w:t>
            </w:r>
          </w:p>
        </w:tc>
        <w:tc>
          <w:tcPr>
            <w:tcW w:w="1936" w:type="dxa"/>
            <w:shd w:val="clear" w:color="auto" w:fill="E99E6D" w:themeFill="accent3"/>
            <w:tcMar>
              <w:top w:w="60" w:type="dxa"/>
              <w:left w:w="100" w:type="dxa"/>
              <w:bottom w:w="60" w:type="dxa"/>
              <w:right w:w="100" w:type="dxa"/>
            </w:tcMar>
            <w:vAlign w:val="center"/>
          </w:tcPr>
          <w:p w14:paraId="68BD3C36" w14:textId="77777777" w:rsidR="001852F2" w:rsidRDefault="001852F2" w:rsidP="00ED71A8">
            <w:pPr>
              <w:pStyle w:val="OikoTables02"/>
            </w:pPr>
            <w:r>
              <w:t>Finance &amp; risk-sharing route</w:t>
            </w:r>
          </w:p>
        </w:tc>
        <w:tc>
          <w:tcPr>
            <w:tcW w:w="2034" w:type="dxa"/>
            <w:shd w:val="clear" w:color="auto" w:fill="E99E6D" w:themeFill="accent3"/>
            <w:tcMar>
              <w:top w:w="60" w:type="dxa"/>
              <w:left w:w="100" w:type="dxa"/>
              <w:bottom w:w="60" w:type="dxa"/>
              <w:right w:w="100" w:type="dxa"/>
            </w:tcMar>
            <w:vAlign w:val="center"/>
          </w:tcPr>
          <w:p w14:paraId="3EBBC8D9" w14:textId="4C98B761" w:rsidR="001852F2" w:rsidRDefault="001852F2" w:rsidP="00ED71A8">
            <w:pPr>
              <w:pStyle w:val="OikoTables02"/>
            </w:pPr>
            <w:r>
              <w:t xml:space="preserve">Tenure / </w:t>
            </w:r>
            <w:r w:rsidR="00ED71A8">
              <w:t>organization</w:t>
            </w:r>
          </w:p>
        </w:tc>
        <w:tc>
          <w:tcPr>
            <w:tcW w:w="1958" w:type="dxa"/>
            <w:shd w:val="clear" w:color="auto" w:fill="E99E6D" w:themeFill="accent3"/>
            <w:tcMar>
              <w:top w:w="60" w:type="dxa"/>
              <w:left w:w="100" w:type="dxa"/>
              <w:bottom w:w="60" w:type="dxa"/>
              <w:right w:w="100" w:type="dxa"/>
            </w:tcMar>
            <w:vAlign w:val="center"/>
          </w:tcPr>
          <w:p w14:paraId="4514EF85" w14:textId="77777777" w:rsidR="001852F2" w:rsidRDefault="001852F2" w:rsidP="00ED71A8">
            <w:pPr>
              <w:pStyle w:val="OikoTables02"/>
            </w:pPr>
            <w:r>
              <w:t>Indicative beneficiaries</w:t>
            </w:r>
          </w:p>
        </w:tc>
      </w:tr>
      <w:tr w:rsidR="001852F2" w14:paraId="49CD1447" w14:textId="77777777" w:rsidTr="002F6FAF">
        <w:tc>
          <w:tcPr>
            <w:tcW w:w="1400" w:type="dxa"/>
            <w:tcMar>
              <w:top w:w="60" w:type="dxa"/>
              <w:left w:w="100" w:type="dxa"/>
              <w:bottom w:w="60" w:type="dxa"/>
              <w:right w:w="100" w:type="dxa"/>
            </w:tcMar>
            <w:vAlign w:val="center"/>
          </w:tcPr>
          <w:p w14:paraId="5499F5B4" w14:textId="6C384BA8" w:rsidR="001852F2" w:rsidRPr="004A4A98" w:rsidRDefault="001852F2" w:rsidP="00CA62F5">
            <w:pPr>
              <w:pStyle w:val="OikoTables03Content"/>
            </w:pPr>
            <w:r>
              <w:t>Tier 1 — Subsistence farmers</w:t>
            </w:r>
          </w:p>
        </w:tc>
        <w:tc>
          <w:tcPr>
            <w:tcW w:w="2306" w:type="dxa"/>
            <w:tcMar>
              <w:top w:w="60" w:type="dxa"/>
              <w:left w:w="100" w:type="dxa"/>
              <w:bottom w:w="60" w:type="dxa"/>
              <w:right w:w="100" w:type="dxa"/>
            </w:tcMar>
            <w:vAlign w:val="center"/>
          </w:tcPr>
          <w:p w14:paraId="3173EE4E" w14:textId="77777777" w:rsidR="001852F2" w:rsidRDefault="001852F2" w:rsidP="00CA62F5">
            <w:pPr>
              <w:pStyle w:val="OikoTables03Content"/>
            </w:pPr>
            <w:r w:rsidRPr="7E00F032">
              <w:rPr>
                <w:lang w:val="en-GB"/>
              </w:rPr>
              <w:t>Low tunnels, drip kits, improved seed, access to a shared solar pump; fencing where feasible</w:t>
            </w:r>
          </w:p>
        </w:tc>
        <w:tc>
          <w:tcPr>
            <w:tcW w:w="1936" w:type="dxa"/>
            <w:tcMar>
              <w:top w:w="60" w:type="dxa"/>
              <w:left w:w="100" w:type="dxa"/>
              <w:bottom w:w="60" w:type="dxa"/>
              <w:right w:w="100" w:type="dxa"/>
            </w:tcMar>
            <w:vAlign w:val="center"/>
          </w:tcPr>
          <w:p w14:paraId="478A001A" w14:textId="77777777" w:rsidR="001852F2" w:rsidRDefault="001852F2" w:rsidP="00CA62F5">
            <w:pPr>
              <w:pStyle w:val="OikoTables03Content"/>
            </w:pPr>
            <w:r>
              <w:t>Own funds; grants; shared/communal assets; entry-level</w:t>
            </w:r>
          </w:p>
        </w:tc>
        <w:tc>
          <w:tcPr>
            <w:tcW w:w="2034" w:type="dxa"/>
            <w:tcMar>
              <w:top w:w="60" w:type="dxa"/>
              <w:left w:w="100" w:type="dxa"/>
              <w:bottom w:w="60" w:type="dxa"/>
              <w:right w:w="100" w:type="dxa"/>
            </w:tcMar>
            <w:vAlign w:val="center"/>
          </w:tcPr>
          <w:p w14:paraId="1432B027" w14:textId="77777777" w:rsidR="001852F2" w:rsidRDefault="001852F2" w:rsidP="00CA62F5">
            <w:pPr>
              <w:pStyle w:val="OikoTables03Content"/>
            </w:pPr>
            <w:r>
              <w:t>Use rights or household plot; water-user association</w:t>
            </w:r>
          </w:p>
        </w:tc>
        <w:tc>
          <w:tcPr>
            <w:tcW w:w="1958" w:type="dxa"/>
            <w:tcMar>
              <w:top w:w="60" w:type="dxa"/>
              <w:left w:w="100" w:type="dxa"/>
              <w:bottom w:w="60" w:type="dxa"/>
              <w:right w:w="100" w:type="dxa"/>
            </w:tcMar>
            <w:vAlign w:val="center"/>
          </w:tcPr>
          <w:p w14:paraId="779C7F50" w14:textId="77777777" w:rsidR="001852F2" w:rsidRDefault="001852F2" w:rsidP="00CA62F5">
            <w:pPr>
              <w:pStyle w:val="OikoTables03Content"/>
            </w:pPr>
            <w:r>
              <w:t>Smaller share; reached via shared assets and grants</w:t>
            </w:r>
          </w:p>
        </w:tc>
      </w:tr>
      <w:tr w:rsidR="001852F2" w14:paraId="59D49914" w14:textId="77777777" w:rsidTr="002F6FAF">
        <w:tc>
          <w:tcPr>
            <w:tcW w:w="1400" w:type="dxa"/>
            <w:tcMar>
              <w:top w:w="60" w:type="dxa"/>
              <w:left w:w="100" w:type="dxa"/>
              <w:bottom w:w="60" w:type="dxa"/>
              <w:right w:w="100" w:type="dxa"/>
            </w:tcMar>
            <w:vAlign w:val="center"/>
          </w:tcPr>
          <w:p w14:paraId="5B8FB724" w14:textId="77777777" w:rsidR="001852F2" w:rsidRPr="004A4A98" w:rsidRDefault="001852F2" w:rsidP="00CA62F5">
            <w:pPr>
              <w:pStyle w:val="OikoTables03Content"/>
            </w:pPr>
            <w:r>
              <w:t>Tier 2 — Emerging commercial (CORE)</w:t>
            </w:r>
          </w:p>
        </w:tc>
        <w:tc>
          <w:tcPr>
            <w:tcW w:w="2306" w:type="dxa"/>
            <w:tcMar>
              <w:top w:w="60" w:type="dxa"/>
              <w:left w:w="100" w:type="dxa"/>
              <w:bottom w:w="60" w:type="dxa"/>
              <w:right w:w="100" w:type="dxa"/>
            </w:tcMar>
            <w:vAlign w:val="center"/>
          </w:tcPr>
          <w:p w14:paraId="3371C7A1" w14:textId="77777777" w:rsidR="001852F2" w:rsidRDefault="001852F2" w:rsidP="00CA62F5">
            <w:pPr>
              <w:pStyle w:val="OikoTables03Content"/>
            </w:pPr>
            <w:r>
              <w:t>Passive-solar greenhouse (50–300 m²) + solar-powered drip + shelterbelt — the recommended integrated package</w:t>
            </w:r>
          </w:p>
        </w:tc>
        <w:tc>
          <w:tcPr>
            <w:tcW w:w="1936" w:type="dxa"/>
            <w:tcMar>
              <w:top w:w="60" w:type="dxa"/>
              <w:left w:w="100" w:type="dxa"/>
              <w:bottom w:w="60" w:type="dxa"/>
              <w:right w:w="100" w:type="dxa"/>
            </w:tcMar>
            <w:vAlign w:val="center"/>
          </w:tcPr>
          <w:p w14:paraId="2F044661" w14:textId="77777777" w:rsidR="001852F2" w:rsidRDefault="001852F2" w:rsidP="00CA62F5">
            <w:pPr>
              <w:pStyle w:val="OikoTables03Content"/>
            </w:pPr>
            <w:proofErr w:type="spellStart"/>
            <w:r>
              <w:t>Subsidised</w:t>
            </w:r>
            <w:proofErr w:type="spellEnd"/>
            <w:r>
              <w:t xml:space="preserve"> SME loan (5%) + Credit Guarantee Fund (60%) + index insurance</w:t>
            </w:r>
          </w:p>
        </w:tc>
        <w:tc>
          <w:tcPr>
            <w:tcW w:w="2034" w:type="dxa"/>
            <w:tcMar>
              <w:top w:w="60" w:type="dxa"/>
              <w:left w:w="100" w:type="dxa"/>
              <w:bottom w:w="60" w:type="dxa"/>
              <w:right w:w="100" w:type="dxa"/>
            </w:tcMar>
            <w:vAlign w:val="center"/>
          </w:tcPr>
          <w:p w14:paraId="520CB760" w14:textId="77777777" w:rsidR="001852F2" w:rsidRDefault="001852F2" w:rsidP="00CA62F5">
            <w:pPr>
              <w:pStyle w:val="OikoTables03Content"/>
            </w:pPr>
            <w:r>
              <w:t>Registered possession; legal-entity registration; individual or cooperative pump</w:t>
            </w:r>
          </w:p>
        </w:tc>
        <w:tc>
          <w:tcPr>
            <w:tcW w:w="1958" w:type="dxa"/>
            <w:tcMar>
              <w:top w:w="60" w:type="dxa"/>
              <w:left w:w="100" w:type="dxa"/>
              <w:bottom w:w="60" w:type="dxa"/>
              <w:right w:w="100" w:type="dxa"/>
            </w:tcMar>
            <w:vAlign w:val="center"/>
          </w:tcPr>
          <w:p w14:paraId="4CE3CA4C" w14:textId="77777777" w:rsidR="001852F2" w:rsidRDefault="001852F2" w:rsidP="00CA62F5">
            <w:pPr>
              <w:pStyle w:val="OikoTables03Content"/>
            </w:pPr>
            <w:r>
              <w:t>Largest share of project beneficiaries</w:t>
            </w:r>
          </w:p>
        </w:tc>
      </w:tr>
      <w:tr w:rsidR="001852F2" w14:paraId="3E48871C" w14:textId="77777777" w:rsidTr="002F6FAF">
        <w:tc>
          <w:tcPr>
            <w:tcW w:w="1400" w:type="dxa"/>
            <w:tcMar>
              <w:top w:w="60" w:type="dxa"/>
              <w:left w:w="100" w:type="dxa"/>
              <w:bottom w:w="60" w:type="dxa"/>
              <w:right w:w="100" w:type="dxa"/>
            </w:tcMar>
            <w:vAlign w:val="center"/>
          </w:tcPr>
          <w:p w14:paraId="4C017B71" w14:textId="77777777" w:rsidR="001852F2" w:rsidRPr="004A4A98" w:rsidRDefault="001852F2" w:rsidP="00CA62F5">
            <w:pPr>
              <w:pStyle w:val="OikoTables03Content"/>
            </w:pPr>
            <w:r>
              <w:t>Tier 3 — Established / scaling</w:t>
            </w:r>
          </w:p>
        </w:tc>
        <w:tc>
          <w:tcPr>
            <w:tcW w:w="2306" w:type="dxa"/>
            <w:tcMar>
              <w:top w:w="60" w:type="dxa"/>
              <w:left w:w="100" w:type="dxa"/>
              <w:bottom w:w="60" w:type="dxa"/>
              <w:right w:w="100" w:type="dxa"/>
            </w:tcMar>
            <w:vAlign w:val="center"/>
          </w:tcPr>
          <w:p w14:paraId="6FE97C75" w14:textId="77777777" w:rsidR="001852F2" w:rsidRDefault="001852F2" w:rsidP="00CA62F5">
            <w:pPr>
              <w:pStyle w:val="OikoTables03Content"/>
            </w:pPr>
            <w:r>
              <w:t>Higher-spec or multiple greenhouses (double-film/polycarbonate), orchards/berries, hydroponics; demonstration role</w:t>
            </w:r>
          </w:p>
        </w:tc>
        <w:tc>
          <w:tcPr>
            <w:tcW w:w="1936" w:type="dxa"/>
            <w:tcMar>
              <w:top w:w="60" w:type="dxa"/>
              <w:left w:w="100" w:type="dxa"/>
              <w:bottom w:w="60" w:type="dxa"/>
              <w:right w:w="100" w:type="dxa"/>
            </w:tcMar>
            <w:vAlign w:val="center"/>
          </w:tcPr>
          <w:p w14:paraId="6B588F9C" w14:textId="77777777" w:rsidR="001852F2" w:rsidRDefault="001852F2" w:rsidP="00CA62F5">
            <w:pPr>
              <w:pStyle w:val="OikoTables03Content"/>
            </w:pPr>
            <w:r>
              <w:t xml:space="preserve">Commercial + </w:t>
            </w:r>
            <w:proofErr w:type="spellStart"/>
            <w:r>
              <w:t>subsidised</w:t>
            </w:r>
            <w:proofErr w:type="spellEnd"/>
            <w:r>
              <w:t xml:space="preserve"> loans + own savings; guarantee for larger sums</w:t>
            </w:r>
          </w:p>
        </w:tc>
        <w:tc>
          <w:tcPr>
            <w:tcW w:w="2034" w:type="dxa"/>
            <w:tcMar>
              <w:top w:w="60" w:type="dxa"/>
              <w:left w:w="100" w:type="dxa"/>
              <w:bottom w:w="60" w:type="dxa"/>
              <w:right w:w="100" w:type="dxa"/>
            </w:tcMar>
            <w:vAlign w:val="center"/>
          </w:tcPr>
          <w:p w14:paraId="3F8A3E4C" w14:textId="77777777" w:rsidR="001852F2" w:rsidRDefault="001852F2" w:rsidP="00CA62F5">
            <w:pPr>
              <w:pStyle w:val="OikoTables03Content"/>
            </w:pPr>
            <w:r>
              <w:t>Registered possession; enterprise or cooperative</w:t>
            </w:r>
          </w:p>
        </w:tc>
        <w:tc>
          <w:tcPr>
            <w:tcW w:w="1958" w:type="dxa"/>
            <w:tcMar>
              <w:top w:w="60" w:type="dxa"/>
              <w:left w:w="100" w:type="dxa"/>
              <w:bottom w:w="60" w:type="dxa"/>
              <w:right w:w="100" w:type="dxa"/>
            </w:tcMar>
            <w:vAlign w:val="center"/>
          </w:tcPr>
          <w:p w14:paraId="3584AF5E" w14:textId="77777777" w:rsidR="001852F2" w:rsidRDefault="001852F2" w:rsidP="00CA62F5">
            <w:pPr>
              <w:pStyle w:val="OikoTables03Content"/>
            </w:pPr>
            <w:r>
              <w:t>Few, high-impact demonstration anchors</w:t>
            </w:r>
          </w:p>
        </w:tc>
      </w:tr>
      <w:tr w:rsidR="001852F2" w14:paraId="463BAB73" w14:textId="77777777" w:rsidTr="002F6FAF">
        <w:tc>
          <w:tcPr>
            <w:tcW w:w="1400" w:type="dxa"/>
            <w:tcMar>
              <w:top w:w="60" w:type="dxa"/>
              <w:left w:w="100" w:type="dxa"/>
              <w:bottom w:w="60" w:type="dxa"/>
              <w:right w:w="100" w:type="dxa"/>
            </w:tcMar>
            <w:vAlign w:val="center"/>
          </w:tcPr>
          <w:p w14:paraId="7F740E77" w14:textId="77777777" w:rsidR="001852F2" w:rsidRPr="004A4A98" w:rsidRDefault="001852F2" w:rsidP="00CA62F5">
            <w:pPr>
              <w:pStyle w:val="OikoTables03Content"/>
            </w:pPr>
            <w:r>
              <w:t>Cross-cutting — Women &amp; cooperatives</w:t>
            </w:r>
          </w:p>
        </w:tc>
        <w:tc>
          <w:tcPr>
            <w:tcW w:w="2306" w:type="dxa"/>
            <w:tcMar>
              <w:top w:w="60" w:type="dxa"/>
              <w:left w:w="100" w:type="dxa"/>
              <w:bottom w:w="60" w:type="dxa"/>
              <w:right w:w="100" w:type="dxa"/>
            </w:tcMar>
            <w:vAlign w:val="center"/>
          </w:tcPr>
          <w:p w14:paraId="225BEE82" w14:textId="77777777" w:rsidR="001852F2" w:rsidRDefault="001852F2" w:rsidP="00CA62F5">
            <w:pPr>
              <w:pStyle w:val="OikoTables03Content"/>
            </w:pPr>
            <w:r>
              <w:t>Same packages, with tenure, finance and training enabled in women's own name; shared solar pumping via associations</w:t>
            </w:r>
          </w:p>
        </w:tc>
        <w:tc>
          <w:tcPr>
            <w:tcW w:w="1936" w:type="dxa"/>
            <w:tcMar>
              <w:top w:w="60" w:type="dxa"/>
              <w:left w:w="100" w:type="dxa"/>
              <w:bottom w:w="60" w:type="dxa"/>
              <w:right w:w="100" w:type="dxa"/>
            </w:tcMar>
            <w:vAlign w:val="center"/>
          </w:tcPr>
          <w:p w14:paraId="3BD9ADB2" w14:textId="77777777" w:rsidR="001852F2" w:rsidRDefault="001852F2" w:rsidP="00CA62F5">
            <w:pPr>
              <w:pStyle w:val="OikoTables03Content"/>
            </w:pPr>
            <w:r w:rsidRPr="7E00F032">
              <w:rPr>
                <w:lang w:val="en-GB"/>
              </w:rPr>
              <w:t>Gender-responsive access to all of the above instruments</w:t>
            </w:r>
          </w:p>
        </w:tc>
        <w:tc>
          <w:tcPr>
            <w:tcW w:w="2034" w:type="dxa"/>
            <w:tcMar>
              <w:top w:w="60" w:type="dxa"/>
              <w:left w:w="100" w:type="dxa"/>
              <w:bottom w:w="60" w:type="dxa"/>
              <w:right w:w="100" w:type="dxa"/>
            </w:tcMar>
            <w:vAlign w:val="center"/>
          </w:tcPr>
          <w:p w14:paraId="28E94F8C" w14:textId="77777777" w:rsidR="001852F2" w:rsidRDefault="001852F2" w:rsidP="00CA62F5">
            <w:pPr>
              <w:pStyle w:val="OikoTables03Content"/>
            </w:pPr>
            <w:r>
              <w:t>Possession/registration in own name; associations</w:t>
            </w:r>
          </w:p>
        </w:tc>
        <w:tc>
          <w:tcPr>
            <w:tcW w:w="1958" w:type="dxa"/>
            <w:tcMar>
              <w:top w:w="60" w:type="dxa"/>
              <w:left w:w="100" w:type="dxa"/>
              <w:bottom w:w="60" w:type="dxa"/>
              <w:right w:w="100" w:type="dxa"/>
            </w:tcMar>
            <w:vAlign w:val="center"/>
          </w:tcPr>
          <w:p w14:paraId="199D6516" w14:textId="77777777" w:rsidR="001852F2" w:rsidRDefault="001852F2" w:rsidP="00CA62F5">
            <w:pPr>
              <w:pStyle w:val="OikoTables03Content"/>
            </w:pPr>
            <w:r>
              <w:t>Mainstreamed across all tiers</w:t>
            </w:r>
          </w:p>
        </w:tc>
      </w:tr>
    </w:tbl>
    <w:p w14:paraId="7A2D25ED" w14:textId="77777777" w:rsidR="001852F2" w:rsidRDefault="001852F2" w:rsidP="00D16E24">
      <w:pPr>
        <w:spacing w:before="30" w:after="120" w:line="240" w:lineRule="auto"/>
        <w:contextualSpacing w:val="0"/>
      </w:pPr>
      <w:r>
        <w:rPr>
          <w:rFonts w:eastAsia="Times New Roman" w:cs="Times New Roman"/>
          <w:i/>
          <w:iCs/>
          <w:sz w:val="18"/>
          <w:szCs w:val="18"/>
        </w:rPr>
        <w:t>Source: Authors' synthesis. Packages align with the typology (Table 16) and the CBA reference units (Section 8.5); finance routes from the May 2026 mission. Beneficiary shares are indicative and to be confirmed by household-level verification during implementation.</w:t>
      </w:r>
    </w:p>
    <w:p w14:paraId="3114FC6B" w14:textId="576A323D" w:rsidR="001852F2" w:rsidRDefault="001852F2" w:rsidP="00EB489E">
      <w:r>
        <w:t>As working figures for project design, an indicative total in the order of 150–400 beneficiary households and enterprises in Uvurkhangai and 80–200 in Dundgovi is realistic, representing a meaningful subset of the active vegetable-producing households and enterprises recorded in each province (Section 5.2). These ranges are deliberately conservative and are intended to be refined through household-level verification during implementation; they should be read as planning envelopes rather than fixed quotas.</w:t>
      </w:r>
      <w:r>
        <w:rPr>
          <w:rStyle w:val="FootnoteReference"/>
        </w:rPr>
        <w:footnoteReference w:id="7"/>
      </w:r>
    </w:p>
    <w:p w14:paraId="0D247083" w14:textId="47276700" w:rsidR="001852F2" w:rsidRDefault="001852F2" w:rsidP="00A809EA">
      <w:pPr>
        <w:pStyle w:val="Heading2"/>
        <w:spacing w:before="360" w:line="240" w:lineRule="auto"/>
        <w:contextualSpacing w:val="0"/>
      </w:pPr>
      <w:bookmarkStart w:id="100" w:name="_Toc233981309"/>
      <w:r>
        <w:t>Implications for technology assessment and the cost-benefit analysis</w:t>
      </w:r>
      <w:bookmarkEnd w:id="100"/>
    </w:p>
    <w:p w14:paraId="49FD0AAF" w14:textId="66C01640" w:rsidR="001852F2" w:rsidRDefault="001852F2" w:rsidP="00EB489E">
      <w:r>
        <w:t>This socio-economic baseline yields several conclusions that carry directly into the technology assessment, the province-specific technology packages and the cost-benefit analysis. First, by defining smallholders structurally and differentiating them by investment capacity, the project retains its development focus on vulnerable producers while directing its flagship recommendations to the emerging commercial tier (Tier 2) that can both use and — through blended finance — afford them. Affordability is accordingly defined not as a household's current cash but as the investment it can mobilise through subsidised loans, partial guarantees and risk-sharing, and this is the affordability benchmark the CBA should apply.</w:t>
      </w:r>
    </w:p>
    <w:p w14:paraId="64B6745F" w14:textId="77777777" w:rsidR="00CA62F5" w:rsidRDefault="00CA62F5" w:rsidP="00EB489E"/>
    <w:p w14:paraId="0B8FC527" w14:textId="439C780D" w:rsidR="001852F2" w:rsidRDefault="001852F2" w:rsidP="00EB489E">
      <w:r>
        <w:t xml:space="preserve">Second, the baseline confirms that ownership questions are tractable and must be built into both design and selection: secure, registered possession is the basis for financing long-lived assets, and the three ownership models for solar pumps (Table 17) provide ready templates for individual, association-based and cooperative arrangements, with the abandoned communal </w:t>
      </w:r>
      <w:proofErr w:type="spellStart"/>
      <w:r>
        <w:t>Agro</w:t>
      </w:r>
      <w:proofErr w:type="spellEnd"/>
      <w:r>
        <w:t xml:space="preserve"> Park a reminder that governance, not hardware, determines sustainability. Third, the analysis reaffirms the centrality of the greenhouse decision: protected cultivation is the value driver around which the packages are built, and for Dundgovi in particular the choice between a low-cost passive-solar design and a high-specification polycarbonate structure remains the single most consequential variable for viability — a parameter the CBA must test explicitly under seasonal-operation assumptions.</w:t>
      </w:r>
    </w:p>
    <w:p w14:paraId="258B1A06" w14:textId="3F93367F" w:rsidR="001852F2" w:rsidRDefault="001852F2" w:rsidP="00EB489E">
      <w:r>
        <w:lastRenderedPageBreak/>
        <w:t>Finally, the household-level evidence sets the parameters and scenarios the CBA will examine. The field-verified sizing — open-field plots of roughly 500 m² to 1 ha and greenhouses of about 50–300 m² — defines the reference units; the gender, finance, input and extension constraints define the enabling conditions on which adoption depends; and the tiered, package-based logic defines what the CBA should compare. Consistent with the report's scenario structure, the analysis should test a baseline against improved irrigation, irrigation plus greenhouse, irrigation plus agroforestry, a fully integrated package, and an insurance-only variant, evaluated separately for each province. In this way, the characterisation of beneficiaries and farming systems established in this chapter provides the socio-economic foundation on which the technical and economic feasibility of the proposed interventions is assessed in the chapters that follow.</w:t>
      </w:r>
    </w:p>
    <w:p w14:paraId="49F5F70C" w14:textId="3D60B4B9" w:rsidR="001852F2" w:rsidRDefault="001852F2" w:rsidP="00EB489E"/>
    <w:p w14:paraId="4201F76C" w14:textId="469B3EB2" w:rsidR="00CA62F5" w:rsidRDefault="00CA62F5">
      <w:pPr>
        <w:spacing w:after="160" w:line="259" w:lineRule="auto"/>
        <w:contextualSpacing w:val="0"/>
        <w:jc w:val="left"/>
      </w:pPr>
      <w:r>
        <w:br w:type="page"/>
      </w:r>
    </w:p>
    <w:p w14:paraId="2932F1BB" w14:textId="47F44B26" w:rsidR="000D4B04" w:rsidRPr="00E35798" w:rsidRDefault="00D91847" w:rsidP="00D16E24">
      <w:pPr>
        <w:pStyle w:val="Heading1"/>
        <w:spacing w:line="240" w:lineRule="auto"/>
        <w:contextualSpacing w:val="0"/>
      </w:pPr>
      <w:bookmarkStart w:id="101" w:name="_Toc233981310"/>
      <w:r>
        <w:lastRenderedPageBreak/>
        <w:t>Market Assessment</w:t>
      </w:r>
      <w:bookmarkEnd w:id="101"/>
    </w:p>
    <w:p w14:paraId="2BEC9FBF" w14:textId="77777777" w:rsidR="00CA3072" w:rsidRDefault="00CA3072" w:rsidP="00016E8C">
      <w:pPr>
        <w:spacing w:before="240" w:after="120" w:line="240" w:lineRule="auto"/>
        <w:contextualSpacing w:val="0"/>
      </w:pPr>
      <w:r>
        <w:t xml:space="preserve">The </w:t>
      </w:r>
      <w:r>
        <w:rPr>
          <w:rFonts w:eastAsia="Times New Roman" w:cs="Times New Roman"/>
        </w:rPr>
        <w:t xml:space="preserve">central purpose </w:t>
      </w:r>
      <w:r>
        <w:t xml:space="preserve">of this chapter </w:t>
      </w:r>
      <w:r>
        <w:rPr>
          <w:rFonts w:eastAsia="Times New Roman" w:cs="Times New Roman"/>
        </w:rPr>
        <w:t xml:space="preserve">is to provide the market rationale for the technology recommendations — that is, to </w:t>
      </w:r>
      <w:r>
        <w:t xml:space="preserve">examine based on </w:t>
      </w:r>
      <w:r>
        <w:rPr>
          <w:rFonts w:eastAsia="Times New Roman" w:cs="Times New Roman"/>
        </w:rPr>
        <w:t xml:space="preserve">evidence, </w:t>
      </w:r>
      <w:r>
        <w:t xml:space="preserve">whether </w:t>
      </w:r>
      <w:r>
        <w:rPr>
          <w:rFonts w:eastAsia="Times New Roman" w:cs="Times New Roman"/>
        </w:rPr>
        <w:t xml:space="preserve">the available market potential will allow </w:t>
      </w:r>
      <w:r>
        <w:t xml:space="preserve">the </w:t>
      </w:r>
      <w:r>
        <w:rPr>
          <w:rFonts w:eastAsia="Times New Roman" w:cs="Times New Roman"/>
        </w:rPr>
        <w:t>targeted smallholders to recover their investment and earn a positive return</w:t>
      </w:r>
      <w:r>
        <w:t xml:space="preserve"> if they </w:t>
      </w:r>
      <w:r>
        <w:rPr>
          <w:rFonts w:eastAsia="Times New Roman" w:cs="Times New Roman"/>
        </w:rPr>
        <w:t>invest in the recommended solar-powered irrigation, greenhouse and agroforestry-supported production systems. The chapter therefore deliberately connects market conditions to the technology and cost-benefit analysis that follows, rather than treating the market as a stand-alone topic.</w:t>
      </w:r>
      <w:r>
        <w:t xml:space="preserve"> </w:t>
      </w:r>
      <w:r>
        <w:rPr>
          <w:rFonts w:eastAsia="Times New Roman" w:cs="Times New Roman"/>
        </w:rPr>
        <w:t>The assessment proceeds in five steps: it characterises national demand and its drivers; constructs the national supply–demand balance and measures self-sufficiency; analyses the scale, composition and origin of imports and the resulting import-substitution opportunity; examines seasonality, prices and the off-season premium; and reviews market access, value chains and logistics, with particular attention to the two target provinces. It closes by drawing out the implications for technology feasibility and return on investment.</w:t>
      </w:r>
    </w:p>
    <w:p w14:paraId="2FB926CC" w14:textId="7ECE37AF" w:rsidR="00CA3072" w:rsidRDefault="00CA3072" w:rsidP="00EB489E">
      <w:r>
        <w:t>The analysis follows the apparent-consumption method commonly used in national market studies, in which total market supply is measured as domestic production minus exports plus imports, and self-sufficiency as the domestic share of that supply.</w:t>
      </w:r>
      <w:r>
        <w:rPr>
          <w:sz w:val="18"/>
          <w:szCs w:val="18"/>
          <w:vertAlign w:val="superscript"/>
        </w:rPr>
        <w:t xml:space="preserve"> [5]</w:t>
      </w:r>
      <w:r>
        <w:t xml:space="preserve"> In line with the project's convention, and with national statistical practice, potato is treated separately from vegetables while melons and watermelon are counted as vegetables. The evidence base combines official 2024 statistics — the National Statistics Office (NSO) agricultural data on the 1212.mn </w:t>
      </w:r>
      <w:proofErr w:type="gramStart"/>
      <w:r>
        <w:t>portal</w:t>
      </w:r>
      <w:r>
        <w:rPr>
          <w:sz w:val="18"/>
          <w:szCs w:val="18"/>
          <w:vertAlign w:val="superscript"/>
        </w:rPr>
        <w:t>[</w:t>
      </w:r>
      <w:proofErr w:type="gramEnd"/>
      <w:r>
        <w:rPr>
          <w:sz w:val="18"/>
          <w:szCs w:val="18"/>
          <w:vertAlign w:val="superscript"/>
        </w:rPr>
        <w:t>43, 44]</w:t>
      </w:r>
      <w:r>
        <w:t xml:space="preserve"> and the 2024 foreign-trade records of the Customs General Administration of </w:t>
      </w:r>
      <w:proofErr w:type="gramStart"/>
      <w:r>
        <w:t>Mongolia</w:t>
      </w:r>
      <w:r>
        <w:rPr>
          <w:sz w:val="18"/>
          <w:szCs w:val="18"/>
          <w:vertAlign w:val="superscript"/>
        </w:rPr>
        <w:t>[</w:t>
      </w:r>
      <w:proofErr w:type="gramEnd"/>
      <w:r>
        <w:rPr>
          <w:sz w:val="18"/>
          <w:szCs w:val="18"/>
          <w:vertAlign w:val="superscript"/>
        </w:rPr>
        <w:t>9]</w:t>
      </w:r>
      <w:r>
        <w:t xml:space="preserve"> — with authoritative secondary sources, including the Asian Development Bank's value-chain study, FAO material, two earlier market analyses prepared for Mongolian vegetable-sector projects, and the project's own May 2026 field missions. Because the 2025 statistical yearbook is not yet available, 2024 is used as the reference year throughout for production, consumption and trade data.</w:t>
      </w:r>
    </w:p>
    <w:p w14:paraId="6D1233BA" w14:textId="49880D70" w:rsidR="00CA3072" w:rsidRDefault="00CA3072" w:rsidP="00016E8C">
      <w:pPr>
        <w:pStyle w:val="Heading2"/>
        <w:spacing w:before="360" w:line="240" w:lineRule="auto"/>
        <w:contextualSpacing w:val="0"/>
      </w:pPr>
      <w:bookmarkStart w:id="102" w:name="_Toc233981311"/>
      <w:r>
        <w:t>National vegetable demand</w:t>
      </w:r>
      <w:bookmarkEnd w:id="102"/>
    </w:p>
    <w:p w14:paraId="6E575BAE" w14:textId="0378639F" w:rsidR="00CA3072" w:rsidRDefault="00CA3072" w:rsidP="00016E8C">
      <w:pPr>
        <w:pStyle w:val="Heading3"/>
        <w:spacing w:before="240" w:line="240" w:lineRule="auto"/>
        <w:contextualSpacing w:val="0"/>
      </w:pPr>
      <w:bookmarkStart w:id="103" w:name="_Toc233981312"/>
      <w:r>
        <w:t>Demand drivers</w:t>
      </w:r>
      <w:bookmarkEnd w:id="103"/>
    </w:p>
    <w:p w14:paraId="5D54C10F" w14:textId="65D25EE4" w:rsidR="00CA3072" w:rsidRPr="002551F8" w:rsidRDefault="00CA3072" w:rsidP="00EB489E">
      <w:r>
        <w:t xml:space="preserve">Demand for vegetables in Mongolia is on a sustained upward path, driven by four reinforcing factors. The first is </w:t>
      </w:r>
      <w:r>
        <w:rPr>
          <w:b/>
          <w:bCs/>
        </w:rPr>
        <w:t>population growth</w:t>
      </w:r>
      <w:r>
        <w:t>: the population reached about 3.5 million in 2024 and continues to grow at over 1% per year, steadily enlarging the consumer base.</w:t>
      </w:r>
      <w:r>
        <w:rPr>
          <w:rStyle w:val="FootnoteReference"/>
        </w:rPr>
        <w:footnoteReference w:id="8"/>
      </w:r>
      <w:r>
        <w:t xml:space="preserve"> The second is </w:t>
      </w:r>
      <w:r>
        <w:rPr>
          <w:b/>
          <w:bCs/>
        </w:rPr>
        <w:t>urbanisation</w:t>
      </w:r>
      <w:r>
        <w:t>: roughly three quarters of the population is now urban and close to half lives in Ulaanbaatar, which concentrates demand in a small number of large markets that depend almost entirely on produce brought in from elsewhere.</w:t>
      </w:r>
      <w:r>
        <w:rPr>
          <w:sz w:val="18"/>
          <w:szCs w:val="18"/>
          <w:vertAlign w:val="superscript"/>
        </w:rPr>
        <w:t>[44, 66]</w:t>
      </w:r>
      <w:r>
        <w:t xml:space="preserve"> The third is </w:t>
      </w:r>
      <w:r>
        <w:rPr>
          <w:b/>
          <w:bCs/>
        </w:rPr>
        <w:t>rising incomes and a dietary transition</w:t>
      </w:r>
      <w:r>
        <w:t xml:space="preserve"> away from an overwhelmingly meat- and dairy-based diet towards greater consumption of fresh produce, reinforced by growing health awareness. The fourth is </w:t>
      </w:r>
      <w:r>
        <w:rPr>
          <w:b/>
          <w:bCs/>
        </w:rPr>
        <w:t>policy</w:t>
      </w:r>
      <w:r>
        <w:t xml:space="preserve">: food security and vegetable self-sufficiency are explicit national priorities, supported by the Parliament Resolution No. 36 on food supply and security, Vision 2050 and the New Recovery Policy, which together create sustained public demand-side support for domestic production and import </w:t>
      </w:r>
      <w:proofErr w:type="gramStart"/>
      <w:r>
        <w:t>substitution.</w:t>
      </w:r>
      <w:r>
        <w:rPr>
          <w:sz w:val="18"/>
          <w:szCs w:val="18"/>
          <w:vertAlign w:val="superscript"/>
        </w:rPr>
        <w:t>[</w:t>
      </w:r>
      <w:proofErr w:type="gramEnd"/>
      <w:r>
        <w:rPr>
          <w:sz w:val="18"/>
          <w:szCs w:val="18"/>
          <w:vertAlign w:val="superscript"/>
        </w:rPr>
        <w:t>60, 61, 62]</w:t>
      </w:r>
      <w:r>
        <w:t xml:space="preserve"> Together, these drivers point to a market that is growing in absolute size and shifting in composition toward the fresh vegetables that the project targets.</w:t>
      </w:r>
    </w:p>
    <w:p w14:paraId="4A5C1476" w14:textId="177F5323" w:rsidR="00CA3072" w:rsidRDefault="00CA3072" w:rsidP="00016E8C">
      <w:pPr>
        <w:pStyle w:val="Heading3"/>
        <w:spacing w:before="240" w:line="240" w:lineRule="auto"/>
        <w:contextualSpacing w:val="0"/>
      </w:pPr>
      <w:bookmarkStart w:id="105" w:name="_Toc233981313"/>
      <w:r>
        <w:t>Consumption levels and the nutrition gap</w:t>
      </w:r>
      <w:bookmarkEnd w:id="105"/>
    </w:p>
    <w:p w14:paraId="4989D938" w14:textId="29D5244E" w:rsidR="00CA3072" w:rsidRDefault="00CA3072" w:rsidP="00EB489E">
      <w:r>
        <w:t>Apparent vegetable consumption in 2024 — total market supply divided by population — was on the order of 116 kg per person per year (Section 6.2).</w:t>
      </w:r>
      <w:r>
        <w:rPr>
          <w:sz w:val="18"/>
          <w:szCs w:val="18"/>
          <w:vertAlign w:val="superscript"/>
        </w:rPr>
        <w:t xml:space="preserve"> [9, 43]</w:t>
      </w:r>
      <w:r>
        <w:rPr>
          <w:rStyle w:val="FootnoteReference"/>
        </w:rPr>
        <w:footnoteReference w:id="9"/>
      </w:r>
      <w:r>
        <w:t xml:space="preserve"> This gross availability figure, however, overstates what reaches the plate, because it is reduced by substantial post-harvest losses and waste before consumption. Direct measurement of intake tells a different and important story: Mongolia's recommended dietary intake is about 260 g of vegetables per person per day (roughly 95 kg per year), yet household survey data show actual intake far below this — only about one fifth of the level implied by international planetary-health-diet benchmarks, and lowest in rural areas and in the long cold season.</w:t>
      </w:r>
      <w:r>
        <w:rPr>
          <w:rStyle w:val="FootnoteReference"/>
        </w:rPr>
        <w:footnoteReference w:id="10"/>
      </w:r>
      <w:r>
        <w:t xml:space="preserve"> FAO's dietary guidance for Mongolia likewise recommends at least three servings of vegetables a day, a level most of the population does not reach.</w:t>
      </w:r>
      <w:r>
        <w:rPr>
          <w:sz w:val="18"/>
          <w:szCs w:val="18"/>
          <w:vertAlign w:val="superscript"/>
        </w:rPr>
        <w:t>[17]</w:t>
      </w:r>
      <w:r>
        <w:t xml:space="preserve"> The </w:t>
      </w:r>
      <w:r>
        <w:lastRenderedPageBreak/>
        <w:t>gap between recommended and actual intake is itself a measure of latent demand: as incomes rise, as cold-season availability improves and as nutrition awareness grows, per-capita consumption has clear room to increase, expanding the market beyond what population growth alone would deliver. Table 21 summarises the principal demand drivers and consumption benchmarks.</w:t>
      </w:r>
    </w:p>
    <w:p w14:paraId="7304F372" w14:textId="77777777" w:rsidR="00CA62F5" w:rsidRDefault="00CA62F5" w:rsidP="00EB489E"/>
    <w:p w14:paraId="485F17D4" w14:textId="77777777" w:rsidR="00CA3072" w:rsidRDefault="00CA3072" w:rsidP="00CA62F5">
      <w:pPr>
        <w:pStyle w:val="Caption"/>
        <w:framePr w:wrap="notBeside"/>
      </w:pPr>
      <w:r>
        <w:t>Table 21. National vegetable demand drivers and consumption benchmarks (2024)</w:t>
      </w: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Look w:val="0000" w:firstRow="0" w:lastRow="0" w:firstColumn="0" w:lastColumn="0" w:noHBand="0" w:noVBand="0"/>
      </w:tblPr>
      <w:tblGrid>
        <w:gridCol w:w="2550"/>
        <w:gridCol w:w="3542"/>
        <w:gridCol w:w="3542"/>
      </w:tblGrid>
      <w:tr w:rsidR="00CA3072" w14:paraId="76FF20F2" w14:textId="77777777" w:rsidTr="003F1941">
        <w:trPr>
          <w:tblHeader/>
        </w:trPr>
        <w:tc>
          <w:tcPr>
            <w:tcW w:w="2550" w:type="dxa"/>
            <w:shd w:val="clear" w:color="auto" w:fill="E99E6D" w:themeFill="accent3"/>
            <w:tcMar>
              <w:top w:w="60" w:type="dxa"/>
              <w:left w:w="100" w:type="dxa"/>
              <w:bottom w:w="60" w:type="dxa"/>
              <w:right w:w="100" w:type="dxa"/>
            </w:tcMar>
            <w:vAlign w:val="center"/>
          </w:tcPr>
          <w:p w14:paraId="0321FBBB" w14:textId="77777777" w:rsidR="00CA3072" w:rsidRDefault="00CA3072" w:rsidP="00ED71A8">
            <w:pPr>
              <w:pStyle w:val="OikoTables02"/>
            </w:pPr>
            <w:r>
              <w:t>Driver / benchmark</w:t>
            </w:r>
          </w:p>
        </w:tc>
        <w:tc>
          <w:tcPr>
            <w:tcW w:w="3542" w:type="dxa"/>
            <w:shd w:val="clear" w:color="auto" w:fill="E99E6D" w:themeFill="accent3"/>
            <w:tcMar>
              <w:top w:w="60" w:type="dxa"/>
              <w:left w:w="100" w:type="dxa"/>
              <w:bottom w:w="60" w:type="dxa"/>
              <w:right w:w="100" w:type="dxa"/>
            </w:tcMar>
            <w:vAlign w:val="center"/>
          </w:tcPr>
          <w:p w14:paraId="49C2F4FF" w14:textId="77777777" w:rsidR="00CA3072" w:rsidRDefault="00CA3072" w:rsidP="00ED71A8">
            <w:pPr>
              <w:pStyle w:val="OikoTables02"/>
            </w:pPr>
            <w:r>
              <w:t>Indicator</w:t>
            </w:r>
          </w:p>
        </w:tc>
        <w:tc>
          <w:tcPr>
            <w:tcW w:w="3542" w:type="dxa"/>
            <w:shd w:val="clear" w:color="auto" w:fill="E99E6D" w:themeFill="accent3"/>
            <w:tcMar>
              <w:top w:w="60" w:type="dxa"/>
              <w:left w:w="100" w:type="dxa"/>
              <w:bottom w:w="60" w:type="dxa"/>
              <w:right w:w="100" w:type="dxa"/>
            </w:tcMar>
            <w:vAlign w:val="center"/>
          </w:tcPr>
          <w:p w14:paraId="573DC017" w14:textId="77777777" w:rsidR="00CA3072" w:rsidRDefault="00CA3072" w:rsidP="00ED71A8">
            <w:pPr>
              <w:pStyle w:val="OikoTables02"/>
            </w:pPr>
            <w:r>
              <w:t>Implication for demand</w:t>
            </w:r>
          </w:p>
        </w:tc>
      </w:tr>
      <w:tr w:rsidR="00CA3072" w14:paraId="4E04D4C5" w14:textId="77777777" w:rsidTr="003F1941">
        <w:tc>
          <w:tcPr>
            <w:tcW w:w="2550" w:type="dxa"/>
            <w:tcMar>
              <w:top w:w="60" w:type="dxa"/>
              <w:left w:w="100" w:type="dxa"/>
              <w:bottom w:w="60" w:type="dxa"/>
              <w:right w:w="100" w:type="dxa"/>
            </w:tcMar>
            <w:vAlign w:val="center"/>
          </w:tcPr>
          <w:p w14:paraId="349FE803" w14:textId="77777777" w:rsidR="00CA3072" w:rsidRPr="00BF7384" w:rsidRDefault="00CA3072" w:rsidP="00CA62F5">
            <w:pPr>
              <w:pStyle w:val="OikoTables03Content"/>
            </w:pPr>
            <w:r>
              <w:t>Population</w:t>
            </w:r>
          </w:p>
        </w:tc>
        <w:tc>
          <w:tcPr>
            <w:tcW w:w="3542" w:type="dxa"/>
            <w:tcMar>
              <w:top w:w="60" w:type="dxa"/>
              <w:left w:w="100" w:type="dxa"/>
              <w:bottom w:w="60" w:type="dxa"/>
              <w:right w:w="100" w:type="dxa"/>
            </w:tcMar>
            <w:vAlign w:val="center"/>
          </w:tcPr>
          <w:p w14:paraId="75949DEB" w14:textId="77777777" w:rsidR="00CA3072" w:rsidRDefault="00CA3072" w:rsidP="00CA62F5">
            <w:pPr>
              <w:pStyle w:val="OikoTables03Content"/>
            </w:pPr>
            <w:r>
              <w:t>≈ 3.5 million (2024), growing &gt; 1% per year</w:t>
            </w:r>
          </w:p>
        </w:tc>
        <w:tc>
          <w:tcPr>
            <w:tcW w:w="3542" w:type="dxa"/>
            <w:tcMar>
              <w:top w:w="60" w:type="dxa"/>
              <w:left w:w="100" w:type="dxa"/>
              <w:bottom w:w="60" w:type="dxa"/>
              <w:right w:w="100" w:type="dxa"/>
            </w:tcMar>
            <w:vAlign w:val="center"/>
          </w:tcPr>
          <w:p w14:paraId="617B309D" w14:textId="77777777" w:rsidR="00CA3072" w:rsidRDefault="00CA3072" w:rsidP="00CA62F5">
            <w:pPr>
              <w:pStyle w:val="OikoTables03Content"/>
            </w:pPr>
            <w:r>
              <w:t>Steadily expanding consumer base</w:t>
            </w:r>
          </w:p>
        </w:tc>
      </w:tr>
      <w:tr w:rsidR="00CA3072" w14:paraId="26F8B4C3" w14:textId="77777777" w:rsidTr="003F1941">
        <w:tc>
          <w:tcPr>
            <w:tcW w:w="2550" w:type="dxa"/>
            <w:tcMar>
              <w:top w:w="60" w:type="dxa"/>
              <w:left w:w="100" w:type="dxa"/>
              <w:bottom w:w="60" w:type="dxa"/>
              <w:right w:w="100" w:type="dxa"/>
            </w:tcMar>
            <w:vAlign w:val="center"/>
          </w:tcPr>
          <w:p w14:paraId="2A636C53" w14:textId="77777777" w:rsidR="00CA3072" w:rsidRPr="00BF7384" w:rsidRDefault="00CA3072" w:rsidP="00CA62F5">
            <w:pPr>
              <w:pStyle w:val="OikoTables03Content"/>
            </w:pPr>
            <w:proofErr w:type="spellStart"/>
            <w:r>
              <w:t>Urbanisation</w:t>
            </w:r>
            <w:proofErr w:type="spellEnd"/>
          </w:p>
        </w:tc>
        <w:tc>
          <w:tcPr>
            <w:tcW w:w="3542" w:type="dxa"/>
            <w:tcMar>
              <w:top w:w="60" w:type="dxa"/>
              <w:left w:w="100" w:type="dxa"/>
              <w:bottom w:w="60" w:type="dxa"/>
              <w:right w:w="100" w:type="dxa"/>
            </w:tcMar>
            <w:vAlign w:val="center"/>
          </w:tcPr>
          <w:p w14:paraId="433F6F10" w14:textId="77777777" w:rsidR="00CA3072" w:rsidRDefault="00CA3072" w:rsidP="00CA62F5">
            <w:pPr>
              <w:pStyle w:val="OikoTables03Content"/>
            </w:pPr>
            <w:proofErr w:type="gramStart"/>
            <w:r>
              <w:t>≈ 75%</w:t>
            </w:r>
            <w:proofErr w:type="gramEnd"/>
            <w:r>
              <w:t xml:space="preserve"> urban; close to half in Ulaanbaatar</w:t>
            </w:r>
          </w:p>
        </w:tc>
        <w:tc>
          <w:tcPr>
            <w:tcW w:w="3542" w:type="dxa"/>
            <w:tcMar>
              <w:top w:w="60" w:type="dxa"/>
              <w:left w:w="100" w:type="dxa"/>
              <w:bottom w:w="60" w:type="dxa"/>
              <w:right w:w="100" w:type="dxa"/>
            </w:tcMar>
            <w:vAlign w:val="center"/>
          </w:tcPr>
          <w:p w14:paraId="73949A84" w14:textId="77777777" w:rsidR="00CA3072" w:rsidRDefault="00CA3072" w:rsidP="00CA62F5">
            <w:pPr>
              <w:pStyle w:val="OikoTables03Content"/>
            </w:pPr>
            <w:r>
              <w:t>Demand concentrated in markets supplied from outside the city</w:t>
            </w:r>
          </w:p>
        </w:tc>
      </w:tr>
      <w:tr w:rsidR="00CA3072" w14:paraId="435A1EFD" w14:textId="77777777" w:rsidTr="003F1941">
        <w:tc>
          <w:tcPr>
            <w:tcW w:w="2550" w:type="dxa"/>
            <w:tcMar>
              <w:top w:w="60" w:type="dxa"/>
              <w:left w:w="100" w:type="dxa"/>
              <w:bottom w:w="60" w:type="dxa"/>
              <w:right w:w="100" w:type="dxa"/>
            </w:tcMar>
            <w:vAlign w:val="center"/>
          </w:tcPr>
          <w:p w14:paraId="2E3B6B97" w14:textId="77777777" w:rsidR="00CA3072" w:rsidRPr="00BF7384" w:rsidRDefault="00CA3072" w:rsidP="00CA62F5">
            <w:pPr>
              <w:pStyle w:val="OikoTables03Content"/>
            </w:pPr>
            <w:r>
              <w:t>Apparent consumption</w:t>
            </w:r>
          </w:p>
        </w:tc>
        <w:tc>
          <w:tcPr>
            <w:tcW w:w="3542" w:type="dxa"/>
            <w:tcMar>
              <w:top w:w="60" w:type="dxa"/>
              <w:left w:w="100" w:type="dxa"/>
              <w:bottom w:w="60" w:type="dxa"/>
              <w:right w:w="100" w:type="dxa"/>
            </w:tcMar>
            <w:vAlign w:val="center"/>
          </w:tcPr>
          <w:p w14:paraId="389B5606" w14:textId="77777777" w:rsidR="00CA3072" w:rsidRDefault="00CA3072" w:rsidP="00CA62F5">
            <w:pPr>
              <w:pStyle w:val="OikoTables03Content"/>
            </w:pPr>
            <w:r>
              <w:t>≈ 116 kg per person per year (gross availability)</w:t>
            </w:r>
          </w:p>
        </w:tc>
        <w:tc>
          <w:tcPr>
            <w:tcW w:w="3542" w:type="dxa"/>
            <w:tcMar>
              <w:top w:w="60" w:type="dxa"/>
              <w:left w:w="100" w:type="dxa"/>
              <w:bottom w:w="60" w:type="dxa"/>
              <w:right w:w="100" w:type="dxa"/>
            </w:tcMar>
            <w:vAlign w:val="center"/>
          </w:tcPr>
          <w:p w14:paraId="3A3FF9AC" w14:textId="77777777" w:rsidR="00CA3072" w:rsidRDefault="00CA3072" w:rsidP="00CA62F5">
            <w:pPr>
              <w:pStyle w:val="OikoTables03Content"/>
            </w:pPr>
            <w:r>
              <w:t>Sizeable existing market; gross of post-harvest losses</w:t>
            </w:r>
          </w:p>
        </w:tc>
      </w:tr>
      <w:tr w:rsidR="00CA3072" w14:paraId="4E6662CD" w14:textId="77777777" w:rsidTr="003F1941">
        <w:tc>
          <w:tcPr>
            <w:tcW w:w="2550" w:type="dxa"/>
            <w:tcMar>
              <w:top w:w="60" w:type="dxa"/>
              <w:left w:w="100" w:type="dxa"/>
              <w:bottom w:w="60" w:type="dxa"/>
              <w:right w:w="100" w:type="dxa"/>
            </w:tcMar>
            <w:vAlign w:val="center"/>
          </w:tcPr>
          <w:p w14:paraId="7363B223" w14:textId="77777777" w:rsidR="00CA3072" w:rsidRPr="00BF7384" w:rsidRDefault="00CA3072" w:rsidP="00CA62F5">
            <w:pPr>
              <w:pStyle w:val="OikoTables03Content"/>
            </w:pPr>
            <w:r>
              <w:t>Recommended intake</w:t>
            </w:r>
          </w:p>
        </w:tc>
        <w:tc>
          <w:tcPr>
            <w:tcW w:w="3542" w:type="dxa"/>
            <w:tcMar>
              <w:top w:w="60" w:type="dxa"/>
              <w:left w:w="100" w:type="dxa"/>
              <w:bottom w:w="60" w:type="dxa"/>
              <w:right w:w="100" w:type="dxa"/>
            </w:tcMar>
            <w:vAlign w:val="center"/>
          </w:tcPr>
          <w:p w14:paraId="52B5EDF0" w14:textId="77777777" w:rsidR="00CA3072" w:rsidRDefault="00CA3072" w:rsidP="00CA62F5">
            <w:pPr>
              <w:pStyle w:val="OikoTables03Content"/>
            </w:pPr>
            <w:r>
              <w:t>≈ 260 g/day ≈ 95 kg/year (Mongolian RDI)</w:t>
            </w:r>
          </w:p>
        </w:tc>
        <w:tc>
          <w:tcPr>
            <w:tcW w:w="3542" w:type="dxa"/>
            <w:tcMar>
              <w:top w:w="60" w:type="dxa"/>
              <w:left w:w="100" w:type="dxa"/>
              <w:bottom w:w="60" w:type="dxa"/>
              <w:right w:w="100" w:type="dxa"/>
            </w:tcMar>
            <w:vAlign w:val="center"/>
          </w:tcPr>
          <w:p w14:paraId="2875E888" w14:textId="77777777" w:rsidR="00CA3072" w:rsidRDefault="00CA3072" w:rsidP="00CA62F5">
            <w:pPr>
              <w:pStyle w:val="OikoTables03Content"/>
            </w:pPr>
            <w:r>
              <w:t>Benchmark for a healthy diet; basis for demand targets</w:t>
            </w:r>
          </w:p>
        </w:tc>
      </w:tr>
      <w:tr w:rsidR="00CA3072" w14:paraId="1A27875C" w14:textId="77777777" w:rsidTr="003F1941">
        <w:tc>
          <w:tcPr>
            <w:tcW w:w="2550" w:type="dxa"/>
            <w:tcMar>
              <w:top w:w="60" w:type="dxa"/>
              <w:left w:w="100" w:type="dxa"/>
              <w:bottom w:w="60" w:type="dxa"/>
              <w:right w:w="100" w:type="dxa"/>
            </w:tcMar>
            <w:vAlign w:val="center"/>
          </w:tcPr>
          <w:p w14:paraId="48E9318E" w14:textId="77777777" w:rsidR="00CA3072" w:rsidRPr="00BF7384" w:rsidRDefault="00CA3072" w:rsidP="00CA62F5">
            <w:pPr>
              <w:pStyle w:val="OikoTables03Content"/>
            </w:pPr>
            <w:r>
              <w:t>Actual intake</w:t>
            </w:r>
          </w:p>
        </w:tc>
        <w:tc>
          <w:tcPr>
            <w:tcW w:w="3542" w:type="dxa"/>
            <w:tcMar>
              <w:top w:w="60" w:type="dxa"/>
              <w:left w:w="100" w:type="dxa"/>
              <w:bottom w:w="60" w:type="dxa"/>
              <w:right w:w="100" w:type="dxa"/>
            </w:tcMar>
            <w:vAlign w:val="center"/>
          </w:tcPr>
          <w:p w14:paraId="351F01AF" w14:textId="77777777" w:rsidR="00CA3072" w:rsidRDefault="00CA3072" w:rsidP="00CA62F5">
            <w:pPr>
              <w:pStyle w:val="OikoTables03Content"/>
            </w:pPr>
            <w:r>
              <w:t xml:space="preserve">Well </w:t>
            </w:r>
            <w:proofErr w:type="gramStart"/>
            <w:r>
              <w:t>below recommended; ≈</w:t>
            </w:r>
            <w:proofErr w:type="gramEnd"/>
            <w:r>
              <w:t xml:space="preserve"> one fifth of EAT-Lancet level</w:t>
            </w:r>
          </w:p>
        </w:tc>
        <w:tc>
          <w:tcPr>
            <w:tcW w:w="3542" w:type="dxa"/>
            <w:tcMar>
              <w:top w:w="60" w:type="dxa"/>
              <w:left w:w="100" w:type="dxa"/>
              <w:bottom w:w="60" w:type="dxa"/>
              <w:right w:w="100" w:type="dxa"/>
            </w:tcMar>
            <w:vAlign w:val="center"/>
          </w:tcPr>
          <w:p w14:paraId="01905C09" w14:textId="77777777" w:rsidR="00CA3072" w:rsidRDefault="00CA3072" w:rsidP="00CA62F5">
            <w:pPr>
              <w:pStyle w:val="OikoTables03Content"/>
            </w:pPr>
            <w:r>
              <w:t>Large latent demand as incomes and awareness rise</w:t>
            </w:r>
          </w:p>
        </w:tc>
      </w:tr>
      <w:tr w:rsidR="00CA3072" w14:paraId="6740B6BC" w14:textId="77777777" w:rsidTr="003F1941">
        <w:tc>
          <w:tcPr>
            <w:tcW w:w="2550" w:type="dxa"/>
            <w:tcMar>
              <w:top w:w="60" w:type="dxa"/>
              <w:left w:w="100" w:type="dxa"/>
              <w:bottom w:w="60" w:type="dxa"/>
              <w:right w:w="100" w:type="dxa"/>
            </w:tcMar>
            <w:vAlign w:val="center"/>
          </w:tcPr>
          <w:p w14:paraId="79808FD7" w14:textId="77777777" w:rsidR="00CA3072" w:rsidRPr="00BF7384" w:rsidRDefault="00CA3072" w:rsidP="00CA62F5">
            <w:pPr>
              <w:pStyle w:val="OikoTables03Content"/>
            </w:pPr>
            <w:r>
              <w:t>Income &amp; diet transition</w:t>
            </w:r>
          </w:p>
        </w:tc>
        <w:tc>
          <w:tcPr>
            <w:tcW w:w="3542" w:type="dxa"/>
            <w:tcMar>
              <w:top w:w="60" w:type="dxa"/>
              <w:left w:w="100" w:type="dxa"/>
              <w:bottom w:w="60" w:type="dxa"/>
              <w:right w:w="100" w:type="dxa"/>
            </w:tcMar>
            <w:vAlign w:val="center"/>
          </w:tcPr>
          <w:p w14:paraId="541B1205" w14:textId="77777777" w:rsidR="00CA3072" w:rsidRDefault="00CA3072" w:rsidP="00CA62F5">
            <w:pPr>
              <w:pStyle w:val="OikoTables03Content"/>
            </w:pPr>
            <w:r>
              <w:t>Shift toward fresh produce; rising health awareness</w:t>
            </w:r>
          </w:p>
        </w:tc>
        <w:tc>
          <w:tcPr>
            <w:tcW w:w="3542" w:type="dxa"/>
            <w:tcMar>
              <w:top w:w="60" w:type="dxa"/>
              <w:left w:w="100" w:type="dxa"/>
              <w:bottom w:w="60" w:type="dxa"/>
              <w:right w:w="100" w:type="dxa"/>
            </w:tcMar>
            <w:vAlign w:val="center"/>
          </w:tcPr>
          <w:p w14:paraId="2D8F230F" w14:textId="77777777" w:rsidR="00CA3072" w:rsidRDefault="00CA3072" w:rsidP="00CA62F5">
            <w:pPr>
              <w:pStyle w:val="OikoTables03Content"/>
            </w:pPr>
            <w:r>
              <w:t>Structural upward pressure on vegetable demand</w:t>
            </w:r>
          </w:p>
        </w:tc>
      </w:tr>
      <w:tr w:rsidR="00CA3072" w14:paraId="4A0D4049" w14:textId="77777777" w:rsidTr="003F1941">
        <w:tc>
          <w:tcPr>
            <w:tcW w:w="2550" w:type="dxa"/>
            <w:tcMar>
              <w:top w:w="60" w:type="dxa"/>
              <w:left w:w="100" w:type="dxa"/>
              <w:bottom w:w="60" w:type="dxa"/>
              <w:right w:w="100" w:type="dxa"/>
            </w:tcMar>
            <w:vAlign w:val="center"/>
          </w:tcPr>
          <w:p w14:paraId="38AF44A8" w14:textId="77777777" w:rsidR="00CA3072" w:rsidRPr="00BF7384" w:rsidRDefault="00CA3072" w:rsidP="00CA62F5">
            <w:pPr>
              <w:pStyle w:val="OikoTables03Content"/>
            </w:pPr>
            <w:r>
              <w:t>Policy</w:t>
            </w:r>
          </w:p>
        </w:tc>
        <w:tc>
          <w:tcPr>
            <w:tcW w:w="3542" w:type="dxa"/>
            <w:tcMar>
              <w:top w:w="60" w:type="dxa"/>
              <w:left w:w="100" w:type="dxa"/>
              <w:bottom w:w="60" w:type="dxa"/>
              <w:right w:w="100" w:type="dxa"/>
            </w:tcMar>
            <w:vAlign w:val="center"/>
          </w:tcPr>
          <w:p w14:paraId="36E9AC43" w14:textId="77777777" w:rsidR="00CA3072" w:rsidRDefault="00CA3072" w:rsidP="00CA62F5">
            <w:pPr>
              <w:pStyle w:val="OikoTables03Content"/>
            </w:pPr>
            <w:r>
              <w:t>Self-sufficiency target; food-security resolution; Vision 2050</w:t>
            </w:r>
          </w:p>
        </w:tc>
        <w:tc>
          <w:tcPr>
            <w:tcW w:w="3542" w:type="dxa"/>
            <w:tcMar>
              <w:top w:w="60" w:type="dxa"/>
              <w:left w:w="100" w:type="dxa"/>
              <w:bottom w:w="60" w:type="dxa"/>
              <w:right w:w="100" w:type="dxa"/>
            </w:tcMar>
            <w:vAlign w:val="center"/>
          </w:tcPr>
          <w:p w14:paraId="3D8247E7" w14:textId="77777777" w:rsidR="00CA3072" w:rsidRDefault="00CA3072" w:rsidP="00CA62F5">
            <w:pPr>
              <w:pStyle w:val="OikoTables03Content"/>
            </w:pPr>
            <w:r>
              <w:t>Sustained public support for domestic supply and substitution</w:t>
            </w:r>
          </w:p>
        </w:tc>
      </w:tr>
    </w:tbl>
    <w:p w14:paraId="7968026A" w14:textId="77777777" w:rsidR="00CA3072" w:rsidRDefault="00CA3072" w:rsidP="00D16E24">
      <w:pPr>
        <w:spacing w:before="30" w:after="120" w:line="240" w:lineRule="auto"/>
        <w:contextualSpacing w:val="0"/>
      </w:pPr>
      <w:r>
        <w:rPr>
          <w:rFonts w:eastAsia="Times New Roman" w:cs="Times New Roman"/>
          <w:i/>
          <w:iCs/>
          <w:sz w:val="18"/>
          <w:szCs w:val="18"/>
        </w:rPr>
        <w:t>Source: NSO (2024/2025) and UN World Population Prospects 2024; Ministry of Health recommended intake and Bromage et al. (2023); FAO dietary guidelines. Apparent consumption is gross availability (production + imports − exports) per capita.</w:t>
      </w:r>
    </w:p>
    <w:p w14:paraId="26318ACE" w14:textId="1C190E5E" w:rsidR="00CA3072" w:rsidRDefault="00CA3072" w:rsidP="00016E8C">
      <w:pPr>
        <w:pStyle w:val="Heading3"/>
        <w:spacing w:before="240" w:line="240" w:lineRule="auto"/>
        <w:contextualSpacing w:val="0"/>
      </w:pPr>
      <w:bookmarkStart w:id="106" w:name="_Toc233981314"/>
      <w:r>
        <w:t>Aggregate market size</w:t>
      </w:r>
      <w:bookmarkEnd w:id="106"/>
    </w:p>
    <w:p w14:paraId="55A6C2B2" w14:textId="484F484F" w:rsidR="00CA3072" w:rsidRDefault="00CA3072" w:rsidP="00EB489E">
      <w:r>
        <w:t>In aggregate, the national vegetable market — measured as total market supply — reached about 407.6 thousand tonnes in 2024, and has expanded rapidly, roughly doubling from around 200 thousand tonnes in 2020.</w:t>
      </w:r>
      <w:r>
        <w:rPr>
          <w:sz w:val="18"/>
          <w:szCs w:val="18"/>
          <w:vertAlign w:val="superscript"/>
        </w:rPr>
        <w:t>[43]</w:t>
      </w:r>
      <w:r>
        <w:t xml:space="preserve"> Even on conservative assumptions about per-capita consumption, a market of this size and trajectory is more than large enough to absorb the incremental output that the project's targeted smallholders would generate, which is measured in hundreds to low thousands of tonnes rather than in the tens of thousands. The binding question for feasibility is therefore not whether aggregate demand exists — it plainly does and is growing — but whether domestic producers can supply specific products, in specific seasons, at competitive prices and quality. The remainder of the chapter addresses precisely those dimensions.</w:t>
      </w:r>
    </w:p>
    <w:p w14:paraId="798819E7" w14:textId="0AEAC880" w:rsidR="00CA3072" w:rsidRDefault="00CA3072" w:rsidP="00016E8C">
      <w:pPr>
        <w:pStyle w:val="Heading2"/>
        <w:spacing w:before="360" w:line="240" w:lineRule="auto"/>
        <w:contextualSpacing w:val="0"/>
      </w:pPr>
      <w:bookmarkStart w:id="107" w:name="_Toc233981315"/>
      <w:r>
        <w:t>Domestic supply and the supply–demand balance</w:t>
      </w:r>
      <w:bookmarkEnd w:id="107"/>
    </w:p>
    <w:p w14:paraId="75569AB1" w14:textId="6C1A8CD2" w:rsidR="00CA3072" w:rsidRDefault="00CA3072" w:rsidP="00016E8C">
      <w:pPr>
        <w:pStyle w:val="Heading3"/>
        <w:spacing w:before="240" w:line="240" w:lineRule="auto"/>
        <w:contextualSpacing w:val="0"/>
      </w:pPr>
      <w:bookmarkStart w:id="108" w:name="_Toc233981316"/>
      <w:r>
        <w:t>National production trend</w:t>
      </w:r>
      <w:bookmarkEnd w:id="108"/>
    </w:p>
    <w:p w14:paraId="1679682C" w14:textId="67A81A3B" w:rsidR="00CA3072" w:rsidRDefault="00CA3072" w:rsidP="00EB489E">
      <w:r>
        <w:t>Domestic vegetable production has risen markedly. National output reached about 282.3 thousand tonnes in 2024, an increase of roughly 35% on the 208.4 thousand tonnes of 2023 and more than double the 2020 level, reflecting sustained policy support, area expansion and a national drive to raise food self-sufficiency.</w:t>
      </w:r>
      <w:r>
        <w:rPr>
          <w:sz w:val="18"/>
          <w:szCs w:val="18"/>
          <w:vertAlign w:val="superscript"/>
        </w:rPr>
        <w:t>[43]</w:t>
      </w:r>
      <w:r>
        <w:t xml:space="preserve"> Production remains highly concentrated geographically: the northern and central crop provinces — led by Selenge, together with </w:t>
      </w:r>
      <w:proofErr w:type="spellStart"/>
      <w:r>
        <w:t>Tuv</w:t>
      </w:r>
      <w:proofErr w:type="spellEnd"/>
      <w:r>
        <w:t>, Darkhan-</w:t>
      </w:r>
      <w:proofErr w:type="spellStart"/>
      <w:r>
        <w:t>Uul</w:t>
      </w:r>
      <w:proofErr w:type="spellEnd"/>
      <w:r>
        <w:t xml:space="preserve"> and </w:t>
      </w:r>
      <w:proofErr w:type="spellStart"/>
      <w:r>
        <w:t>Khovd</w:t>
      </w:r>
      <w:proofErr w:type="spellEnd"/>
      <w:r>
        <w:t xml:space="preserve"> — account for the great majority of national output, while the two target provinces contribute a small share. As established in Chapter 5, Uvurkhangai is a modest but growing producer (vegetables on the order of 281 ha) and Dundgovi a very small one (about 29 ha, some 236 tonnes), with the latter among the lowest-producing </w:t>
      </w:r>
      <w:proofErr w:type="spellStart"/>
      <w:r>
        <w:t>aimags</w:t>
      </w:r>
      <w:proofErr w:type="spellEnd"/>
      <w:r>
        <w:t xml:space="preserve"> in the country.</w:t>
      </w:r>
      <w:r>
        <w:rPr>
          <w:rStyle w:val="FootnoteReference"/>
        </w:rPr>
        <w:footnoteReference w:id="11"/>
      </w:r>
      <w:r>
        <w:t xml:space="preserve"> This concentration has two implications for the project: nationally produced vegetables must be transported long distances to reach many consumers, which raises costs and losses and opens space for production closer to regional markets; and the two provinces, while small in the national total, are precisely the kind of under-served production areas where incremental, climate-resilient output can substitute for both imports and costly long-distance domestic supply.</w:t>
      </w:r>
    </w:p>
    <w:p w14:paraId="4A9E1ACE" w14:textId="1CDF2531" w:rsidR="00CA3072" w:rsidRDefault="00CA3072" w:rsidP="00016E8C">
      <w:pPr>
        <w:pStyle w:val="Heading3"/>
        <w:spacing w:before="240" w:line="240" w:lineRule="auto"/>
        <w:contextualSpacing w:val="0"/>
      </w:pPr>
      <w:bookmarkStart w:id="109" w:name="_Toc233981317"/>
      <w:r>
        <w:lastRenderedPageBreak/>
        <w:t>The national supply–demand balance and self-sufficiency</w:t>
      </w:r>
      <w:bookmarkEnd w:id="109"/>
    </w:p>
    <w:p w14:paraId="2E771ADE" w14:textId="6BF96884" w:rsidR="00CA3072" w:rsidRDefault="00CA3072" w:rsidP="00EB489E">
      <w:r>
        <w:t>Bringing production and trade together yields the national supply–demand balance set out in Table 22, compiled from official NSO and customs data. In 2024, domestic production of 282.3 thousand tonnes met about 69.3% of total market supply of 407.6 thousand tonnes, with imports of 125.3 thousand tonnes (and negligible exports) covering the remaining 30.7%.</w:t>
      </w:r>
      <w:r>
        <w:rPr>
          <w:sz w:val="18"/>
          <w:szCs w:val="18"/>
          <w:vertAlign w:val="superscript"/>
        </w:rPr>
        <w:t>[43]</w:t>
      </w:r>
      <w:r>
        <w:t xml:space="preserve"> Self-sufficiency has improved over the period — from roughly 61% in 2020 to 69% in 2024 — as production has outpaced the rising population, but a structural gap of around 30% of supply persists, and in absolute terms imports have continued to grow because total demand has grown even faster. Figure 8 illustrates the balance and the self-sufficiency trend.</w:t>
      </w:r>
    </w:p>
    <w:p w14:paraId="30A204D9" w14:textId="77777777" w:rsidR="0054090E" w:rsidRDefault="0054090E" w:rsidP="00EB489E"/>
    <w:p w14:paraId="2A4E7BCF" w14:textId="77777777" w:rsidR="00CA3072" w:rsidRDefault="00CA3072" w:rsidP="0054090E">
      <w:pPr>
        <w:pStyle w:val="Caption"/>
        <w:framePr w:wrap="notBeside"/>
      </w:pPr>
      <w:r>
        <w:t>Table 22. National vegetable supply–demand balance, 2020–2024 (thousand tonnes)</w:t>
      </w:r>
    </w:p>
    <w:tbl>
      <w:tblPr>
        <w:tblW w:w="9634" w:type="dxa"/>
        <w:tblBorders>
          <w:top w:val="single" w:sz="4" w:space="0" w:color="BCBCBC" w:themeColor="background1"/>
          <w:left w:val="single" w:sz="4" w:space="0" w:color="BCBCBC" w:themeColor="background1"/>
          <w:bottom w:val="single" w:sz="4" w:space="0" w:color="BFBFBF"/>
          <w:right w:val="single" w:sz="4" w:space="0" w:color="BCBCBC" w:themeColor="background1"/>
          <w:insideH w:val="single" w:sz="4" w:space="0" w:color="BCBCBC" w:themeColor="background1"/>
          <w:insideV w:val="single" w:sz="4" w:space="0" w:color="BCBCBC" w:themeColor="background1"/>
        </w:tblBorders>
        <w:tblCellMar>
          <w:top w:w="60" w:type="dxa"/>
          <w:left w:w="100" w:type="dxa"/>
          <w:bottom w:w="60" w:type="dxa"/>
          <w:right w:w="100" w:type="dxa"/>
        </w:tblCellMar>
        <w:tblLook w:val="0000" w:firstRow="0" w:lastRow="0" w:firstColumn="0" w:lastColumn="0" w:noHBand="0" w:noVBand="0"/>
      </w:tblPr>
      <w:tblGrid>
        <w:gridCol w:w="988"/>
        <w:gridCol w:w="1729"/>
        <w:gridCol w:w="1729"/>
        <w:gridCol w:w="1729"/>
        <w:gridCol w:w="1729"/>
        <w:gridCol w:w="1730"/>
      </w:tblGrid>
      <w:tr w:rsidR="002551F8" w14:paraId="55D895C6" w14:textId="77777777" w:rsidTr="003F1941">
        <w:trPr>
          <w:tblHeader/>
        </w:trPr>
        <w:tc>
          <w:tcPr>
            <w:tcW w:w="988" w:type="dxa"/>
            <w:shd w:val="clear" w:color="auto" w:fill="E99E6D" w:themeFill="accent3"/>
            <w:tcMar>
              <w:top w:w="60" w:type="dxa"/>
              <w:left w:w="100" w:type="dxa"/>
              <w:bottom w:w="60" w:type="dxa"/>
              <w:right w:w="100" w:type="dxa"/>
            </w:tcMar>
            <w:vAlign w:val="center"/>
          </w:tcPr>
          <w:p w14:paraId="1FF080C7" w14:textId="77777777" w:rsidR="00CA3072" w:rsidRPr="0054090E" w:rsidRDefault="00CA3072" w:rsidP="00DC1001">
            <w:pPr>
              <w:pStyle w:val="OikoTables02"/>
            </w:pPr>
            <w:r w:rsidRPr="0054090E">
              <w:t>Year</w:t>
            </w:r>
          </w:p>
        </w:tc>
        <w:tc>
          <w:tcPr>
            <w:tcW w:w="1729" w:type="dxa"/>
            <w:shd w:val="clear" w:color="auto" w:fill="E99E6D" w:themeFill="accent3"/>
            <w:tcMar>
              <w:top w:w="60" w:type="dxa"/>
              <w:left w:w="100" w:type="dxa"/>
              <w:bottom w:w="60" w:type="dxa"/>
              <w:right w:w="100" w:type="dxa"/>
            </w:tcMar>
            <w:vAlign w:val="center"/>
          </w:tcPr>
          <w:p w14:paraId="68891E31" w14:textId="77777777" w:rsidR="00CA3072" w:rsidRPr="0054090E" w:rsidRDefault="00CA3072" w:rsidP="00DC1001">
            <w:pPr>
              <w:pStyle w:val="OikoTables02"/>
            </w:pPr>
            <w:r w:rsidRPr="0054090E">
              <w:t>Domestic production</w:t>
            </w:r>
          </w:p>
        </w:tc>
        <w:tc>
          <w:tcPr>
            <w:tcW w:w="1729" w:type="dxa"/>
            <w:shd w:val="clear" w:color="auto" w:fill="E99E6D" w:themeFill="accent3"/>
            <w:tcMar>
              <w:top w:w="60" w:type="dxa"/>
              <w:left w:w="100" w:type="dxa"/>
              <w:bottom w:w="60" w:type="dxa"/>
              <w:right w:w="100" w:type="dxa"/>
            </w:tcMar>
            <w:vAlign w:val="center"/>
          </w:tcPr>
          <w:p w14:paraId="6F583E13" w14:textId="77777777" w:rsidR="00CA3072" w:rsidRPr="0054090E" w:rsidRDefault="00CA3072" w:rsidP="00DC1001">
            <w:pPr>
              <w:pStyle w:val="OikoTables02"/>
            </w:pPr>
            <w:r w:rsidRPr="0054090E">
              <w:t>Imports</w:t>
            </w:r>
          </w:p>
        </w:tc>
        <w:tc>
          <w:tcPr>
            <w:tcW w:w="1729" w:type="dxa"/>
            <w:shd w:val="clear" w:color="auto" w:fill="E99E6D" w:themeFill="accent3"/>
            <w:tcMar>
              <w:top w:w="60" w:type="dxa"/>
              <w:left w:w="100" w:type="dxa"/>
              <w:bottom w:w="60" w:type="dxa"/>
              <w:right w:w="100" w:type="dxa"/>
            </w:tcMar>
            <w:vAlign w:val="center"/>
          </w:tcPr>
          <w:p w14:paraId="27525DE8" w14:textId="77777777" w:rsidR="00CA3072" w:rsidRPr="0054090E" w:rsidRDefault="00CA3072" w:rsidP="00DC1001">
            <w:pPr>
              <w:pStyle w:val="OikoTables02"/>
            </w:pPr>
            <w:r w:rsidRPr="0054090E">
              <w:t>Exports</w:t>
            </w:r>
          </w:p>
        </w:tc>
        <w:tc>
          <w:tcPr>
            <w:tcW w:w="1729" w:type="dxa"/>
            <w:shd w:val="clear" w:color="auto" w:fill="E99E6D" w:themeFill="accent3"/>
            <w:tcMar>
              <w:top w:w="60" w:type="dxa"/>
              <w:left w:w="100" w:type="dxa"/>
              <w:bottom w:w="60" w:type="dxa"/>
              <w:right w:w="100" w:type="dxa"/>
            </w:tcMar>
            <w:vAlign w:val="center"/>
          </w:tcPr>
          <w:p w14:paraId="1DE962A1" w14:textId="19043D8B" w:rsidR="00CA3072" w:rsidRPr="0054090E" w:rsidRDefault="00CA3072" w:rsidP="00DC1001">
            <w:pPr>
              <w:pStyle w:val="OikoTables02"/>
            </w:pPr>
            <w:r w:rsidRPr="0054090E">
              <w:t>Total supply</w:t>
            </w:r>
          </w:p>
        </w:tc>
        <w:tc>
          <w:tcPr>
            <w:tcW w:w="1730" w:type="dxa"/>
            <w:shd w:val="clear" w:color="auto" w:fill="E99E6D" w:themeFill="accent3"/>
            <w:tcMar>
              <w:top w:w="60" w:type="dxa"/>
              <w:left w:w="100" w:type="dxa"/>
              <w:bottom w:w="60" w:type="dxa"/>
              <w:right w:w="100" w:type="dxa"/>
            </w:tcMar>
            <w:vAlign w:val="center"/>
          </w:tcPr>
          <w:p w14:paraId="1D7969B2" w14:textId="77777777" w:rsidR="00CA3072" w:rsidRPr="0054090E" w:rsidRDefault="00CA3072" w:rsidP="00DC1001">
            <w:pPr>
              <w:pStyle w:val="OikoTables02"/>
            </w:pPr>
            <w:r w:rsidRPr="0054090E">
              <w:t>Self-sufficiency</w:t>
            </w:r>
          </w:p>
        </w:tc>
      </w:tr>
      <w:tr w:rsidR="00CA3072" w14:paraId="068ED571" w14:textId="77777777" w:rsidTr="003F1941">
        <w:tc>
          <w:tcPr>
            <w:tcW w:w="988" w:type="dxa"/>
            <w:tcMar>
              <w:top w:w="60" w:type="dxa"/>
              <w:left w:w="100" w:type="dxa"/>
              <w:bottom w:w="60" w:type="dxa"/>
              <w:right w:w="100" w:type="dxa"/>
            </w:tcMar>
            <w:vAlign w:val="center"/>
          </w:tcPr>
          <w:p w14:paraId="70F6AB09" w14:textId="77777777" w:rsidR="00CA3072" w:rsidRPr="00BF7384" w:rsidRDefault="00CA3072" w:rsidP="0054090E">
            <w:pPr>
              <w:pStyle w:val="OikoTables03Content"/>
            </w:pPr>
            <w:r>
              <w:t>2020</w:t>
            </w:r>
          </w:p>
        </w:tc>
        <w:tc>
          <w:tcPr>
            <w:tcW w:w="1729" w:type="dxa"/>
            <w:tcMar>
              <w:top w:w="60" w:type="dxa"/>
              <w:left w:w="100" w:type="dxa"/>
              <w:bottom w:w="60" w:type="dxa"/>
              <w:right w:w="100" w:type="dxa"/>
            </w:tcMar>
            <w:vAlign w:val="center"/>
          </w:tcPr>
          <w:p w14:paraId="420C7DDE" w14:textId="77777777" w:rsidR="00CA3072" w:rsidRDefault="00CA3072" w:rsidP="0054090E">
            <w:pPr>
              <w:pStyle w:val="OikoTables03Content"/>
            </w:pPr>
            <w:r>
              <w:rPr>
                <w:rFonts w:eastAsia="Times New Roman" w:cs="Times New Roman"/>
                <w:sz w:val="20"/>
                <w:szCs w:val="20"/>
              </w:rPr>
              <w:t>121.2</w:t>
            </w:r>
          </w:p>
        </w:tc>
        <w:tc>
          <w:tcPr>
            <w:tcW w:w="1729" w:type="dxa"/>
            <w:tcMar>
              <w:top w:w="60" w:type="dxa"/>
              <w:left w:w="100" w:type="dxa"/>
              <w:bottom w:w="60" w:type="dxa"/>
              <w:right w:w="100" w:type="dxa"/>
            </w:tcMar>
            <w:vAlign w:val="center"/>
          </w:tcPr>
          <w:p w14:paraId="74458264" w14:textId="77777777" w:rsidR="00CA3072" w:rsidRDefault="00CA3072" w:rsidP="0054090E">
            <w:pPr>
              <w:pStyle w:val="OikoTables03Content"/>
            </w:pPr>
            <w:r>
              <w:rPr>
                <w:rFonts w:eastAsia="Times New Roman" w:cs="Times New Roman"/>
                <w:sz w:val="20"/>
                <w:szCs w:val="20"/>
              </w:rPr>
              <w:t>78.5</w:t>
            </w:r>
          </w:p>
        </w:tc>
        <w:tc>
          <w:tcPr>
            <w:tcW w:w="1729" w:type="dxa"/>
            <w:tcMar>
              <w:top w:w="60" w:type="dxa"/>
              <w:left w:w="100" w:type="dxa"/>
              <w:bottom w:w="60" w:type="dxa"/>
              <w:right w:w="100" w:type="dxa"/>
            </w:tcMar>
            <w:vAlign w:val="center"/>
          </w:tcPr>
          <w:p w14:paraId="29A820E1" w14:textId="77777777" w:rsidR="00CA3072" w:rsidRDefault="00CA3072" w:rsidP="0054090E">
            <w:pPr>
              <w:pStyle w:val="OikoTables03Content"/>
            </w:pPr>
            <w:r>
              <w:rPr>
                <w:rFonts w:eastAsia="Times New Roman" w:cs="Times New Roman"/>
                <w:sz w:val="20"/>
                <w:szCs w:val="20"/>
              </w:rPr>
              <w:t>≈ 0</w:t>
            </w:r>
          </w:p>
        </w:tc>
        <w:tc>
          <w:tcPr>
            <w:tcW w:w="1729" w:type="dxa"/>
            <w:tcMar>
              <w:top w:w="60" w:type="dxa"/>
              <w:left w:w="100" w:type="dxa"/>
              <w:bottom w:w="60" w:type="dxa"/>
              <w:right w:w="100" w:type="dxa"/>
            </w:tcMar>
            <w:vAlign w:val="center"/>
          </w:tcPr>
          <w:p w14:paraId="3202169B" w14:textId="77777777" w:rsidR="00CA3072" w:rsidRDefault="00CA3072" w:rsidP="0054090E">
            <w:pPr>
              <w:pStyle w:val="OikoTables03Content"/>
            </w:pPr>
            <w:r>
              <w:rPr>
                <w:rFonts w:eastAsia="Times New Roman" w:cs="Times New Roman"/>
                <w:sz w:val="20"/>
                <w:szCs w:val="20"/>
              </w:rPr>
              <w:t>199.7</w:t>
            </w:r>
          </w:p>
        </w:tc>
        <w:tc>
          <w:tcPr>
            <w:tcW w:w="1730" w:type="dxa"/>
            <w:tcMar>
              <w:top w:w="60" w:type="dxa"/>
              <w:left w:w="100" w:type="dxa"/>
              <w:bottom w:w="60" w:type="dxa"/>
              <w:right w:w="100" w:type="dxa"/>
            </w:tcMar>
            <w:vAlign w:val="center"/>
          </w:tcPr>
          <w:p w14:paraId="1529FAFF" w14:textId="77777777" w:rsidR="00CA3072" w:rsidRDefault="00CA3072" w:rsidP="0054090E">
            <w:pPr>
              <w:pStyle w:val="OikoTables03Content"/>
            </w:pPr>
            <w:r>
              <w:rPr>
                <w:rFonts w:eastAsia="Times New Roman" w:cs="Times New Roman"/>
                <w:sz w:val="20"/>
                <w:szCs w:val="20"/>
              </w:rPr>
              <w:t>60.7%</w:t>
            </w:r>
          </w:p>
        </w:tc>
      </w:tr>
      <w:tr w:rsidR="002551F8" w14:paraId="3DE4DECB" w14:textId="77777777" w:rsidTr="003F1941">
        <w:tc>
          <w:tcPr>
            <w:tcW w:w="988" w:type="dxa"/>
            <w:tcMar>
              <w:top w:w="60" w:type="dxa"/>
              <w:left w:w="100" w:type="dxa"/>
              <w:bottom w:w="60" w:type="dxa"/>
              <w:right w:w="100" w:type="dxa"/>
            </w:tcMar>
            <w:vAlign w:val="center"/>
          </w:tcPr>
          <w:p w14:paraId="309F0A7F" w14:textId="77777777" w:rsidR="00CA3072" w:rsidRPr="00BF7384" w:rsidRDefault="00CA3072" w:rsidP="0054090E">
            <w:pPr>
              <w:pStyle w:val="OikoTables03Content"/>
            </w:pPr>
            <w:r>
              <w:t>2021</w:t>
            </w:r>
          </w:p>
        </w:tc>
        <w:tc>
          <w:tcPr>
            <w:tcW w:w="1729" w:type="dxa"/>
            <w:tcMar>
              <w:top w:w="60" w:type="dxa"/>
              <w:left w:w="100" w:type="dxa"/>
              <w:bottom w:w="60" w:type="dxa"/>
              <w:right w:w="100" w:type="dxa"/>
            </w:tcMar>
            <w:vAlign w:val="center"/>
          </w:tcPr>
          <w:p w14:paraId="606277B0" w14:textId="77777777" w:rsidR="00CA3072" w:rsidRDefault="00CA3072" w:rsidP="0054090E">
            <w:pPr>
              <w:pStyle w:val="OikoTables03Content"/>
            </w:pPr>
            <w:r>
              <w:rPr>
                <w:rFonts w:eastAsia="Times New Roman" w:cs="Times New Roman"/>
                <w:sz w:val="20"/>
                <w:szCs w:val="20"/>
              </w:rPr>
              <w:t>121.7</w:t>
            </w:r>
          </w:p>
        </w:tc>
        <w:tc>
          <w:tcPr>
            <w:tcW w:w="1729" w:type="dxa"/>
            <w:tcMar>
              <w:top w:w="60" w:type="dxa"/>
              <w:left w:w="100" w:type="dxa"/>
              <w:bottom w:w="60" w:type="dxa"/>
              <w:right w:w="100" w:type="dxa"/>
            </w:tcMar>
            <w:vAlign w:val="center"/>
          </w:tcPr>
          <w:p w14:paraId="3C9674B4" w14:textId="77777777" w:rsidR="00CA3072" w:rsidRDefault="00CA3072" w:rsidP="0054090E">
            <w:pPr>
              <w:pStyle w:val="OikoTables03Content"/>
            </w:pPr>
            <w:r>
              <w:rPr>
                <w:rFonts w:eastAsia="Times New Roman" w:cs="Times New Roman"/>
                <w:sz w:val="20"/>
                <w:szCs w:val="20"/>
              </w:rPr>
              <w:t>75.7</w:t>
            </w:r>
          </w:p>
        </w:tc>
        <w:tc>
          <w:tcPr>
            <w:tcW w:w="1729" w:type="dxa"/>
            <w:tcMar>
              <w:top w:w="60" w:type="dxa"/>
              <w:left w:w="100" w:type="dxa"/>
              <w:bottom w:w="60" w:type="dxa"/>
              <w:right w:w="100" w:type="dxa"/>
            </w:tcMar>
            <w:vAlign w:val="center"/>
          </w:tcPr>
          <w:p w14:paraId="7307E817" w14:textId="77777777" w:rsidR="00CA3072" w:rsidRDefault="00CA3072" w:rsidP="0054090E">
            <w:pPr>
              <w:pStyle w:val="OikoTables03Content"/>
            </w:pPr>
            <w:r>
              <w:rPr>
                <w:rFonts w:eastAsia="Times New Roman" w:cs="Times New Roman"/>
                <w:sz w:val="20"/>
                <w:szCs w:val="20"/>
              </w:rPr>
              <w:t>≈ 0</w:t>
            </w:r>
          </w:p>
        </w:tc>
        <w:tc>
          <w:tcPr>
            <w:tcW w:w="1729" w:type="dxa"/>
            <w:tcMar>
              <w:top w:w="60" w:type="dxa"/>
              <w:left w:w="100" w:type="dxa"/>
              <w:bottom w:w="60" w:type="dxa"/>
              <w:right w:w="100" w:type="dxa"/>
            </w:tcMar>
            <w:vAlign w:val="center"/>
          </w:tcPr>
          <w:p w14:paraId="115FBE3C" w14:textId="77777777" w:rsidR="00CA3072" w:rsidRDefault="00CA3072" w:rsidP="0054090E">
            <w:pPr>
              <w:pStyle w:val="OikoTables03Content"/>
            </w:pPr>
            <w:r>
              <w:rPr>
                <w:rFonts w:eastAsia="Times New Roman" w:cs="Times New Roman"/>
                <w:sz w:val="20"/>
                <w:szCs w:val="20"/>
              </w:rPr>
              <w:t>197.4</w:t>
            </w:r>
          </w:p>
        </w:tc>
        <w:tc>
          <w:tcPr>
            <w:tcW w:w="1730" w:type="dxa"/>
            <w:tcMar>
              <w:top w:w="60" w:type="dxa"/>
              <w:left w:w="100" w:type="dxa"/>
              <w:bottom w:w="60" w:type="dxa"/>
              <w:right w:w="100" w:type="dxa"/>
            </w:tcMar>
            <w:vAlign w:val="center"/>
          </w:tcPr>
          <w:p w14:paraId="2111AB49" w14:textId="77777777" w:rsidR="00CA3072" w:rsidRDefault="00CA3072" w:rsidP="0054090E">
            <w:pPr>
              <w:pStyle w:val="OikoTables03Content"/>
            </w:pPr>
            <w:r>
              <w:rPr>
                <w:rFonts w:eastAsia="Times New Roman" w:cs="Times New Roman"/>
                <w:sz w:val="20"/>
                <w:szCs w:val="20"/>
              </w:rPr>
              <w:t>61.7%</w:t>
            </w:r>
          </w:p>
        </w:tc>
      </w:tr>
      <w:tr w:rsidR="00CA3072" w14:paraId="241877CC" w14:textId="77777777" w:rsidTr="003F1941">
        <w:tc>
          <w:tcPr>
            <w:tcW w:w="988" w:type="dxa"/>
            <w:tcMar>
              <w:top w:w="60" w:type="dxa"/>
              <w:left w:w="100" w:type="dxa"/>
              <w:bottom w:w="60" w:type="dxa"/>
              <w:right w:w="100" w:type="dxa"/>
            </w:tcMar>
            <w:vAlign w:val="center"/>
          </w:tcPr>
          <w:p w14:paraId="1043F255" w14:textId="77777777" w:rsidR="00CA3072" w:rsidRPr="00BF7384" w:rsidRDefault="00CA3072" w:rsidP="0054090E">
            <w:pPr>
              <w:pStyle w:val="OikoTables03Content"/>
            </w:pPr>
            <w:r>
              <w:t>2022</w:t>
            </w:r>
          </w:p>
        </w:tc>
        <w:tc>
          <w:tcPr>
            <w:tcW w:w="1729" w:type="dxa"/>
            <w:tcMar>
              <w:top w:w="60" w:type="dxa"/>
              <w:left w:w="100" w:type="dxa"/>
              <w:bottom w:w="60" w:type="dxa"/>
              <w:right w:w="100" w:type="dxa"/>
            </w:tcMar>
            <w:vAlign w:val="center"/>
          </w:tcPr>
          <w:p w14:paraId="19B45F87" w14:textId="77777777" w:rsidR="00CA3072" w:rsidRDefault="00CA3072" w:rsidP="0054090E">
            <w:pPr>
              <w:pStyle w:val="OikoTables03Content"/>
            </w:pPr>
            <w:r>
              <w:rPr>
                <w:rFonts w:eastAsia="Times New Roman" w:cs="Times New Roman"/>
                <w:sz w:val="20"/>
                <w:szCs w:val="20"/>
              </w:rPr>
              <w:t>148.9</w:t>
            </w:r>
          </w:p>
        </w:tc>
        <w:tc>
          <w:tcPr>
            <w:tcW w:w="1729" w:type="dxa"/>
            <w:tcMar>
              <w:top w:w="60" w:type="dxa"/>
              <w:left w:w="100" w:type="dxa"/>
              <w:bottom w:w="60" w:type="dxa"/>
              <w:right w:w="100" w:type="dxa"/>
            </w:tcMar>
            <w:vAlign w:val="center"/>
          </w:tcPr>
          <w:p w14:paraId="37C17DCF" w14:textId="080AD019" w:rsidR="00CA3072" w:rsidRDefault="00CA3072" w:rsidP="0054090E">
            <w:pPr>
              <w:pStyle w:val="OikoTables03Content"/>
            </w:pPr>
            <w:r>
              <w:rPr>
                <w:rFonts w:eastAsia="Times New Roman" w:cs="Times New Roman"/>
                <w:sz w:val="20"/>
                <w:szCs w:val="20"/>
              </w:rPr>
              <w:t>69.7</w:t>
            </w:r>
          </w:p>
        </w:tc>
        <w:tc>
          <w:tcPr>
            <w:tcW w:w="1729" w:type="dxa"/>
            <w:tcMar>
              <w:top w:w="60" w:type="dxa"/>
              <w:left w:w="100" w:type="dxa"/>
              <w:bottom w:w="60" w:type="dxa"/>
              <w:right w:w="100" w:type="dxa"/>
            </w:tcMar>
            <w:vAlign w:val="center"/>
          </w:tcPr>
          <w:p w14:paraId="150437C8" w14:textId="6D78E7E7" w:rsidR="00CA3072" w:rsidRDefault="00CA3072" w:rsidP="0054090E">
            <w:pPr>
              <w:pStyle w:val="OikoTables03Content"/>
            </w:pPr>
            <w:r>
              <w:rPr>
                <w:rFonts w:eastAsia="Times New Roman" w:cs="Times New Roman"/>
                <w:sz w:val="20"/>
                <w:szCs w:val="20"/>
              </w:rPr>
              <w:t>≈ 0</w:t>
            </w:r>
          </w:p>
        </w:tc>
        <w:tc>
          <w:tcPr>
            <w:tcW w:w="1729" w:type="dxa"/>
            <w:tcMar>
              <w:top w:w="60" w:type="dxa"/>
              <w:left w:w="100" w:type="dxa"/>
              <w:bottom w:w="60" w:type="dxa"/>
              <w:right w:w="100" w:type="dxa"/>
            </w:tcMar>
            <w:vAlign w:val="center"/>
          </w:tcPr>
          <w:p w14:paraId="5DDCB55E" w14:textId="77777777" w:rsidR="00CA3072" w:rsidRDefault="00CA3072" w:rsidP="0054090E">
            <w:pPr>
              <w:pStyle w:val="OikoTables03Content"/>
            </w:pPr>
            <w:r>
              <w:rPr>
                <w:rFonts w:eastAsia="Times New Roman" w:cs="Times New Roman"/>
                <w:sz w:val="20"/>
                <w:szCs w:val="20"/>
              </w:rPr>
              <w:t>218.6</w:t>
            </w:r>
          </w:p>
        </w:tc>
        <w:tc>
          <w:tcPr>
            <w:tcW w:w="1730" w:type="dxa"/>
            <w:tcMar>
              <w:top w:w="60" w:type="dxa"/>
              <w:left w:w="100" w:type="dxa"/>
              <w:bottom w:w="60" w:type="dxa"/>
              <w:right w:w="100" w:type="dxa"/>
            </w:tcMar>
            <w:vAlign w:val="center"/>
          </w:tcPr>
          <w:p w14:paraId="7726BC73" w14:textId="77777777" w:rsidR="00CA3072" w:rsidRDefault="00CA3072" w:rsidP="0054090E">
            <w:pPr>
              <w:pStyle w:val="OikoTables03Content"/>
            </w:pPr>
            <w:r>
              <w:rPr>
                <w:rFonts w:eastAsia="Times New Roman" w:cs="Times New Roman"/>
                <w:sz w:val="20"/>
                <w:szCs w:val="20"/>
              </w:rPr>
              <w:t>68.1%</w:t>
            </w:r>
          </w:p>
        </w:tc>
      </w:tr>
      <w:tr w:rsidR="002551F8" w14:paraId="3844A2C3" w14:textId="77777777" w:rsidTr="003F1941">
        <w:tc>
          <w:tcPr>
            <w:tcW w:w="988" w:type="dxa"/>
            <w:tcMar>
              <w:top w:w="60" w:type="dxa"/>
              <w:left w:w="100" w:type="dxa"/>
              <w:bottom w:w="60" w:type="dxa"/>
              <w:right w:w="100" w:type="dxa"/>
            </w:tcMar>
            <w:vAlign w:val="center"/>
          </w:tcPr>
          <w:p w14:paraId="59B895DD" w14:textId="77777777" w:rsidR="00CA3072" w:rsidRPr="00BF7384" w:rsidRDefault="00CA3072" w:rsidP="0054090E">
            <w:pPr>
              <w:pStyle w:val="OikoTables03Content"/>
            </w:pPr>
            <w:r>
              <w:t>2023</w:t>
            </w:r>
          </w:p>
        </w:tc>
        <w:tc>
          <w:tcPr>
            <w:tcW w:w="1729" w:type="dxa"/>
            <w:tcMar>
              <w:top w:w="60" w:type="dxa"/>
              <w:left w:w="100" w:type="dxa"/>
              <w:bottom w:w="60" w:type="dxa"/>
              <w:right w:w="100" w:type="dxa"/>
            </w:tcMar>
            <w:vAlign w:val="center"/>
          </w:tcPr>
          <w:p w14:paraId="195A2770" w14:textId="77777777" w:rsidR="00CA3072" w:rsidRDefault="00CA3072" w:rsidP="0054090E">
            <w:pPr>
              <w:pStyle w:val="OikoTables03Content"/>
            </w:pPr>
            <w:r>
              <w:rPr>
                <w:rFonts w:eastAsia="Times New Roman" w:cs="Times New Roman"/>
                <w:sz w:val="20"/>
                <w:szCs w:val="20"/>
              </w:rPr>
              <w:t>208.4</w:t>
            </w:r>
          </w:p>
        </w:tc>
        <w:tc>
          <w:tcPr>
            <w:tcW w:w="1729" w:type="dxa"/>
            <w:tcMar>
              <w:top w:w="60" w:type="dxa"/>
              <w:left w:w="100" w:type="dxa"/>
              <w:bottom w:w="60" w:type="dxa"/>
              <w:right w:w="100" w:type="dxa"/>
            </w:tcMar>
            <w:vAlign w:val="center"/>
          </w:tcPr>
          <w:p w14:paraId="32A7B999" w14:textId="71FA2DE6" w:rsidR="00CA3072" w:rsidRDefault="00CA3072" w:rsidP="0054090E">
            <w:pPr>
              <w:pStyle w:val="OikoTables03Content"/>
            </w:pPr>
            <w:r>
              <w:rPr>
                <w:rFonts w:eastAsia="Times New Roman" w:cs="Times New Roman"/>
                <w:sz w:val="20"/>
                <w:szCs w:val="20"/>
              </w:rPr>
              <w:t>92.3</w:t>
            </w:r>
          </w:p>
        </w:tc>
        <w:tc>
          <w:tcPr>
            <w:tcW w:w="1729" w:type="dxa"/>
            <w:tcMar>
              <w:top w:w="60" w:type="dxa"/>
              <w:left w:w="100" w:type="dxa"/>
              <w:bottom w:w="60" w:type="dxa"/>
              <w:right w:w="100" w:type="dxa"/>
            </w:tcMar>
            <w:vAlign w:val="center"/>
          </w:tcPr>
          <w:p w14:paraId="6787E81D" w14:textId="77777777" w:rsidR="00CA3072" w:rsidRDefault="00CA3072" w:rsidP="0054090E">
            <w:pPr>
              <w:pStyle w:val="OikoTables03Content"/>
            </w:pPr>
            <w:r>
              <w:rPr>
                <w:rFonts w:eastAsia="Times New Roman" w:cs="Times New Roman"/>
                <w:sz w:val="20"/>
                <w:szCs w:val="20"/>
              </w:rPr>
              <w:t>≈ 0</w:t>
            </w:r>
          </w:p>
        </w:tc>
        <w:tc>
          <w:tcPr>
            <w:tcW w:w="1729" w:type="dxa"/>
            <w:tcMar>
              <w:top w:w="60" w:type="dxa"/>
              <w:left w:w="100" w:type="dxa"/>
              <w:bottom w:w="60" w:type="dxa"/>
              <w:right w:w="100" w:type="dxa"/>
            </w:tcMar>
            <w:vAlign w:val="center"/>
          </w:tcPr>
          <w:p w14:paraId="63E08FF4" w14:textId="77777777" w:rsidR="00CA3072" w:rsidRDefault="00CA3072" w:rsidP="0054090E">
            <w:pPr>
              <w:pStyle w:val="OikoTables03Content"/>
            </w:pPr>
            <w:r>
              <w:rPr>
                <w:rFonts w:eastAsia="Times New Roman" w:cs="Times New Roman"/>
                <w:sz w:val="20"/>
                <w:szCs w:val="20"/>
              </w:rPr>
              <w:t>300.7</w:t>
            </w:r>
          </w:p>
        </w:tc>
        <w:tc>
          <w:tcPr>
            <w:tcW w:w="1730" w:type="dxa"/>
            <w:tcMar>
              <w:top w:w="60" w:type="dxa"/>
              <w:left w:w="100" w:type="dxa"/>
              <w:bottom w:w="60" w:type="dxa"/>
              <w:right w:w="100" w:type="dxa"/>
            </w:tcMar>
            <w:vAlign w:val="center"/>
          </w:tcPr>
          <w:p w14:paraId="38FF614D" w14:textId="77777777" w:rsidR="00CA3072" w:rsidRDefault="00CA3072" w:rsidP="0054090E">
            <w:pPr>
              <w:pStyle w:val="OikoTables03Content"/>
            </w:pPr>
            <w:r>
              <w:rPr>
                <w:rFonts w:eastAsia="Times New Roman" w:cs="Times New Roman"/>
                <w:sz w:val="20"/>
                <w:szCs w:val="20"/>
              </w:rPr>
              <w:t>69.3%</w:t>
            </w:r>
          </w:p>
        </w:tc>
      </w:tr>
      <w:tr w:rsidR="002551F8" w14:paraId="0361BEE1" w14:textId="77777777" w:rsidTr="003F1941">
        <w:tc>
          <w:tcPr>
            <w:tcW w:w="988" w:type="dxa"/>
            <w:tcMar>
              <w:top w:w="60" w:type="dxa"/>
              <w:left w:w="100" w:type="dxa"/>
              <w:bottom w:w="60" w:type="dxa"/>
              <w:right w:w="100" w:type="dxa"/>
            </w:tcMar>
            <w:vAlign w:val="center"/>
          </w:tcPr>
          <w:p w14:paraId="3C24D9DF" w14:textId="77777777" w:rsidR="00CA3072" w:rsidRPr="0054090E" w:rsidRDefault="00CA3072" w:rsidP="0054090E">
            <w:pPr>
              <w:pStyle w:val="OikoTables03Content"/>
            </w:pPr>
            <w:r w:rsidRPr="0054090E">
              <w:t>2024</w:t>
            </w:r>
          </w:p>
        </w:tc>
        <w:tc>
          <w:tcPr>
            <w:tcW w:w="1729" w:type="dxa"/>
            <w:tcMar>
              <w:top w:w="60" w:type="dxa"/>
              <w:left w:w="100" w:type="dxa"/>
              <w:bottom w:w="60" w:type="dxa"/>
              <w:right w:w="100" w:type="dxa"/>
            </w:tcMar>
            <w:vAlign w:val="center"/>
          </w:tcPr>
          <w:p w14:paraId="6CC72157" w14:textId="77777777" w:rsidR="00CA3072" w:rsidRPr="0054090E" w:rsidRDefault="00CA3072" w:rsidP="0054090E">
            <w:pPr>
              <w:pStyle w:val="OikoTables03Content"/>
            </w:pPr>
            <w:r w:rsidRPr="0054090E">
              <w:rPr>
                <w:rFonts w:eastAsia="Times New Roman" w:cs="Times New Roman"/>
                <w:sz w:val="20"/>
                <w:szCs w:val="20"/>
              </w:rPr>
              <w:t>282.3</w:t>
            </w:r>
          </w:p>
        </w:tc>
        <w:tc>
          <w:tcPr>
            <w:tcW w:w="1729" w:type="dxa"/>
            <w:tcMar>
              <w:top w:w="60" w:type="dxa"/>
              <w:left w:w="100" w:type="dxa"/>
              <w:bottom w:w="60" w:type="dxa"/>
              <w:right w:w="100" w:type="dxa"/>
            </w:tcMar>
            <w:vAlign w:val="center"/>
          </w:tcPr>
          <w:p w14:paraId="2E5704F0" w14:textId="29771041" w:rsidR="00CA3072" w:rsidRPr="0054090E" w:rsidRDefault="00CA3072" w:rsidP="0054090E">
            <w:pPr>
              <w:pStyle w:val="OikoTables03Content"/>
            </w:pPr>
            <w:r w:rsidRPr="0054090E">
              <w:rPr>
                <w:rFonts w:eastAsia="Times New Roman" w:cs="Times New Roman"/>
                <w:sz w:val="20"/>
                <w:szCs w:val="20"/>
              </w:rPr>
              <w:t>125.3</w:t>
            </w:r>
          </w:p>
        </w:tc>
        <w:tc>
          <w:tcPr>
            <w:tcW w:w="1729" w:type="dxa"/>
            <w:tcMar>
              <w:top w:w="60" w:type="dxa"/>
              <w:left w:w="100" w:type="dxa"/>
              <w:bottom w:w="60" w:type="dxa"/>
              <w:right w:w="100" w:type="dxa"/>
            </w:tcMar>
            <w:vAlign w:val="center"/>
          </w:tcPr>
          <w:p w14:paraId="5B652841" w14:textId="59EA24B1" w:rsidR="00CA3072" w:rsidRPr="0054090E" w:rsidRDefault="00CA3072" w:rsidP="0054090E">
            <w:pPr>
              <w:pStyle w:val="OikoTables03Content"/>
            </w:pPr>
            <w:r w:rsidRPr="0054090E">
              <w:rPr>
                <w:rFonts w:eastAsia="Times New Roman" w:cs="Times New Roman"/>
                <w:sz w:val="20"/>
                <w:szCs w:val="20"/>
              </w:rPr>
              <w:t>≈ 0</w:t>
            </w:r>
          </w:p>
        </w:tc>
        <w:tc>
          <w:tcPr>
            <w:tcW w:w="1729" w:type="dxa"/>
            <w:tcMar>
              <w:top w:w="60" w:type="dxa"/>
              <w:left w:w="100" w:type="dxa"/>
              <w:bottom w:w="60" w:type="dxa"/>
              <w:right w:w="100" w:type="dxa"/>
            </w:tcMar>
            <w:vAlign w:val="center"/>
          </w:tcPr>
          <w:p w14:paraId="52C620E0" w14:textId="77777777" w:rsidR="00CA3072" w:rsidRPr="0054090E" w:rsidRDefault="00CA3072" w:rsidP="0054090E">
            <w:pPr>
              <w:pStyle w:val="OikoTables03Content"/>
            </w:pPr>
            <w:r w:rsidRPr="0054090E">
              <w:rPr>
                <w:rFonts w:eastAsia="Times New Roman" w:cs="Times New Roman"/>
                <w:sz w:val="20"/>
                <w:szCs w:val="20"/>
              </w:rPr>
              <w:t>407.6</w:t>
            </w:r>
          </w:p>
        </w:tc>
        <w:tc>
          <w:tcPr>
            <w:tcW w:w="1730" w:type="dxa"/>
            <w:tcMar>
              <w:top w:w="60" w:type="dxa"/>
              <w:left w:w="100" w:type="dxa"/>
              <w:bottom w:w="60" w:type="dxa"/>
              <w:right w:w="100" w:type="dxa"/>
            </w:tcMar>
            <w:vAlign w:val="center"/>
          </w:tcPr>
          <w:p w14:paraId="15E8145C" w14:textId="77777777" w:rsidR="00CA3072" w:rsidRPr="0054090E" w:rsidRDefault="00CA3072" w:rsidP="0054090E">
            <w:pPr>
              <w:pStyle w:val="OikoTables03Content"/>
            </w:pPr>
            <w:r w:rsidRPr="0054090E">
              <w:rPr>
                <w:rFonts w:eastAsia="Times New Roman" w:cs="Times New Roman"/>
                <w:sz w:val="20"/>
                <w:szCs w:val="20"/>
              </w:rPr>
              <w:t>69.3%</w:t>
            </w:r>
          </w:p>
        </w:tc>
      </w:tr>
    </w:tbl>
    <w:p w14:paraId="57E46CB8" w14:textId="3AB85BC2" w:rsidR="00CA3072" w:rsidRDefault="00CA3072" w:rsidP="00D16E24">
      <w:pPr>
        <w:spacing w:before="30" w:after="120" w:line="240" w:lineRule="auto"/>
        <w:contextualSpacing w:val="0"/>
        <w:rPr>
          <w:rFonts w:eastAsia="Times New Roman" w:cs="Times New Roman"/>
          <w:i/>
          <w:iCs/>
          <w:sz w:val="18"/>
          <w:szCs w:val="18"/>
        </w:rPr>
      </w:pPr>
      <w:r>
        <w:rPr>
          <w:rFonts w:eastAsia="Times New Roman" w:cs="Times New Roman"/>
          <w:i/>
          <w:iCs/>
          <w:sz w:val="18"/>
          <w:szCs w:val="18"/>
        </w:rPr>
        <w:t>Source: NSO (2025</w:t>
      </w:r>
      <w:proofErr w:type="gramStart"/>
      <w:r>
        <w:rPr>
          <w:rFonts w:eastAsia="Times New Roman" w:cs="Times New Roman"/>
          <w:i/>
          <w:iCs/>
          <w:sz w:val="18"/>
          <w:szCs w:val="18"/>
        </w:rPr>
        <w:t>a)</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43]</w:t>
      </w:r>
      <w:r>
        <w:rPr>
          <w:rFonts w:eastAsia="Times New Roman" w:cs="Times New Roman"/>
          <w:i/>
          <w:iCs/>
          <w:sz w:val="18"/>
          <w:szCs w:val="18"/>
        </w:rPr>
        <w:t>, Customs General Administration of Mongolia (</w:t>
      </w:r>
      <w:proofErr w:type="gramStart"/>
      <w:r>
        <w:rPr>
          <w:rFonts w:eastAsia="Times New Roman" w:cs="Times New Roman"/>
          <w:i/>
          <w:iCs/>
          <w:sz w:val="18"/>
          <w:szCs w:val="18"/>
        </w:rPr>
        <w:t>2025)</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9]</w:t>
      </w:r>
      <w:r>
        <w:rPr>
          <w:rFonts w:eastAsia="Times New Roman" w:cs="Times New Roman"/>
          <w:i/>
          <w:iCs/>
          <w:sz w:val="18"/>
          <w:szCs w:val="18"/>
        </w:rPr>
        <w:t>. Total supply = domestic production + imports − exports; Self-sufficiency = domestic production ÷ total supply. Vegetables exclude potato but include melons and watermelon are included.</w:t>
      </w:r>
    </w:p>
    <w:p w14:paraId="5349425F" w14:textId="77777777" w:rsidR="00CC1B57" w:rsidRDefault="00CC1B57" w:rsidP="00D16E24">
      <w:pPr>
        <w:spacing w:before="30" w:after="120" w:line="240" w:lineRule="auto"/>
        <w:contextualSpacing w:val="0"/>
      </w:pPr>
    </w:p>
    <w:p w14:paraId="712BA469" w14:textId="25B56090" w:rsidR="00CA3072" w:rsidRDefault="00CC1B57" w:rsidP="00D16E24">
      <w:pPr>
        <w:keepNext/>
        <w:spacing w:before="120" w:after="120" w:line="240" w:lineRule="auto"/>
        <w:contextualSpacing w:val="0"/>
        <w:jc w:val="center"/>
      </w:pPr>
      <w:r>
        <w:rPr>
          <w:noProof/>
        </w:rPr>
        <w:drawing>
          <wp:inline distT="0" distB="0" distL="0" distR="0" wp14:anchorId="3A462D55" wp14:editId="0C56214E">
            <wp:extent cx="5040000" cy="285923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2859231"/>
                    </a:xfrm>
                    <a:prstGeom prst="rect">
                      <a:avLst/>
                    </a:prstGeom>
                  </pic:spPr>
                </pic:pic>
              </a:graphicData>
            </a:graphic>
          </wp:inline>
        </w:drawing>
      </w:r>
    </w:p>
    <w:p w14:paraId="324F3A9E" w14:textId="7134984B" w:rsidR="00CA3072" w:rsidRPr="004F2A8F" w:rsidRDefault="00CA3072" w:rsidP="00AC7C29">
      <w:pPr>
        <w:pStyle w:val="Caption"/>
        <w:framePr w:w="7717" w:wrap="notBeside" w:hAnchor="page" w:x="2281"/>
        <w:rPr>
          <w:sz w:val="24"/>
          <w:szCs w:val="24"/>
        </w:rPr>
      </w:pPr>
      <w:r>
        <w:t>Figure 8. National vegetable supply–demand balance and self-sufficiency, 2020–2024</w:t>
      </w:r>
    </w:p>
    <w:p w14:paraId="24889D96" w14:textId="51151A93" w:rsidR="00CA3072" w:rsidRDefault="00CA3072" w:rsidP="00016E8C">
      <w:pPr>
        <w:pStyle w:val="Heading3"/>
        <w:spacing w:before="240" w:line="240" w:lineRule="auto"/>
        <w:contextualSpacing w:val="0"/>
      </w:pPr>
      <w:bookmarkStart w:id="110" w:name="_Toc233981318"/>
      <w:r>
        <w:t>Seasonality of supply</w:t>
      </w:r>
      <w:bookmarkEnd w:id="110"/>
    </w:p>
    <w:p w14:paraId="28124355" w14:textId="2DEF3670" w:rsidR="00CA3072" w:rsidRDefault="00CA3072" w:rsidP="00EB489E">
      <w:r>
        <w:t>The most consequential feature of domestic supply is its seasonality. Open-field production is confined to a short summer growing season of three to four months, after which domestic fresh supply collapses; with limited storage and almost no winter production, the market through the long winter and early spring depends heavily on imports and on the small volume of stored and protected-cultivation produce.</w:t>
      </w:r>
      <w:r>
        <w:rPr>
          <w:sz w:val="18"/>
          <w:szCs w:val="18"/>
          <w:vertAlign w:val="superscript"/>
        </w:rPr>
        <w:t>[43]</w:t>
      </w:r>
      <w:r>
        <w:t xml:space="preserve"> The result is a pronounced intra-annual cycle: a glut and depressed prices at harvest, followed by scarcity and high prices for more than half the year. This seasonal imbalance is the single most important market fact for the project, because it is precisely what the recommended greenhouse and storage technologies are designed to address — extending </w:t>
      </w:r>
      <w:r>
        <w:lastRenderedPageBreak/>
        <w:t>the production and marketing window into the high-price months and smoothing the supply curve. The price consequences of this seasonality are examined in Section 6.4.</w:t>
      </w:r>
    </w:p>
    <w:p w14:paraId="5FADE46D" w14:textId="22817621" w:rsidR="00CA3072" w:rsidRDefault="00CA3072" w:rsidP="00016E8C">
      <w:pPr>
        <w:pStyle w:val="Heading2"/>
        <w:spacing w:before="360" w:line="240" w:lineRule="auto"/>
        <w:contextualSpacing w:val="0"/>
      </w:pPr>
      <w:bookmarkStart w:id="111" w:name="_Toc233981319"/>
      <w:r>
        <w:t>Vegetable imports and import-substitution opportunities</w:t>
      </w:r>
      <w:bookmarkEnd w:id="111"/>
    </w:p>
    <w:p w14:paraId="2D210D8E" w14:textId="5B9D8BC8" w:rsidR="00CA3072" w:rsidRDefault="00CA3072" w:rsidP="00016E8C">
      <w:pPr>
        <w:pStyle w:val="Heading3"/>
        <w:spacing w:before="240" w:line="240" w:lineRule="auto"/>
        <w:contextualSpacing w:val="0"/>
      </w:pPr>
      <w:bookmarkStart w:id="112" w:name="_Toc233981320"/>
      <w:r>
        <w:t>Scale and composition of imports</w:t>
      </w:r>
      <w:bookmarkEnd w:id="112"/>
    </w:p>
    <w:p w14:paraId="6811BFE6" w14:textId="44EFF8F0" w:rsidR="00CA3072" w:rsidRDefault="00CA3072" w:rsidP="00EB489E">
      <w:r>
        <w:t>Mongolia imported about 125.3 thousand tonnes of fresh vegetables in 2024, worth approximately USD 30.6 million at the border; this figure excludes potato and follows the customs definition comprising fresh vegetables together with melons and watermelon.</w:t>
      </w:r>
      <w:r>
        <w:rPr>
          <w:sz w:val="18"/>
          <w:szCs w:val="18"/>
          <w:vertAlign w:val="superscript"/>
        </w:rPr>
        <w:t>[9]</w:t>
      </w:r>
      <w:r>
        <w:t xml:space="preserve"> Imports rose by roughly 36% on 2023, underscoring that a growing domestic market is still being met substantially from abroad. The composition is informative: four categories — cabbages, the residual “other fresh vegetables” line, onions and garlic, and lettuce and chicory — together account for the overwhelming majority of imported volume, with smaller but strategically important quantities of melons and watermelon, tomatoes, cucumbers and root vegetables. Table 23 and Figure 9 set out the composition by category.</w:t>
      </w:r>
    </w:p>
    <w:p w14:paraId="3ADD70BC" w14:textId="77777777" w:rsidR="00AC7C29" w:rsidRDefault="00AC7C29" w:rsidP="00EB489E"/>
    <w:p w14:paraId="0BFBC70E" w14:textId="77777777" w:rsidR="00CA3072" w:rsidRDefault="00CA3072" w:rsidP="00AC7C29">
      <w:pPr>
        <w:pStyle w:val="Caption"/>
        <w:framePr w:wrap="notBeside"/>
      </w:pPr>
      <w:r>
        <w:t>Table 23. Composition of fresh vegetable imports by category, 2024</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000" w:firstRow="0" w:lastRow="0" w:firstColumn="0" w:lastColumn="0" w:noHBand="0" w:noVBand="0"/>
      </w:tblPr>
      <w:tblGrid>
        <w:gridCol w:w="2772"/>
        <w:gridCol w:w="1715"/>
        <w:gridCol w:w="1716"/>
        <w:gridCol w:w="1715"/>
        <w:gridCol w:w="1716"/>
      </w:tblGrid>
      <w:tr w:rsidR="00CA3072" w14:paraId="45A19C92" w14:textId="77777777" w:rsidTr="00ED71A8">
        <w:trPr>
          <w:tblHeader/>
        </w:trPr>
        <w:tc>
          <w:tcPr>
            <w:tcW w:w="2772"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5101829" w14:textId="77777777" w:rsidR="00CA3072" w:rsidRPr="00BF7384" w:rsidRDefault="00CA3072" w:rsidP="00ED71A8">
            <w:pPr>
              <w:pStyle w:val="OikoTables02"/>
            </w:pPr>
            <w:r>
              <w:t>Category</w:t>
            </w:r>
          </w:p>
        </w:tc>
        <w:tc>
          <w:tcPr>
            <w:tcW w:w="1715"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657BBFF3" w14:textId="77777777" w:rsidR="00CA3072" w:rsidRDefault="00CA3072" w:rsidP="00ED71A8">
            <w:pPr>
              <w:pStyle w:val="OikoTables02"/>
            </w:pPr>
            <w:r>
              <w:t>Quantity (t)</w:t>
            </w:r>
          </w:p>
        </w:tc>
        <w:tc>
          <w:tcPr>
            <w:tcW w:w="1716"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77FAC0F" w14:textId="77777777" w:rsidR="00CA3072" w:rsidRDefault="00CA3072" w:rsidP="00ED71A8">
            <w:pPr>
              <w:pStyle w:val="OikoTables02"/>
            </w:pPr>
            <w:r>
              <w:t>Value</w:t>
            </w:r>
            <w:r>
              <w:br/>
              <w:t>(million USD)</w:t>
            </w:r>
          </w:p>
        </w:tc>
        <w:tc>
          <w:tcPr>
            <w:tcW w:w="1715"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7F8B309" w14:textId="77777777" w:rsidR="00CA3072" w:rsidRDefault="00CA3072" w:rsidP="00ED71A8">
            <w:pPr>
              <w:pStyle w:val="OikoTables02"/>
            </w:pPr>
            <w:r>
              <w:rPr>
                <w:rFonts w:eastAsia="Times New Roman" w:cs="Times New Roman"/>
                <w:sz w:val="20"/>
                <w:szCs w:val="20"/>
              </w:rPr>
              <w:t xml:space="preserve">Share </w:t>
            </w:r>
            <w:r>
              <w:t>in total quantity</w:t>
            </w:r>
          </w:p>
        </w:tc>
        <w:tc>
          <w:tcPr>
            <w:tcW w:w="1716"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7AF93636" w14:textId="77777777" w:rsidR="00CA3072" w:rsidRDefault="00CA3072" w:rsidP="00ED71A8">
            <w:pPr>
              <w:pStyle w:val="OikoTables02"/>
            </w:pPr>
            <w:r>
              <w:t>Average price (USD/kg)</w:t>
            </w:r>
          </w:p>
        </w:tc>
      </w:tr>
      <w:tr w:rsidR="00CA3072" w14:paraId="23346568"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40056B1" w14:textId="77777777" w:rsidR="00CA3072" w:rsidRPr="00DE1722" w:rsidRDefault="00CA3072" w:rsidP="00AC7C29">
            <w:pPr>
              <w:pStyle w:val="OikoTables03Content"/>
              <w:rPr>
                <w:szCs w:val="18"/>
              </w:rPr>
            </w:pPr>
            <w:r w:rsidRPr="00DE1722">
              <w:rPr>
                <w:szCs w:val="18"/>
              </w:rPr>
              <w:t>Cabbages</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C0AB357" w14:textId="77777777" w:rsidR="00CA3072" w:rsidRPr="00DE1722" w:rsidRDefault="00CA3072" w:rsidP="00AC7C29">
            <w:pPr>
              <w:pStyle w:val="OikoTables03Content"/>
              <w:rPr>
                <w:szCs w:val="18"/>
              </w:rPr>
            </w:pPr>
            <w:r w:rsidRPr="00DE1722">
              <w:rPr>
                <w:rFonts w:eastAsia="Times New Roman" w:cs="Times New Roman"/>
                <w:szCs w:val="18"/>
              </w:rPr>
              <w:t>34,432</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18F1827" w14:textId="77777777" w:rsidR="00CA3072" w:rsidRPr="00DE1722" w:rsidRDefault="00CA3072" w:rsidP="00AC7C29">
            <w:pPr>
              <w:pStyle w:val="OikoTables03Content"/>
              <w:rPr>
                <w:szCs w:val="18"/>
              </w:rPr>
            </w:pPr>
            <w:r w:rsidRPr="00DE1722">
              <w:rPr>
                <w:rFonts w:eastAsia="Times New Roman" w:cs="Times New Roman"/>
                <w:szCs w:val="18"/>
              </w:rPr>
              <w:t>9.15</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99E5A46" w14:textId="77777777" w:rsidR="00CA3072" w:rsidRPr="00DE1722" w:rsidRDefault="00CA3072" w:rsidP="00AC7C29">
            <w:pPr>
              <w:pStyle w:val="OikoTables03Content"/>
              <w:rPr>
                <w:szCs w:val="18"/>
              </w:rPr>
            </w:pPr>
            <w:r w:rsidRPr="00DE1722">
              <w:rPr>
                <w:rFonts w:eastAsia="Times New Roman" w:cs="Times New Roman"/>
                <w:szCs w:val="18"/>
              </w:rPr>
              <w:t>27.5%</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AF9FB8F" w14:textId="77777777" w:rsidR="00CA3072" w:rsidRPr="00DE1722" w:rsidRDefault="00CA3072" w:rsidP="00AC7C29">
            <w:pPr>
              <w:pStyle w:val="OikoTables03Content"/>
              <w:rPr>
                <w:szCs w:val="18"/>
              </w:rPr>
            </w:pPr>
            <w:r w:rsidRPr="00DE1722">
              <w:rPr>
                <w:rFonts w:eastAsia="Times New Roman" w:cs="Times New Roman"/>
                <w:szCs w:val="18"/>
              </w:rPr>
              <w:t>0.27</w:t>
            </w:r>
          </w:p>
        </w:tc>
      </w:tr>
      <w:tr w:rsidR="00CA3072" w14:paraId="609A9E23"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C23130F" w14:textId="77777777" w:rsidR="00CA3072" w:rsidRPr="00DE1722" w:rsidRDefault="00CA3072" w:rsidP="00AC7C29">
            <w:pPr>
              <w:pStyle w:val="OikoTables03Content"/>
              <w:rPr>
                <w:szCs w:val="18"/>
              </w:rPr>
            </w:pPr>
            <w:r w:rsidRPr="00DE1722">
              <w:rPr>
                <w:szCs w:val="18"/>
              </w:rPr>
              <w:t>Other fresh vegetables</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89EFCD7" w14:textId="77777777" w:rsidR="00CA3072" w:rsidRPr="00DE1722" w:rsidRDefault="00CA3072" w:rsidP="00AC7C29">
            <w:pPr>
              <w:pStyle w:val="OikoTables03Content"/>
              <w:rPr>
                <w:szCs w:val="18"/>
              </w:rPr>
            </w:pPr>
            <w:r w:rsidRPr="00DE1722">
              <w:rPr>
                <w:rFonts w:eastAsia="Times New Roman" w:cs="Times New Roman"/>
                <w:szCs w:val="18"/>
              </w:rPr>
              <w:t>31,090</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656AE80" w14:textId="77777777" w:rsidR="00CA3072" w:rsidRPr="00DE1722" w:rsidRDefault="00CA3072" w:rsidP="00AC7C29">
            <w:pPr>
              <w:pStyle w:val="OikoTables03Content"/>
              <w:rPr>
                <w:szCs w:val="18"/>
              </w:rPr>
            </w:pPr>
            <w:r w:rsidRPr="00DE1722">
              <w:rPr>
                <w:rFonts w:eastAsia="Times New Roman" w:cs="Times New Roman"/>
                <w:szCs w:val="18"/>
              </w:rPr>
              <w:t>7.00</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6716202" w14:textId="77777777" w:rsidR="00CA3072" w:rsidRPr="00DE1722" w:rsidRDefault="00CA3072" w:rsidP="00AC7C29">
            <w:pPr>
              <w:pStyle w:val="OikoTables03Content"/>
              <w:rPr>
                <w:szCs w:val="18"/>
              </w:rPr>
            </w:pPr>
            <w:r w:rsidRPr="00DE1722">
              <w:rPr>
                <w:rFonts w:eastAsia="Times New Roman" w:cs="Times New Roman"/>
                <w:szCs w:val="18"/>
              </w:rPr>
              <w:t>24.8%</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6C9A3B7" w14:textId="77777777" w:rsidR="00CA3072" w:rsidRPr="00DE1722" w:rsidRDefault="00CA3072" w:rsidP="00AC7C29">
            <w:pPr>
              <w:pStyle w:val="OikoTables03Content"/>
              <w:rPr>
                <w:szCs w:val="18"/>
              </w:rPr>
            </w:pPr>
            <w:r w:rsidRPr="00DE1722">
              <w:rPr>
                <w:rFonts w:eastAsia="Times New Roman" w:cs="Times New Roman"/>
                <w:szCs w:val="18"/>
              </w:rPr>
              <w:t>0.23</w:t>
            </w:r>
          </w:p>
        </w:tc>
      </w:tr>
      <w:tr w:rsidR="00CA3072" w14:paraId="29D6A8E9"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6B18BD1" w14:textId="77777777" w:rsidR="00CA3072" w:rsidRPr="00DE1722" w:rsidRDefault="00CA3072" w:rsidP="00AC7C29">
            <w:pPr>
              <w:pStyle w:val="OikoTables03Content"/>
              <w:rPr>
                <w:szCs w:val="18"/>
              </w:rPr>
            </w:pPr>
            <w:r w:rsidRPr="00DE1722">
              <w:rPr>
                <w:szCs w:val="18"/>
              </w:rPr>
              <w:t>Onions &amp; garlic</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4DA85F" w14:textId="77777777" w:rsidR="00CA3072" w:rsidRPr="00DE1722" w:rsidRDefault="00CA3072" w:rsidP="00AC7C29">
            <w:pPr>
              <w:pStyle w:val="OikoTables03Content"/>
              <w:rPr>
                <w:szCs w:val="18"/>
              </w:rPr>
            </w:pPr>
            <w:r w:rsidRPr="00DE1722">
              <w:rPr>
                <w:rFonts w:eastAsia="Times New Roman" w:cs="Times New Roman"/>
                <w:szCs w:val="18"/>
              </w:rPr>
              <w:t>25,069</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240F704" w14:textId="77777777" w:rsidR="00CA3072" w:rsidRPr="00DE1722" w:rsidRDefault="00CA3072" w:rsidP="00AC7C29">
            <w:pPr>
              <w:pStyle w:val="OikoTables03Content"/>
              <w:rPr>
                <w:szCs w:val="18"/>
              </w:rPr>
            </w:pPr>
            <w:r w:rsidRPr="00DE1722">
              <w:rPr>
                <w:rFonts w:eastAsia="Times New Roman" w:cs="Times New Roman"/>
                <w:szCs w:val="18"/>
              </w:rPr>
              <w:t>6.53</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1511844" w14:textId="77777777" w:rsidR="00CA3072" w:rsidRPr="00DE1722" w:rsidRDefault="00CA3072" w:rsidP="00AC7C29">
            <w:pPr>
              <w:pStyle w:val="OikoTables03Content"/>
              <w:rPr>
                <w:szCs w:val="18"/>
              </w:rPr>
            </w:pPr>
            <w:r w:rsidRPr="00DE1722">
              <w:rPr>
                <w:rFonts w:eastAsia="Times New Roman" w:cs="Times New Roman"/>
                <w:szCs w:val="18"/>
              </w:rPr>
              <w:t>20.0%</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F1CAAF1" w14:textId="77777777" w:rsidR="00CA3072" w:rsidRPr="00DE1722" w:rsidRDefault="00CA3072" w:rsidP="00AC7C29">
            <w:pPr>
              <w:pStyle w:val="OikoTables03Content"/>
              <w:rPr>
                <w:szCs w:val="18"/>
              </w:rPr>
            </w:pPr>
            <w:r w:rsidRPr="00DE1722">
              <w:rPr>
                <w:rFonts w:eastAsia="Times New Roman" w:cs="Times New Roman"/>
                <w:szCs w:val="18"/>
              </w:rPr>
              <w:t>0.26</w:t>
            </w:r>
          </w:p>
        </w:tc>
      </w:tr>
      <w:tr w:rsidR="00CA3072" w14:paraId="25B92A4D"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B1AAAF4" w14:textId="77777777" w:rsidR="00CA3072" w:rsidRPr="00DE1722" w:rsidRDefault="00CA3072" w:rsidP="00AC7C29">
            <w:pPr>
              <w:pStyle w:val="OikoTables03Content"/>
              <w:rPr>
                <w:szCs w:val="18"/>
              </w:rPr>
            </w:pPr>
            <w:r w:rsidRPr="00DE1722">
              <w:rPr>
                <w:szCs w:val="18"/>
              </w:rPr>
              <w:t>Lettuce &amp; chicory</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91D2C98" w14:textId="77777777" w:rsidR="00CA3072" w:rsidRPr="00DE1722" w:rsidRDefault="00CA3072" w:rsidP="00AC7C29">
            <w:pPr>
              <w:pStyle w:val="OikoTables03Content"/>
              <w:rPr>
                <w:szCs w:val="18"/>
              </w:rPr>
            </w:pPr>
            <w:r w:rsidRPr="00DE1722">
              <w:rPr>
                <w:rFonts w:eastAsia="Times New Roman" w:cs="Times New Roman"/>
                <w:szCs w:val="18"/>
              </w:rPr>
              <w:t>20,911</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F448C2A" w14:textId="77777777" w:rsidR="00CA3072" w:rsidRPr="00DE1722" w:rsidRDefault="00CA3072" w:rsidP="00AC7C29">
            <w:pPr>
              <w:pStyle w:val="OikoTables03Content"/>
              <w:rPr>
                <w:szCs w:val="18"/>
              </w:rPr>
            </w:pPr>
            <w:r w:rsidRPr="00DE1722">
              <w:rPr>
                <w:rFonts w:eastAsia="Times New Roman" w:cs="Times New Roman"/>
                <w:szCs w:val="18"/>
              </w:rPr>
              <w:t>4.41</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3C1E73E" w14:textId="77777777" w:rsidR="00CA3072" w:rsidRPr="00DE1722" w:rsidRDefault="00CA3072" w:rsidP="00AC7C29">
            <w:pPr>
              <w:pStyle w:val="OikoTables03Content"/>
              <w:rPr>
                <w:szCs w:val="18"/>
              </w:rPr>
            </w:pPr>
            <w:r w:rsidRPr="00DE1722">
              <w:rPr>
                <w:rFonts w:eastAsia="Times New Roman" w:cs="Times New Roman"/>
                <w:szCs w:val="18"/>
              </w:rPr>
              <w:t>16.7%</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0D13A5E" w14:textId="77777777" w:rsidR="00CA3072" w:rsidRPr="00DE1722" w:rsidRDefault="00CA3072" w:rsidP="00AC7C29">
            <w:pPr>
              <w:pStyle w:val="OikoTables03Content"/>
              <w:rPr>
                <w:szCs w:val="18"/>
              </w:rPr>
            </w:pPr>
            <w:r w:rsidRPr="00DE1722">
              <w:rPr>
                <w:rFonts w:eastAsia="Times New Roman" w:cs="Times New Roman"/>
                <w:szCs w:val="18"/>
              </w:rPr>
              <w:t>0.21</w:t>
            </w:r>
          </w:p>
        </w:tc>
      </w:tr>
      <w:tr w:rsidR="00CA3072" w14:paraId="42FA9FB3"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B989314" w14:textId="77777777" w:rsidR="00CA3072" w:rsidRPr="00DE1722" w:rsidRDefault="00CA3072" w:rsidP="00AC7C29">
            <w:pPr>
              <w:pStyle w:val="OikoTables03Content"/>
              <w:rPr>
                <w:szCs w:val="18"/>
              </w:rPr>
            </w:pPr>
            <w:r w:rsidRPr="00DE1722">
              <w:rPr>
                <w:szCs w:val="18"/>
              </w:rPr>
              <w:t>Melons &amp; watermelon</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4F4E91" w14:textId="77777777" w:rsidR="00CA3072" w:rsidRPr="00DE1722" w:rsidRDefault="00CA3072" w:rsidP="00AC7C29">
            <w:pPr>
              <w:pStyle w:val="OikoTables03Content"/>
              <w:rPr>
                <w:szCs w:val="18"/>
              </w:rPr>
            </w:pPr>
            <w:r w:rsidRPr="00DE1722">
              <w:rPr>
                <w:rFonts w:eastAsia="Times New Roman" w:cs="Times New Roman"/>
                <w:szCs w:val="18"/>
              </w:rPr>
              <w:t>4,987</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885E484" w14:textId="77777777" w:rsidR="00CA3072" w:rsidRPr="00DE1722" w:rsidRDefault="00CA3072" w:rsidP="00AC7C29">
            <w:pPr>
              <w:pStyle w:val="OikoTables03Content"/>
              <w:rPr>
                <w:szCs w:val="18"/>
              </w:rPr>
            </w:pPr>
            <w:r w:rsidRPr="00DE1722">
              <w:rPr>
                <w:rFonts w:eastAsia="Times New Roman" w:cs="Times New Roman"/>
                <w:szCs w:val="18"/>
              </w:rPr>
              <w:t>1.25</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39CA5F9" w14:textId="77777777" w:rsidR="00CA3072" w:rsidRPr="00DE1722" w:rsidRDefault="00CA3072" w:rsidP="00AC7C29">
            <w:pPr>
              <w:pStyle w:val="OikoTables03Content"/>
              <w:rPr>
                <w:szCs w:val="18"/>
              </w:rPr>
            </w:pPr>
            <w:r w:rsidRPr="00DE1722">
              <w:rPr>
                <w:rFonts w:eastAsia="Times New Roman" w:cs="Times New Roman"/>
                <w:szCs w:val="18"/>
              </w:rPr>
              <w:t>4.0%</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B980B69" w14:textId="77777777" w:rsidR="00CA3072" w:rsidRPr="00DE1722" w:rsidRDefault="00CA3072" w:rsidP="00AC7C29">
            <w:pPr>
              <w:pStyle w:val="OikoTables03Content"/>
              <w:rPr>
                <w:szCs w:val="18"/>
              </w:rPr>
            </w:pPr>
            <w:r w:rsidRPr="00DE1722">
              <w:rPr>
                <w:rFonts w:eastAsia="Times New Roman" w:cs="Times New Roman"/>
                <w:szCs w:val="18"/>
              </w:rPr>
              <w:t>0.25</w:t>
            </w:r>
          </w:p>
        </w:tc>
      </w:tr>
      <w:tr w:rsidR="00CA3072" w14:paraId="57A830C1"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3CD66E1" w14:textId="77777777" w:rsidR="00CA3072" w:rsidRPr="00DE1722" w:rsidRDefault="00CA3072" w:rsidP="00AC7C29">
            <w:pPr>
              <w:pStyle w:val="OikoTables03Content"/>
              <w:rPr>
                <w:szCs w:val="18"/>
              </w:rPr>
            </w:pPr>
            <w:r w:rsidRPr="00DE1722">
              <w:rPr>
                <w:szCs w:val="18"/>
              </w:rPr>
              <w:t>Tomatoes</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9F078D8" w14:textId="77777777" w:rsidR="00CA3072" w:rsidRPr="00DE1722" w:rsidRDefault="00CA3072" w:rsidP="00AC7C29">
            <w:pPr>
              <w:pStyle w:val="OikoTables03Content"/>
              <w:rPr>
                <w:szCs w:val="18"/>
              </w:rPr>
            </w:pPr>
            <w:r w:rsidRPr="00DE1722">
              <w:rPr>
                <w:rFonts w:eastAsia="Times New Roman" w:cs="Times New Roman"/>
                <w:szCs w:val="18"/>
              </w:rPr>
              <w:t>4,773</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958A54D" w14:textId="77777777" w:rsidR="00CA3072" w:rsidRPr="00DE1722" w:rsidRDefault="00CA3072" w:rsidP="00AC7C29">
            <w:pPr>
              <w:pStyle w:val="OikoTables03Content"/>
              <w:rPr>
                <w:szCs w:val="18"/>
              </w:rPr>
            </w:pPr>
            <w:r w:rsidRPr="00DE1722">
              <w:rPr>
                <w:rFonts w:eastAsia="Times New Roman" w:cs="Times New Roman"/>
                <w:szCs w:val="18"/>
              </w:rPr>
              <w:t>1.29</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8CA429B" w14:textId="77777777" w:rsidR="00CA3072" w:rsidRPr="00DE1722" w:rsidRDefault="00CA3072" w:rsidP="00AC7C29">
            <w:pPr>
              <w:pStyle w:val="OikoTables03Content"/>
              <w:rPr>
                <w:szCs w:val="18"/>
              </w:rPr>
            </w:pPr>
            <w:r w:rsidRPr="00DE1722">
              <w:rPr>
                <w:rFonts w:eastAsia="Times New Roman" w:cs="Times New Roman"/>
                <w:szCs w:val="18"/>
              </w:rPr>
              <w:t>3.8%</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26A00AA" w14:textId="77777777" w:rsidR="00CA3072" w:rsidRPr="00DE1722" w:rsidRDefault="00CA3072" w:rsidP="00AC7C29">
            <w:pPr>
              <w:pStyle w:val="OikoTables03Content"/>
              <w:rPr>
                <w:szCs w:val="18"/>
              </w:rPr>
            </w:pPr>
            <w:r w:rsidRPr="00DE1722">
              <w:rPr>
                <w:rFonts w:eastAsia="Times New Roman" w:cs="Times New Roman"/>
                <w:szCs w:val="18"/>
              </w:rPr>
              <w:t>0.27</w:t>
            </w:r>
          </w:p>
        </w:tc>
      </w:tr>
      <w:tr w:rsidR="00CA3072" w14:paraId="3741E468"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A634263" w14:textId="77777777" w:rsidR="00CA3072" w:rsidRPr="00DE1722" w:rsidRDefault="00CA3072" w:rsidP="00AC7C29">
            <w:pPr>
              <w:pStyle w:val="OikoTables03Content"/>
              <w:rPr>
                <w:szCs w:val="18"/>
              </w:rPr>
            </w:pPr>
            <w:r w:rsidRPr="00DE1722">
              <w:rPr>
                <w:szCs w:val="18"/>
              </w:rPr>
              <w:t>Cucumbers</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CF6CDD7" w14:textId="77777777" w:rsidR="00CA3072" w:rsidRPr="00DE1722" w:rsidRDefault="00CA3072" w:rsidP="00AC7C29">
            <w:pPr>
              <w:pStyle w:val="OikoTables03Content"/>
              <w:rPr>
                <w:szCs w:val="18"/>
              </w:rPr>
            </w:pPr>
            <w:r w:rsidRPr="00DE1722">
              <w:rPr>
                <w:rFonts w:eastAsia="Times New Roman" w:cs="Times New Roman"/>
                <w:szCs w:val="18"/>
              </w:rPr>
              <w:t>2,087</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343B74E" w14:textId="77777777" w:rsidR="00CA3072" w:rsidRPr="00DE1722" w:rsidRDefault="00CA3072" w:rsidP="00AC7C29">
            <w:pPr>
              <w:pStyle w:val="OikoTables03Content"/>
              <w:rPr>
                <w:szCs w:val="18"/>
              </w:rPr>
            </w:pPr>
            <w:r w:rsidRPr="00DE1722">
              <w:rPr>
                <w:rFonts w:eastAsia="Times New Roman" w:cs="Times New Roman"/>
                <w:szCs w:val="18"/>
              </w:rPr>
              <w:t>0.53</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7DBEB19" w14:textId="77777777" w:rsidR="00CA3072" w:rsidRPr="00DE1722" w:rsidRDefault="00CA3072" w:rsidP="00AC7C29">
            <w:pPr>
              <w:pStyle w:val="OikoTables03Content"/>
              <w:rPr>
                <w:szCs w:val="18"/>
              </w:rPr>
            </w:pPr>
            <w:r w:rsidRPr="00DE1722">
              <w:rPr>
                <w:rFonts w:eastAsia="Times New Roman" w:cs="Times New Roman"/>
                <w:szCs w:val="18"/>
              </w:rPr>
              <w:t>1.7%</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AD70E06" w14:textId="77777777" w:rsidR="00CA3072" w:rsidRPr="00DE1722" w:rsidRDefault="00CA3072" w:rsidP="00AC7C29">
            <w:pPr>
              <w:pStyle w:val="OikoTables03Content"/>
              <w:rPr>
                <w:szCs w:val="18"/>
              </w:rPr>
            </w:pPr>
            <w:r w:rsidRPr="00DE1722">
              <w:rPr>
                <w:rFonts w:eastAsia="Times New Roman" w:cs="Times New Roman"/>
                <w:szCs w:val="18"/>
              </w:rPr>
              <w:t>0.26</w:t>
            </w:r>
          </w:p>
        </w:tc>
      </w:tr>
      <w:tr w:rsidR="00CA3072" w14:paraId="0E9A6CAC" w14:textId="77777777" w:rsidTr="00AC7C29">
        <w:tc>
          <w:tcPr>
            <w:tcW w:w="277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5E436A8" w14:textId="77777777" w:rsidR="00CA3072" w:rsidRPr="00DE1722" w:rsidRDefault="00CA3072" w:rsidP="00AC7C29">
            <w:pPr>
              <w:pStyle w:val="OikoTables03Content"/>
              <w:rPr>
                <w:szCs w:val="18"/>
              </w:rPr>
            </w:pPr>
            <w:r w:rsidRPr="00DE1722">
              <w:rPr>
                <w:szCs w:val="18"/>
              </w:rPr>
              <w:t>Carrots, beets &amp; root vegetables</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F11B2CE" w14:textId="77777777" w:rsidR="00CA3072" w:rsidRPr="00DE1722" w:rsidRDefault="00CA3072" w:rsidP="00AC7C29">
            <w:pPr>
              <w:pStyle w:val="OikoTables03Content"/>
              <w:rPr>
                <w:szCs w:val="18"/>
              </w:rPr>
            </w:pPr>
            <w:r w:rsidRPr="00DE1722">
              <w:rPr>
                <w:rFonts w:eastAsia="Times New Roman" w:cs="Times New Roman"/>
                <w:szCs w:val="18"/>
              </w:rPr>
              <w:t>1,940</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50578B3" w14:textId="77777777" w:rsidR="00CA3072" w:rsidRPr="00DE1722" w:rsidRDefault="00CA3072" w:rsidP="00AC7C29">
            <w:pPr>
              <w:pStyle w:val="OikoTables03Content"/>
              <w:rPr>
                <w:szCs w:val="18"/>
              </w:rPr>
            </w:pPr>
            <w:r w:rsidRPr="00DE1722">
              <w:rPr>
                <w:rFonts w:eastAsia="Times New Roman" w:cs="Times New Roman"/>
                <w:szCs w:val="18"/>
              </w:rPr>
              <w:t>0.44</w:t>
            </w:r>
          </w:p>
        </w:tc>
        <w:tc>
          <w:tcPr>
            <w:tcW w:w="171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DF4727F" w14:textId="77777777" w:rsidR="00CA3072" w:rsidRPr="00DE1722" w:rsidRDefault="00CA3072" w:rsidP="00AC7C29">
            <w:pPr>
              <w:pStyle w:val="OikoTables03Content"/>
              <w:rPr>
                <w:szCs w:val="18"/>
              </w:rPr>
            </w:pPr>
            <w:r w:rsidRPr="00DE1722">
              <w:rPr>
                <w:rFonts w:eastAsia="Times New Roman" w:cs="Times New Roman"/>
                <w:szCs w:val="18"/>
              </w:rPr>
              <w:t>1.5%</w:t>
            </w:r>
          </w:p>
        </w:tc>
        <w:tc>
          <w:tcPr>
            <w:tcW w:w="17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5D95B8F" w14:textId="77777777" w:rsidR="00CA3072" w:rsidRPr="00DE1722" w:rsidRDefault="00CA3072" w:rsidP="00AC7C29">
            <w:pPr>
              <w:pStyle w:val="OikoTables03Content"/>
              <w:rPr>
                <w:szCs w:val="18"/>
              </w:rPr>
            </w:pPr>
            <w:r w:rsidRPr="00DE1722">
              <w:rPr>
                <w:rFonts w:eastAsia="Times New Roman" w:cs="Times New Roman"/>
                <w:szCs w:val="18"/>
              </w:rPr>
              <w:t>0.23</w:t>
            </w:r>
          </w:p>
        </w:tc>
      </w:tr>
      <w:tr w:rsidR="00CA3072" w14:paraId="7209AEF1" w14:textId="77777777" w:rsidTr="00ED71A8">
        <w:tc>
          <w:tcPr>
            <w:tcW w:w="2772" w:type="dxa"/>
            <w:tcBorders>
              <w:top w:val="single" w:sz="4" w:space="0" w:color="BFBFBF"/>
              <w:left w:val="single" w:sz="4" w:space="0" w:color="BFBFBF"/>
              <w:bottom w:val="single" w:sz="4" w:space="0" w:color="BFBFBF"/>
              <w:right w:val="single" w:sz="4" w:space="0" w:color="BFBFBF"/>
            </w:tcBorders>
            <w:shd w:val="clear" w:color="auto" w:fill="F6D7C4" w:themeFill="accent3" w:themeFillTint="66"/>
            <w:tcMar>
              <w:top w:w="60" w:type="dxa"/>
              <w:left w:w="100" w:type="dxa"/>
              <w:bottom w:w="60" w:type="dxa"/>
              <w:right w:w="100" w:type="dxa"/>
            </w:tcMar>
            <w:vAlign w:val="center"/>
          </w:tcPr>
          <w:p w14:paraId="5547AF4A" w14:textId="77777777" w:rsidR="00CA3072" w:rsidRPr="00DE1722" w:rsidRDefault="00CA3072" w:rsidP="00DE1722">
            <w:pPr>
              <w:pStyle w:val="OikoTables03Content"/>
              <w:rPr>
                <w:b/>
                <w:bCs/>
              </w:rPr>
            </w:pPr>
            <w:r w:rsidRPr="00DE1722">
              <w:rPr>
                <w:b/>
                <w:bCs/>
              </w:rPr>
              <w:t>Total fresh vegetables</w:t>
            </w:r>
          </w:p>
        </w:tc>
        <w:tc>
          <w:tcPr>
            <w:tcW w:w="1715" w:type="dxa"/>
            <w:tcBorders>
              <w:top w:val="single" w:sz="4" w:space="0" w:color="BFBFBF"/>
              <w:left w:val="single" w:sz="4" w:space="0" w:color="BFBFBF"/>
              <w:bottom w:val="single" w:sz="4" w:space="0" w:color="BFBFBF"/>
              <w:right w:val="single" w:sz="4" w:space="0" w:color="BFBFBF"/>
            </w:tcBorders>
            <w:shd w:val="clear" w:color="auto" w:fill="F6D7C4" w:themeFill="accent3" w:themeFillTint="66"/>
            <w:tcMar>
              <w:top w:w="60" w:type="dxa"/>
              <w:left w:w="100" w:type="dxa"/>
              <w:bottom w:w="60" w:type="dxa"/>
              <w:right w:w="100" w:type="dxa"/>
            </w:tcMar>
            <w:vAlign w:val="center"/>
          </w:tcPr>
          <w:p w14:paraId="3A1C9B8D" w14:textId="77777777" w:rsidR="00CA3072" w:rsidRPr="00DE1722" w:rsidRDefault="00CA3072" w:rsidP="00DE1722">
            <w:pPr>
              <w:pStyle w:val="OikoTables03Content"/>
              <w:rPr>
                <w:b/>
                <w:bCs/>
              </w:rPr>
            </w:pPr>
            <w:r w:rsidRPr="00DE1722">
              <w:rPr>
                <w:b/>
                <w:bCs/>
              </w:rPr>
              <w:t>125,288</w:t>
            </w:r>
          </w:p>
        </w:tc>
        <w:tc>
          <w:tcPr>
            <w:tcW w:w="1716" w:type="dxa"/>
            <w:tcBorders>
              <w:top w:val="single" w:sz="4" w:space="0" w:color="BFBFBF"/>
              <w:left w:val="single" w:sz="4" w:space="0" w:color="BFBFBF"/>
              <w:bottom w:val="single" w:sz="4" w:space="0" w:color="BFBFBF"/>
              <w:right w:val="single" w:sz="4" w:space="0" w:color="BFBFBF"/>
            </w:tcBorders>
            <w:shd w:val="clear" w:color="auto" w:fill="F6D7C4" w:themeFill="accent3" w:themeFillTint="66"/>
            <w:tcMar>
              <w:top w:w="60" w:type="dxa"/>
              <w:left w:w="100" w:type="dxa"/>
              <w:bottom w:w="60" w:type="dxa"/>
              <w:right w:w="100" w:type="dxa"/>
            </w:tcMar>
            <w:vAlign w:val="center"/>
          </w:tcPr>
          <w:p w14:paraId="768838C0" w14:textId="77777777" w:rsidR="00CA3072" w:rsidRPr="00DE1722" w:rsidRDefault="00CA3072" w:rsidP="00DE1722">
            <w:pPr>
              <w:pStyle w:val="OikoTables03Content"/>
              <w:rPr>
                <w:b/>
                <w:bCs/>
              </w:rPr>
            </w:pPr>
            <w:r w:rsidRPr="00DE1722">
              <w:rPr>
                <w:b/>
                <w:bCs/>
              </w:rPr>
              <w:t>30.61</w:t>
            </w:r>
          </w:p>
        </w:tc>
        <w:tc>
          <w:tcPr>
            <w:tcW w:w="1715" w:type="dxa"/>
            <w:tcBorders>
              <w:top w:val="single" w:sz="4" w:space="0" w:color="BFBFBF"/>
              <w:left w:val="single" w:sz="4" w:space="0" w:color="BFBFBF"/>
              <w:bottom w:val="single" w:sz="4" w:space="0" w:color="BFBFBF"/>
              <w:right w:val="single" w:sz="4" w:space="0" w:color="BFBFBF"/>
            </w:tcBorders>
            <w:shd w:val="clear" w:color="auto" w:fill="F6D7C4" w:themeFill="accent3" w:themeFillTint="66"/>
            <w:tcMar>
              <w:top w:w="60" w:type="dxa"/>
              <w:left w:w="100" w:type="dxa"/>
              <w:bottom w:w="60" w:type="dxa"/>
              <w:right w:w="100" w:type="dxa"/>
            </w:tcMar>
            <w:vAlign w:val="center"/>
          </w:tcPr>
          <w:p w14:paraId="62F6175B" w14:textId="77777777" w:rsidR="00CA3072" w:rsidRPr="00DE1722" w:rsidRDefault="00CA3072" w:rsidP="00DE1722">
            <w:pPr>
              <w:pStyle w:val="OikoTables03Content"/>
              <w:rPr>
                <w:b/>
                <w:bCs/>
              </w:rPr>
            </w:pPr>
            <w:r w:rsidRPr="00DE1722">
              <w:rPr>
                <w:b/>
                <w:bCs/>
              </w:rPr>
              <w:t>100%</w:t>
            </w:r>
          </w:p>
        </w:tc>
        <w:tc>
          <w:tcPr>
            <w:tcW w:w="1716" w:type="dxa"/>
            <w:tcBorders>
              <w:top w:val="single" w:sz="4" w:space="0" w:color="BFBFBF"/>
              <w:left w:val="single" w:sz="4" w:space="0" w:color="BFBFBF"/>
              <w:bottom w:val="single" w:sz="4" w:space="0" w:color="BFBFBF"/>
              <w:right w:val="single" w:sz="4" w:space="0" w:color="BFBFBF"/>
            </w:tcBorders>
            <w:shd w:val="clear" w:color="auto" w:fill="F6D7C4" w:themeFill="accent3" w:themeFillTint="66"/>
            <w:tcMar>
              <w:top w:w="60" w:type="dxa"/>
              <w:left w:w="100" w:type="dxa"/>
              <w:bottom w:w="60" w:type="dxa"/>
              <w:right w:w="100" w:type="dxa"/>
            </w:tcMar>
            <w:vAlign w:val="center"/>
          </w:tcPr>
          <w:p w14:paraId="15EAF6C5" w14:textId="77777777" w:rsidR="00CA3072" w:rsidRPr="00DE1722" w:rsidRDefault="00CA3072" w:rsidP="00DE1722">
            <w:pPr>
              <w:pStyle w:val="OikoTables03Content"/>
              <w:rPr>
                <w:b/>
                <w:bCs/>
              </w:rPr>
            </w:pPr>
            <w:r w:rsidRPr="00DE1722">
              <w:rPr>
                <w:b/>
                <w:bCs/>
              </w:rPr>
              <w:t>0.24</w:t>
            </w:r>
          </w:p>
        </w:tc>
      </w:tr>
    </w:tbl>
    <w:p w14:paraId="78894969" w14:textId="03EB8CA7" w:rsidR="00CA3072" w:rsidRDefault="00CA3072" w:rsidP="00D16E24">
      <w:pPr>
        <w:spacing w:before="30" w:after="120" w:line="240" w:lineRule="auto"/>
        <w:contextualSpacing w:val="0"/>
        <w:rPr>
          <w:rFonts w:eastAsia="Times New Roman" w:cs="Times New Roman"/>
          <w:i/>
          <w:iCs/>
          <w:sz w:val="18"/>
          <w:szCs w:val="18"/>
        </w:rPr>
      </w:pPr>
      <w:r>
        <w:rPr>
          <w:rFonts w:eastAsia="Times New Roman" w:cs="Times New Roman"/>
          <w:i/>
          <w:iCs/>
          <w:sz w:val="18"/>
          <w:szCs w:val="18"/>
        </w:rPr>
        <w:t>Source: Customs General Administration of Mongolia.</w:t>
      </w:r>
      <w:r>
        <w:rPr>
          <w:rFonts w:eastAsia="Times New Roman" w:cs="Times New Roman"/>
          <w:i/>
          <w:iCs/>
          <w:sz w:val="18"/>
          <w:szCs w:val="18"/>
          <w:vertAlign w:val="superscript"/>
        </w:rPr>
        <w:t>[9]</w:t>
      </w:r>
      <w:r>
        <w:rPr>
          <w:rFonts w:eastAsia="Times New Roman" w:cs="Times New Roman"/>
          <w:i/>
          <w:iCs/>
          <w:sz w:val="18"/>
          <w:szCs w:val="18"/>
        </w:rPr>
        <w:t xml:space="preserve"> Total of 125,288,302.5 kg ≈ 125.3 thousand tonnes. Average price is the border (CIF-type) unit value, not the retail price.</w:t>
      </w:r>
    </w:p>
    <w:p w14:paraId="3E455BA4" w14:textId="77777777" w:rsidR="00CC1B57" w:rsidRDefault="00CC1B57" w:rsidP="00D16E24">
      <w:pPr>
        <w:spacing w:before="30" w:after="120" w:line="240" w:lineRule="auto"/>
        <w:contextualSpacing w:val="0"/>
      </w:pPr>
    </w:p>
    <w:p w14:paraId="45D236B5" w14:textId="77777777" w:rsidR="00CA3072" w:rsidRDefault="00CA3072" w:rsidP="00D16E24">
      <w:pPr>
        <w:keepNext/>
        <w:spacing w:before="120" w:after="120" w:line="240" w:lineRule="auto"/>
        <w:contextualSpacing w:val="0"/>
        <w:jc w:val="center"/>
      </w:pPr>
      <w:r>
        <w:rPr>
          <w:noProof/>
        </w:rPr>
        <w:lastRenderedPageBreak/>
        <w:drawing>
          <wp:inline distT="0" distB="0" distL="0" distR="0" wp14:anchorId="473B33E4" wp14:editId="5859389C">
            <wp:extent cx="5040000" cy="2721600"/>
            <wp:effectExtent l="0" t="0" r="825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040000" cy="2721600"/>
                    </a:xfrm>
                    <a:prstGeom prst="rect">
                      <a:avLst/>
                    </a:prstGeom>
                  </pic:spPr>
                </pic:pic>
              </a:graphicData>
            </a:graphic>
          </wp:inline>
        </w:drawing>
      </w:r>
    </w:p>
    <w:p w14:paraId="2C899772" w14:textId="77777777" w:rsidR="00CA3072" w:rsidRPr="004F2A8F" w:rsidRDefault="00CA3072" w:rsidP="00DE1722">
      <w:pPr>
        <w:pStyle w:val="Caption"/>
        <w:framePr w:wrap="notBeside"/>
        <w:rPr>
          <w:sz w:val="24"/>
          <w:szCs w:val="24"/>
        </w:rPr>
      </w:pPr>
      <w:r>
        <w:t>Figure 9. Composition of fresh vegetable imports by category, 2024 (thousand tonnes)</w:t>
      </w:r>
    </w:p>
    <w:p w14:paraId="3583B426" w14:textId="0C218B6F" w:rsidR="00CA3072" w:rsidRDefault="00CA3072" w:rsidP="00016E8C">
      <w:pPr>
        <w:pStyle w:val="Heading3"/>
        <w:spacing w:before="240" w:line="240" w:lineRule="auto"/>
        <w:contextualSpacing w:val="0"/>
      </w:pPr>
      <w:bookmarkStart w:id="113" w:name="_Toc233981321"/>
      <w:r>
        <w:t>Import origins and prices</w:t>
      </w:r>
      <w:bookmarkEnd w:id="113"/>
    </w:p>
    <w:p w14:paraId="18A2F770" w14:textId="10FF0724" w:rsidR="00CA3072" w:rsidRDefault="00CA3072" w:rsidP="00EB489E">
      <w:r>
        <w:t>Mongolia's vegetable imports come overwhelmingly from its neighbours — principally China, with some volumes from Russia — reflecting geography, road and rail links and the seasonal complementarity of supply.</w:t>
      </w:r>
      <w:r>
        <w:rPr>
          <w:sz w:val="18"/>
          <w:szCs w:val="18"/>
          <w:vertAlign w:val="superscript"/>
        </w:rPr>
        <w:t>[2]</w:t>
      </w:r>
      <w:r>
        <w:t xml:space="preserve"> A striking feature of the data is the very low border price of imported vegetables: average unit values in 2024 were around USD 0.21–0.27 per kilogram, or roughly USD 0.24 per kilogram across all fresh vegetables.</w:t>
      </w:r>
      <w:r>
        <w:rPr>
          <w:sz w:val="18"/>
          <w:szCs w:val="18"/>
          <w:vertAlign w:val="superscript"/>
        </w:rPr>
        <w:t>[9]</w:t>
      </w:r>
      <w:r>
        <w:t xml:space="preserve"> These low landed prices set a competitive benchmark that domestic producers must approach, and they explain why import substitution depends on raising domestic yields and lowering unit costs, not on demand alone. Two qualifications, however, work strongly in favour of domestic production. First, the border price is not the price consumers </w:t>
      </w:r>
      <w:proofErr w:type="gramStart"/>
      <w:r>
        <w:t>pay:</w:t>
      </w:r>
      <w:proofErr w:type="gramEnd"/>
      <w:r>
        <w:t xml:space="preserve"> by the time imported vegetables reach winter retail markets, transport, handling, spoilage and margins raise prices well above the border figure, and well above summer farm-gate levels — the off-season premium examined in Section 6.4. Second, processed and value-added vegetable imports (frozen, dried and canned), recorded separately in the customs nomenclature, command far higher unit values — on the order of USD 1.9 per kilogram in earlier analysis — indicating a higher-value segment that improved domestic handling and storage could also begin to contest.</w:t>
      </w:r>
      <w:r>
        <w:rPr>
          <w:sz w:val="18"/>
          <w:szCs w:val="18"/>
          <w:vertAlign w:val="superscript"/>
        </w:rPr>
        <w:t>[5]</w:t>
      </w:r>
    </w:p>
    <w:p w14:paraId="3EFB512A" w14:textId="17D7E017" w:rsidR="00CA3072" w:rsidRDefault="00CA3072" w:rsidP="00016E8C">
      <w:pPr>
        <w:pStyle w:val="Heading3"/>
        <w:spacing w:before="240" w:line="240" w:lineRule="auto"/>
        <w:contextualSpacing w:val="0"/>
      </w:pPr>
      <w:bookmarkStart w:id="114" w:name="_Toc233981322"/>
      <w:r>
        <w:t>Per-crop self-sufficiency and the substitution map</w:t>
      </w:r>
      <w:bookmarkEnd w:id="114"/>
    </w:p>
    <w:p w14:paraId="4A658B0E" w14:textId="30C45A18" w:rsidR="00CA3072" w:rsidRDefault="00CA3072" w:rsidP="00EB489E">
      <w:r>
        <w:t>Aggregate self-sufficiency conceals very different positions crop by crop, and it is the crop-level pattern that links the market directly to the technology recommendations. The most recent detailed national breakdown shows that Mongolia is already largely self-sufficient in several field and greenhouse vegetables — cucumber (about 95% domestic), carrot and beet (about 93%), tomato (about 86%) and the melon/watermelon/squash group (about 70%) — while remaining heavily import-dependent in others, notably onions and garlic (about 64% imported), cabbage (about 54% imported) and the broad “other / fine vegetables” category excluding leafy salads (about 93% imported).</w:t>
      </w:r>
      <w:r>
        <w:rPr>
          <w:sz w:val="18"/>
          <w:szCs w:val="18"/>
          <w:vertAlign w:val="superscript"/>
        </w:rPr>
        <w:t>[5]</w:t>
      </w:r>
      <w:r>
        <w:t xml:space="preserve"> The 2024 import composition (Table 23) is fully consistent with this pattern: the largest imported volumes are exactly those crops — cabbage, onion and garlic, and the “other vegetables” and leafy categories — in which domestic supply is weakest. Table 24 maps each crop group to its self-sufficiency position and to the project technologies most relevant to closing the gap, making explicit where additional domestic production can displace imports.</w:t>
      </w:r>
    </w:p>
    <w:p w14:paraId="63F4F60B" w14:textId="77777777" w:rsidR="00DE1722" w:rsidRDefault="00DE1722" w:rsidP="00EB489E"/>
    <w:p w14:paraId="349466E9" w14:textId="77777777" w:rsidR="00CA3072" w:rsidRDefault="00CA3072" w:rsidP="00DE1722">
      <w:pPr>
        <w:pStyle w:val="Caption"/>
        <w:framePr w:wrap="notBeside"/>
      </w:pPr>
      <w:r>
        <w:t>Table 24. Per-crop self-sufficiency and import-substitution map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000" w:firstRow="0" w:lastRow="0" w:firstColumn="0" w:lastColumn="0" w:noHBand="0" w:noVBand="0"/>
      </w:tblPr>
      <w:tblGrid>
        <w:gridCol w:w="2150"/>
        <w:gridCol w:w="1673"/>
        <w:gridCol w:w="1417"/>
        <w:gridCol w:w="4394"/>
      </w:tblGrid>
      <w:tr w:rsidR="00CA3072" w14:paraId="17D10E2C" w14:textId="77777777" w:rsidTr="00ED71A8">
        <w:trPr>
          <w:tblHeader/>
        </w:trPr>
        <w:tc>
          <w:tcPr>
            <w:tcW w:w="215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3C3CD5C8" w14:textId="77777777" w:rsidR="00CA3072" w:rsidRDefault="00CA3072" w:rsidP="00ED71A8">
            <w:pPr>
              <w:pStyle w:val="OikoTables02"/>
            </w:pPr>
            <w:r>
              <w:t>Crop / category</w:t>
            </w:r>
          </w:p>
        </w:tc>
        <w:tc>
          <w:tcPr>
            <w:tcW w:w="1673"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04E22B08" w14:textId="77777777" w:rsidR="00CA3072" w:rsidRDefault="00CA3072" w:rsidP="00ED71A8">
            <w:pPr>
              <w:pStyle w:val="OikoTables02"/>
            </w:pPr>
            <w:r>
              <w:t>Domestic self-sufficiency</w:t>
            </w:r>
          </w:p>
        </w:tc>
        <w:tc>
          <w:tcPr>
            <w:tcW w:w="1417"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73998F6B" w14:textId="77777777" w:rsidR="00CA3072" w:rsidRDefault="00CA3072" w:rsidP="00ED71A8">
            <w:pPr>
              <w:pStyle w:val="OikoTables02"/>
            </w:pPr>
            <w:r>
              <w:t>Position</w:t>
            </w:r>
          </w:p>
        </w:tc>
        <w:tc>
          <w:tcPr>
            <w:tcW w:w="4394"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652000F1" w14:textId="77777777" w:rsidR="00CA3072" w:rsidRDefault="00CA3072" w:rsidP="00ED71A8">
            <w:pPr>
              <w:pStyle w:val="OikoTables02"/>
            </w:pPr>
            <w:r>
              <w:t>Relevance to the project (technology link)</w:t>
            </w:r>
          </w:p>
        </w:tc>
      </w:tr>
      <w:tr w:rsidR="00CA3072" w14:paraId="62E5E024"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A1961AF" w14:textId="77777777" w:rsidR="00CA3072" w:rsidRPr="00D0425E" w:rsidRDefault="00CA3072" w:rsidP="00DE1722">
            <w:pPr>
              <w:pStyle w:val="OikoTables03Content"/>
            </w:pPr>
            <w:r>
              <w:t>Cucumber</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AC55D27" w14:textId="77777777" w:rsidR="00CA3072" w:rsidRDefault="00CA3072" w:rsidP="00DE1722">
            <w:pPr>
              <w:pStyle w:val="OikoTables03Content"/>
            </w:pPr>
            <w:r>
              <w:t>≈ 95% domestic</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0936E33" w14:textId="77777777" w:rsidR="00CA3072" w:rsidRDefault="00CA3072" w:rsidP="00DE1722">
            <w:pPr>
              <w:pStyle w:val="OikoTables03Content"/>
            </w:pPr>
            <w:r>
              <w:t>Strong</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2F74384" w14:textId="77777777" w:rsidR="00CA3072" w:rsidRDefault="00CA3072" w:rsidP="00DE1722">
            <w:pPr>
              <w:pStyle w:val="OikoTables03Content"/>
            </w:pPr>
            <w:r w:rsidRPr="7E00F032">
              <w:rPr>
                <w:lang w:val="en-GB"/>
              </w:rPr>
              <w:t>Mainly greenhouse-grown; protected cultivation can hold and extend this position into the off-season</w:t>
            </w:r>
          </w:p>
        </w:tc>
      </w:tr>
      <w:tr w:rsidR="00CA3072" w14:paraId="5D0A8EF8"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7D49FF8" w14:textId="77777777" w:rsidR="00CA3072" w:rsidRPr="00D0425E" w:rsidRDefault="00CA3072" w:rsidP="00DE1722">
            <w:pPr>
              <w:pStyle w:val="OikoTables03Content"/>
            </w:pPr>
            <w:r>
              <w:lastRenderedPageBreak/>
              <w:t>Carrot, beet &amp; root</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309C43D" w14:textId="77777777" w:rsidR="00CA3072" w:rsidRDefault="00CA3072" w:rsidP="00DE1722">
            <w:pPr>
              <w:pStyle w:val="OikoTables03Content"/>
            </w:pPr>
            <w:r>
              <w:t>≈ 93% domestic</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BA1527" w14:textId="77777777" w:rsidR="00CA3072" w:rsidRDefault="00CA3072" w:rsidP="00DE1722">
            <w:pPr>
              <w:pStyle w:val="OikoTables03Content"/>
            </w:pPr>
            <w:r>
              <w:t>Strong</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5CA4D77" w14:textId="77777777" w:rsidR="00CA3072" w:rsidRDefault="00CA3072" w:rsidP="00DE1722">
            <w:pPr>
              <w:pStyle w:val="OikoTables03Content"/>
            </w:pPr>
            <w:r>
              <w:t>Open-field; solar-drip irrigation and storage raise yields and reduce losses to defend the position</w:t>
            </w:r>
          </w:p>
        </w:tc>
      </w:tr>
      <w:tr w:rsidR="00CA3072" w14:paraId="409E0BCB"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91B9788" w14:textId="77777777" w:rsidR="00CA3072" w:rsidRPr="00D0425E" w:rsidRDefault="00CA3072" w:rsidP="00DE1722">
            <w:pPr>
              <w:pStyle w:val="OikoTables03Content"/>
            </w:pPr>
            <w:r>
              <w:t>Tomato</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2913BA3" w14:textId="77777777" w:rsidR="00CA3072" w:rsidRDefault="00CA3072" w:rsidP="00DE1722">
            <w:pPr>
              <w:pStyle w:val="OikoTables03Content"/>
            </w:pPr>
            <w:r>
              <w:t>≈ 86% domestic</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8A9A02E" w14:textId="77777777" w:rsidR="00CA3072" w:rsidRDefault="00CA3072" w:rsidP="00DE1722">
            <w:pPr>
              <w:pStyle w:val="OikoTables03Content"/>
            </w:pPr>
            <w:r>
              <w:t>Moderate–strong</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E72AE85" w14:textId="77777777" w:rsidR="00CA3072" w:rsidRDefault="00CA3072" w:rsidP="00DE1722">
            <w:pPr>
              <w:pStyle w:val="OikoTables03Content"/>
            </w:pPr>
            <w:r>
              <w:t>Greenhouse crop; off-season winter tomato is still imported — a prime greenhouse substitution target</w:t>
            </w:r>
          </w:p>
        </w:tc>
      </w:tr>
      <w:tr w:rsidR="00CA3072" w14:paraId="1CCA0861"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A373EBF" w14:textId="77777777" w:rsidR="00CA3072" w:rsidRPr="00D0425E" w:rsidRDefault="00CA3072" w:rsidP="00DE1722">
            <w:pPr>
              <w:pStyle w:val="OikoTables03Content"/>
            </w:pPr>
            <w:r>
              <w:t>Melon &amp; watermelon</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6ECA41" w14:textId="77777777" w:rsidR="00CA3072" w:rsidRDefault="00CA3072" w:rsidP="00DE1722">
            <w:pPr>
              <w:pStyle w:val="OikoTables03Content"/>
            </w:pPr>
            <w:r>
              <w:t>≈ 70% domestic</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951E12D" w14:textId="77777777" w:rsidR="00CA3072" w:rsidRDefault="00CA3072" w:rsidP="00DE1722">
            <w:pPr>
              <w:pStyle w:val="OikoTables03Content"/>
            </w:pPr>
            <w:r>
              <w:t>Moderate</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53852B7" w14:textId="77777777" w:rsidR="00CA3072" w:rsidRDefault="00CA3072" w:rsidP="00DE1722">
            <w:pPr>
              <w:pStyle w:val="OikoTables03Content"/>
            </w:pPr>
            <w:proofErr w:type="gramStart"/>
            <w:r w:rsidRPr="7E00F032">
              <w:rPr>
                <w:lang w:val="en-GB"/>
              </w:rPr>
              <w:t>Open-field</w:t>
            </w:r>
            <w:proofErr w:type="gramEnd"/>
            <w:r w:rsidRPr="7E00F032">
              <w:rPr>
                <w:lang w:val="en-GB"/>
              </w:rPr>
              <w:t>/greenhouse; counted as vegetables; scope to displace summer imports with better water supply</w:t>
            </w:r>
          </w:p>
        </w:tc>
      </w:tr>
      <w:tr w:rsidR="00CA3072" w14:paraId="57CD94D6"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DB0392C" w14:textId="77777777" w:rsidR="00CA3072" w:rsidRPr="00D0425E" w:rsidRDefault="00CA3072" w:rsidP="00DE1722">
            <w:pPr>
              <w:pStyle w:val="OikoTables03Content"/>
            </w:pPr>
            <w:r>
              <w:t>Cabbage</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C8E0ED9" w14:textId="77777777" w:rsidR="00CA3072" w:rsidRDefault="00CA3072" w:rsidP="00DE1722">
            <w:pPr>
              <w:pStyle w:val="OikoTables03Content"/>
            </w:pPr>
            <w:r>
              <w:t>≈ 46% domestic (≈ 54% imported)</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0DC67B6" w14:textId="77777777" w:rsidR="00CA3072" w:rsidRDefault="00CA3072" w:rsidP="00DE1722">
            <w:pPr>
              <w:pStyle w:val="OikoTables03Content"/>
            </w:pPr>
            <w:r>
              <w:t>Import-dependent</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2837288" w14:textId="77777777" w:rsidR="00CA3072" w:rsidRDefault="00CA3072" w:rsidP="00DE1722">
            <w:pPr>
              <w:pStyle w:val="OikoTables03Content"/>
            </w:pPr>
            <w:r w:rsidRPr="7E00F032">
              <w:rPr>
                <w:lang w:val="en-GB"/>
              </w:rPr>
              <w:t xml:space="preserve">Largest single imported category; </w:t>
            </w:r>
            <w:proofErr w:type="gramStart"/>
            <w:r w:rsidRPr="7E00F032">
              <w:rPr>
                <w:lang w:val="en-GB"/>
              </w:rPr>
              <w:t>open-field</w:t>
            </w:r>
            <w:proofErr w:type="gramEnd"/>
            <w:r w:rsidRPr="7E00F032">
              <w:rPr>
                <w:lang w:val="en-GB"/>
              </w:rPr>
              <w:t xml:space="preserve"> with reliable irrigation can substitute substantially</w:t>
            </w:r>
          </w:p>
        </w:tc>
      </w:tr>
      <w:tr w:rsidR="00CA3072" w14:paraId="0C6EF7D2"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D3AFE3" w14:textId="77777777" w:rsidR="00CA3072" w:rsidRPr="00D0425E" w:rsidRDefault="00CA3072" w:rsidP="00DE1722">
            <w:pPr>
              <w:pStyle w:val="OikoTables03Content"/>
            </w:pPr>
            <w:r>
              <w:t>Onion &amp; garlic</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0F3849" w14:textId="77777777" w:rsidR="00CA3072" w:rsidRDefault="00CA3072" w:rsidP="00DE1722">
            <w:pPr>
              <w:pStyle w:val="OikoTables03Content"/>
            </w:pPr>
            <w:r>
              <w:t>≈ 36% domestic (≈ 64% imported)</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AEF116E" w14:textId="77777777" w:rsidR="00CA3072" w:rsidRDefault="00CA3072" w:rsidP="00DE1722">
            <w:pPr>
              <w:pStyle w:val="OikoTables03Content"/>
            </w:pPr>
            <w:r>
              <w:t>Import-dependent</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07C5253" w14:textId="77777777" w:rsidR="00CA3072" w:rsidRDefault="00CA3072" w:rsidP="00DE1722">
            <w:pPr>
              <w:pStyle w:val="OikoTables03Content"/>
            </w:pPr>
            <w:r>
              <w:t>Major import; open-field production with irrigation and storage offers clear substitution scope</w:t>
            </w:r>
          </w:p>
        </w:tc>
      </w:tr>
      <w:tr w:rsidR="00CA3072" w14:paraId="3151BA55"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825F993" w14:textId="77777777" w:rsidR="00CA3072" w:rsidRPr="00D0425E" w:rsidRDefault="00CA3072" w:rsidP="00DE1722">
            <w:pPr>
              <w:pStyle w:val="OikoTables03Content"/>
            </w:pPr>
            <w:r>
              <w:t>Other / fine vegetables</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3E43E6B" w14:textId="77777777" w:rsidR="00CA3072" w:rsidRDefault="00CA3072" w:rsidP="00DE1722">
            <w:pPr>
              <w:pStyle w:val="OikoTables03Content"/>
            </w:pPr>
            <w:proofErr w:type="gramStart"/>
            <w:r>
              <w:t>≈ 7%</w:t>
            </w:r>
            <w:proofErr w:type="gramEnd"/>
            <w:r>
              <w:t xml:space="preserve"> domestic (≈ 93% imported)</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63B4352" w14:textId="77777777" w:rsidR="00CA3072" w:rsidRDefault="00CA3072" w:rsidP="00DE1722">
            <w:pPr>
              <w:pStyle w:val="OikoTables03Content"/>
            </w:pPr>
            <w:r>
              <w:t>Highly import-dependent</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A928054" w14:textId="77777777" w:rsidR="00CA3072" w:rsidRDefault="00CA3072" w:rsidP="00DE1722">
            <w:pPr>
              <w:pStyle w:val="OikoTables03Content"/>
            </w:pPr>
            <w:r>
              <w:t>Largest combined gap; greenhouse and season-extension production of higher-value fine vegetables</w:t>
            </w:r>
          </w:p>
        </w:tc>
      </w:tr>
      <w:tr w:rsidR="00CA3072" w14:paraId="4391DDB5" w14:textId="77777777" w:rsidTr="00DE1722">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76621FA" w14:textId="77777777" w:rsidR="00CA3072" w:rsidRPr="00D0425E" w:rsidRDefault="00CA3072" w:rsidP="00DE1722">
            <w:pPr>
              <w:pStyle w:val="OikoTables03Content"/>
            </w:pPr>
            <w:r>
              <w:t>Leafy salads (lettuce, etc.)</w:t>
            </w:r>
          </w:p>
        </w:tc>
        <w:tc>
          <w:tcPr>
            <w:tcW w:w="167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4323828" w14:textId="77777777" w:rsidR="00CA3072" w:rsidRDefault="00CA3072" w:rsidP="00DE1722">
            <w:pPr>
              <w:pStyle w:val="OikoTables03Content"/>
            </w:pPr>
            <w:r>
              <w:t>Largely imported</w:t>
            </w:r>
          </w:p>
        </w:tc>
        <w:tc>
          <w:tcPr>
            <w:tcW w:w="141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5A1232E" w14:textId="77777777" w:rsidR="00CA3072" w:rsidRDefault="00CA3072" w:rsidP="00DE1722">
            <w:pPr>
              <w:pStyle w:val="OikoTables03Content"/>
            </w:pPr>
            <w:r>
              <w:t>Import-dependent</w:t>
            </w:r>
          </w:p>
        </w:tc>
        <w:tc>
          <w:tcPr>
            <w:tcW w:w="4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1CF94F1" w14:textId="77777777" w:rsidR="00CA3072" w:rsidRDefault="00CA3072" w:rsidP="00DE1722">
            <w:pPr>
              <w:pStyle w:val="OikoTables03Content"/>
            </w:pPr>
            <w:r>
              <w:t>Fast-cycle greenhouse and protected crops; strong fit for passive-solar and winter production</w:t>
            </w:r>
          </w:p>
        </w:tc>
      </w:tr>
    </w:tbl>
    <w:p w14:paraId="4DF341D8" w14:textId="693831DF" w:rsidR="00CA3072" w:rsidRDefault="00CA3072" w:rsidP="00D16E24">
      <w:pPr>
        <w:spacing w:before="30" w:after="120" w:line="240" w:lineRule="auto"/>
        <w:contextualSpacing w:val="0"/>
      </w:pPr>
      <w:r>
        <w:rPr>
          <w:rFonts w:eastAsia="Times New Roman" w:cs="Times New Roman"/>
          <w:i/>
          <w:iCs/>
          <w:sz w:val="18"/>
          <w:szCs w:val="18"/>
        </w:rPr>
        <w:t xml:space="preserve">Source: Self-sufficiency shares are the most recent detailed national </w:t>
      </w:r>
      <w:proofErr w:type="gramStart"/>
      <w:r>
        <w:rPr>
          <w:rFonts w:eastAsia="Times New Roman" w:cs="Times New Roman"/>
          <w:i/>
          <w:iCs/>
          <w:sz w:val="18"/>
          <w:szCs w:val="18"/>
        </w:rPr>
        <w:t>breakdown</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5]</w:t>
      </w:r>
      <w:r>
        <w:rPr>
          <w:rFonts w:eastAsia="Times New Roman" w:cs="Times New Roman"/>
          <w:i/>
          <w:iCs/>
          <w:sz w:val="18"/>
          <w:szCs w:val="18"/>
        </w:rPr>
        <w:t>, read against the 2024 import composition.</w:t>
      </w:r>
      <w:r>
        <w:rPr>
          <w:rFonts w:eastAsia="Times New Roman" w:cs="Times New Roman"/>
          <w:i/>
          <w:iCs/>
          <w:sz w:val="18"/>
          <w:szCs w:val="18"/>
          <w:vertAlign w:val="superscript"/>
        </w:rPr>
        <w:t>[9]</w:t>
      </w:r>
      <w:r>
        <w:rPr>
          <w:rFonts w:eastAsia="Times New Roman" w:cs="Times New Roman"/>
          <w:i/>
          <w:iCs/>
          <w:sz w:val="18"/>
          <w:szCs w:val="18"/>
        </w:rPr>
        <w:t xml:space="preserve"> Highlighted rows are the import-dependent crops where domestic substitution scope is greatest. Shares are indicative and to be refined with updated crop-level data.</w:t>
      </w:r>
    </w:p>
    <w:p w14:paraId="0831D430" w14:textId="3E0D26C1" w:rsidR="00CA3072" w:rsidRDefault="00CA3072" w:rsidP="00016E8C">
      <w:pPr>
        <w:pStyle w:val="Heading3"/>
        <w:spacing w:before="240" w:line="240" w:lineRule="auto"/>
        <w:contextualSpacing w:val="0"/>
      </w:pPr>
      <w:bookmarkStart w:id="115" w:name="_Toc233981323"/>
      <w:r>
        <w:t>Quantifying the substitution opportunity</w:t>
      </w:r>
      <w:bookmarkEnd w:id="115"/>
    </w:p>
    <w:p w14:paraId="7AA5EB4F" w14:textId="2D73FA49" w:rsidR="00CA3072" w:rsidRDefault="00CA3072" w:rsidP="00EB489E">
      <w:r>
        <w:t>The import-substitution opportunity can therefore be stated concretely. About 125 thousand tonnes of fresh vegetables, worth at least USD 30 million at the border and considerably more at retail, were imported in 2024 — a volume that domestic production does not yet supply and that national policy explicitly seeks to replace.</w:t>
      </w:r>
      <w:r>
        <w:rPr>
          <w:sz w:val="18"/>
          <w:szCs w:val="18"/>
          <w:vertAlign w:val="superscript"/>
        </w:rPr>
        <w:t>[9]</w:t>
      </w:r>
      <w:r>
        <w:t xml:space="preserve"> The opportunity is not evenly distributed: it is concentrated in cabbage, onion and garlic, leafy and other fine vegetables, and in off-season tomato and cucumber — and these map directly onto the open-field and greenhouse production systems the project promotes. The scale of the national gap means that the incremental output of the project's targeted smallholders, far from facing a saturated market, would substitute for imports and for costly long-distance domestic supply rather than displacing other local producers. The Asian Development Bank's value-chain analysis reached the same conclusion, identifying substantial scope for import substitution and a sizeable potential domestic market for vegetables as the anchor of the sector's investment case.</w:t>
      </w:r>
      <w:r>
        <w:rPr>
          <w:sz w:val="18"/>
          <w:szCs w:val="18"/>
          <w:vertAlign w:val="superscript"/>
        </w:rPr>
        <w:t>[2]</w:t>
      </w:r>
      <w:r>
        <w:t xml:space="preserve"> This is the core of the market rationale: there is ample room in the market for additional domestic vegetables, provided they can be supplied competitively and, crucially, at the right time of year.</w:t>
      </w:r>
    </w:p>
    <w:p w14:paraId="4A41268A" w14:textId="19949AB3" w:rsidR="00CA3072" w:rsidRDefault="00CA3072" w:rsidP="00016E8C">
      <w:pPr>
        <w:pStyle w:val="Heading2"/>
        <w:spacing w:before="360" w:line="240" w:lineRule="auto"/>
        <w:contextualSpacing w:val="0"/>
      </w:pPr>
      <w:bookmarkStart w:id="116" w:name="_Toc233981324"/>
      <w:r>
        <w:t>Prices, seasonality and market opportunities</w:t>
      </w:r>
      <w:bookmarkEnd w:id="116"/>
    </w:p>
    <w:p w14:paraId="40706B40" w14:textId="74FF7DAC" w:rsidR="00CA3072" w:rsidRDefault="00CA3072" w:rsidP="00016E8C">
      <w:pPr>
        <w:pStyle w:val="Heading3"/>
        <w:spacing w:before="240" w:line="240" w:lineRule="auto"/>
        <w:contextualSpacing w:val="0"/>
      </w:pPr>
      <w:bookmarkStart w:id="117" w:name="_Toc233981325"/>
      <w:r>
        <w:t>Seasonal price dynamics</w:t>
      </w:r>
      <w:bookmarkEnd w:id="117"/>
    </w:p>
    <w:p w14:paraId="33CF5E67" w14:textId="282773F9" w:rsidR="00CA3072" w:rsidRDefault="00CA3072" w:rsidP="00EB489E">
      <w:r>
        <w:t xml:space="preserve">The seasonality of supply translates directly into a pronounced seasonality of prices. During the short summer harvest, the domestic glut depresses farm-gate and wholesale prices, and — in the absence of adequate storage and coordinated marketing — many smallholders are compelled to sell immediately, often at distress prices, with post-harvest losses further eroding returns. Through the winter and early spring, when domestic fresh supply is minimal and the market relies on imports, prices rise sharply, commonly to around 1.5 to 2 times peak-season </w:t>
      </w:r>
      <w:proofErr w:type="gramStart"/>
      <w:r>
        <w:t>levels.</w:t>
      </w:r>
      <w:r>
        <w:rPr>
          <w:sz w:val="18"/>
          <w:szCs w:val="18"/>
          <w:vertAlign w:val="superscript"/>
        </w:rPr>
        <w:t>[</w:t>
      </w:r>
      <w:proofErr w:type="gramEnd"/>
      <w:r>
        <w:rPr>
          <w:sz w:val="18"/>
          <w:szCs w:val="18"/>
          <w:vertAlign w:val="superscript"/>
        </w:rPr>
        <w:t>45, 46, 47]</w:t>
      </w:r>
      <w:r>
        <w:t xml:space="preserve"> Figure 10 illustrates the resulting inverse relationship between domestic availability and price across the year, and Table 25 summarises it by season. This price cycle is the mechanism that converts the supply gap into an economic opportunity: the same kilogram of produce is worth far more in February than in August.</w:t>
      </w:r>
    </w:p>
    <w:p w14:paraId="1C60E7C1" w14:textId="4CA7A497" w:rsidR="00DE1722" w:rsidRDefault="00DE1722">
      <w:pPr>
        <w:spacing w:after="160" w:line="259" w:lineRule="auto"/>
        <w:contextualSpacing w:val="0"/>
        <w:jc w:val="left"/>
      </w:pPr>
      <w:r>
        <w:br w:type="page"/>
      </w:r>
    </w:p>
    <w:p w14:paraId="566207A6" w14:textId="77777777" w:rsidR="00DE1722" w:rsidRDefault="00DE1722" w:rsidP="00EB489E"/>
    <w:p w14:paraId="35655B54" w14:textId="77777777" w:rsidR="00CA3072" w:rsidRDefault="00CA3072" w:rsidP="00DE1722">
      <w:pPr>
        <w:pStyle w:val="Caption"/>
        <w:framePr w:wrap="notBeside"/>
      </w:pPr>
      <w:r>
        <w:t>Table 25. Seasonality of domestic supply and prices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000" w:firstRow="0" w:lastRow="0" w:firstColumn="0" w:lastColumn="0" w:noHBand="0" w:noVBand="0"/>
      </w:tblPr>
      <w:tblGrid>
        <w:gridCol w:w="1700"/>
        <w:gridCol w:w="2150"/>
        <w:gridCol w:w="1800"/>
        <w:gridCol w:w="3984"/>
      </w:tblGrid>
      <w:tr w:rsidR="00CA3072" w14:paraId="7092E811" w14:textId="77777777" w:rsidTr="00ED71A8">
        <w:trPr>
          <w:tblHeader/>
        </w:trPr>
        <w:tc>
          <w:tcPr>
            <w:tcW w:w="17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0C6D6B0D" w14:textId="77777777" w:rsidR="00CA3072" w:rsidRDefault="00CA3072" w:rsidP="00ED71A8">
            <w:pPr>
              <w:pStyle w:val="OikoTables02"/>
            </w:pPr>
            <w:r>
              <w:t>Season</w:t>
            </w:r>
          </w:p>
        </w:tc>
        <w:tc>
          <w:tcPr>
            <w:tcW w:w="215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CB09AC7" w14:textId="77777777" w:rsidR="00CA3072" w:rsidRDefault="00CA3072" w:rsidP="00ED71A8">
            <w:pPr>
              <w:pStyle w:val="OikoTables02"/>
            </w:pPr>
            <w:r>
              <w:t>Domestic fresh supply</w:t>
            </w:r>
          </w:p>
        </w:tc>
        <w:tc>
          <w:tcPr>
            <w:tcW w:w="18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7E2EA1F3" w14:textId="77777777" w:rsidR="00CA3072" w:rsidRDefault="00CA3072" w:rsidP="00ED71A8">
            <w:pPr>
              <w:pStyle w:val="OikoTables02"/>
            </w:pPr>
            <w:r>
              <w:t>Price level</w:t>
            </w:r>
          </w:p>
        </w:tc>
        <w:tc>
          <w:tcPr>
            <w:tcW w:w="3984"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E07E96D" w14:textId="77777777" w:rsidR="00CA3072" w:rsidRDefault="00CA3072" w:rsidP="00ED71A8">
            <w:pPr>
              <w:pStyle w:val="OikoTables02"/>
            </w:pPr>
            <w:r>
              <w:t>Market situation and opportunity</w:t>
            </w:r>
          </w:p>
        </w:tc>
      </w:tr>
      <w:tr w:rsidR="00CA3072" w14:paraId="56155A41" w14:textId="77777777" w:rsidTr="004F2A8F">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EDDBC7A" w14:textId="77777777" w:rsidR="00CA3072" w:rsidRPr="00D0425E" w:rsidRDefault="00CA3072" w:rsidP="00DE1722">
            <w:pPr>
              <w:pStyle w:val="OikoTables03Content"/>
            </w:pPr>
            <w:r>
              <w:t>Summer (harvest)</w:t>
            </w:r>
          </w:p>
        </w:tc>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B94682B" w14:textId="77777777" w:rsidR="00CA3072" w:rsidRDefault="00CA3072" w:rsidP="00DE1722">
            <w:pPr>
              <w:pStyle w:val="OikoTables03Content"/>
            </w:pPr>
            <w:r>
              <w:t>High — open-field peak</w:t>
            </w:r>
          </w:p>
        </w:tc>
        <w:tc>
          <w:tcPr>
            <w:tcW w:w="18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76CF6E9" w14:textId="77777777" w:rsidR="00CA3072" w:rsidRDefault="00CA3072" w:rsidP="00DE1722">
            <w:pPr>
              <w:pStyle w:val="OikoTables03Content"/>
            </w:pPr>
            <w:r>
              <w:t>Low</w:t>
            </w:r>
          </w:p>
        </w:tc>
        <w:tc>
          <w:tcPr>
            <w:tcW w:w="3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A4938D0" w14:textId="77777777" w:rsidR="00CA3072" w:rsidRDefault="00CA3072" w:rsidP="00DE1722">
            <w:pPr>
              <w:pStyle w:val="OikoTables03Content"/>
            </w:pPr>
            <w:r>
              <w:t>Glut and distress sales; storage and aggregation needed to avoid losses and capture later value</w:t>
            </w:r>
          </w:p>
        </w:tc>
      </w:tr>
      <w:tr w:rsidR="00CA3072" w14:paraId="01F6175E" w14:textId="77777777" w:rsidTr="00DE1722">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C344F86" w14:textId="77777777" w:rsidR="00CA3072" w:rsidRPr="00D0425E" w:rsidRDefault="00CA3072" w:rsidP="00DE1722">
            <w:pPr>
              <w:pStyle w:val="OikoTables03Content"/>
            </w:pPr>
            <w:r>
              <w:t>Autumn</w:t>
            </w:r>
          </w:p>
        </w:tc>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DDB8E56" w14:textId="77777777" w:rsidR="00CA3072" w:rsidRDefault="00CA3072" w:rsidP="00DE1722">
            <w:pPr>
              <w:pStyle w:val="OikoTables03Content"/>
            </w:pPr>
            <w:r>
              <w:t>Moderate and declining</w:t>
            </w:r>
          </w:p>
        </w:tc>
        <w:tc>
          <w:tcPr>
            <w:tcW w:w="18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AF05E18" w14:textId="77777777" w:rsidR="00CA3072" w:rsidRDefault="00CA3072" w:rsidP="00DE1722">
            <w:pPr>
              <w:pStyle w:val="OikoTables03Content"/>
            </w:pPr>
            <w:r>
              <w:t>Moderate and rising</w:t>
            </w:r>
          </w:p>
        </w:tc>
        <w:tc>
          <w:tcPr>
            <w:tcW w:w="3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256AB49" w14:textId="77777777" w:rsidR="00CA3072" w:rsidRDefault="00CA3072" w:rsidP="00DE1722">
            <w:pPr>
              <w:pStyle w:val="OikoTables03Content"/>
            </w:pPr>
            <w:r>
              <w:t>Transition; stored and late greenhouse produce begins to command better prices</w:t>
            </w:r>
          </w:p>
        </w:tc>
      </w:tr>
      <w:tr w:rsidR="00CA3072" w14:paraId="2842DB9C" w14:textId="77777777" w:rsidTr="00DE1722">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8EB30C3" w14:textId="77777777" w:rsidR="00CA3072" w:rsidRPr="00D0425E" w:rsidRDefault="00CA3072" w:rsidP="00DE1722">
            <w:pPr>
              <w:pStyle w:val="OikoTables03Content"/>
            </w:pPr>
            <w:r>
              <w:t>Winter</w:t>
            </w:r>
          </w:p>
        </w:tc>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1BA8AD9" w14:textId="77777777" w:rsidR="00CA3072" w:rsidRDefault="00CA3072" w:rsidP="00DE1722">
            <w:pPr>
              <w:pStyle w:val="OikoTables03Content"/>
            </w:pPr>
            <w:r>
              <w:t>Very low</w:t>
            </w:r>
          </w:p>
        </w:tc>
        <w:tc>
          <w:tcPr>
            <w:tcW w:w="18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C6D87C9" w14:textId="77777777" w:rsidR="00CA3072" w:rsidRDefault="00CA3072" w:rsidP="00DE1722">
            <w:pPr>
              <w:pStyle w:val="OikoTables03Content"/>
            </w:pPr>
            <w:r>
              <w:t>High</w:t>
            </w:r>
          </w:p>
        </w:tc>
        <w:tc>
          <w:tcPr>
            <w:tcW w:w="3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0FF2BE0" w14:textId="77777777" w:rsidR="00CA3072" w:rsidRDefault="00CA3072" w:rsidP="00DE1722">
            <w:pPr>
              <w:pStyle w:val="OikoTables03Content"/>
            </w:pPr>
            <w:r>
              <w:t>Import-dependent; strong premium for greenhouse and stored domestic produce</w:t>
            </w:r>
          </w:p>
        </w:tc>
      </w:tr>
      <w:tr w:rsidR="00CA3072" w14:paraId="5ED83E31" w14:textId="77777777" w:rsidTr="00DE1722">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7EFC218" w14:textId="77777777" w:rsidR="00CA3072" w:rsidRPr="00D0425E" w:rsidRDefault="00CA3072" w:rsidP="00DE1722">
            <w:pPr>
              <w:pStyle w:val="OikoTables03Content"/>
            </w:pPr>
            <w:r>
              <w:t>Spring (early)</w:t>
            </w:r>
          </w:p>
        </w:tc>
        <w:tc>
          <w:tcPr>
            <w:tcW w:w="215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3F5E511" w14:textId="77777777" w:rsidR="00CA3072" w:rsidRDefault="00CA3072" w:rsidP="00DE1722">
            <w:pPr>
              <w:pStyle w:val="OikoTables03Content"/>
            </w:pPr>
            <w:r>
              <w:t>Minimal</w:t>
            </w:r>
          </w:p>
        </w:tc>
        <w:tc>
          <w:tcPr>
            <w:tcW w:w="18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B61888D" w14:textId="77777777" w:rsidR="00CA3072" w:rsidRDefault="00CA3072" w:rsidP="00DE1722">
            <w:pPr>
              <w:pStyle w:val="OikoTables03Content"/>
            </w:pPr>
            <w:r>
              <w:t>Very high</w:t>
            </w:r>
          </w:p>
        </w:tc>
        <w:tc>
          <w:tcPr>
            <w:tcW w:w="3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7C07F15" w14:textId="77777777" w:rsidR="00CA3072" w:rsidRDefault="00CA3072" w:rsidP="00DE1722">
            <w:pPr>
              <w:pStyle w:val="OikoTables03Content"/>
            </w:pPr>
            <w:r>
              <w:t>Peak scarcity and prices; the highest-value window for protected and stored production</w:t>
            </w:r>
          </w:p>
        </w:tc>
      </w:tr>
    </w:tbl>
    <w:p w14:paraId="28D6B76B" w14:textId="1316D337" w:rsidR="00CA3072" w:rsidRDefault="00CA3072" w:rsidP="00D16E24">
      <w:pPr>
        <w:spacing w:before="30" w:after="120" w:line="240" w:lineRule="auto"/>
        <w:contextualSpacing w:val="0"/>
        <w:rPr>
          <w:rFonts w:eastAsia="Times New Roman" w:cs="Times New Roman"/>
          <w:i/>
          <w:iCs/>
          <w:sz w:val="18"/>
          <w:szCs w:val="18"/>
        </w:rPr>
      </w:pPr>
      <w:r>
        <w:rPr>
          <w:rFonts w:eastAsia="Times New Roman" w:cs="Times New Roman"/>
          <w:i/>
          <w:iCs/>
          <w:sz w:val="18"/>
          <w:szCs w:val="18"/>
        </w:rPr>
        <w:t xml:space="preserve">Source: Authors' synthesis based on CTCN field </w:t>
      </w:r>
      <w:proofErr w:type="gramStart"/>
      <w:r>
        <w:rPr>
          <w:rFonts w:eastAsia="Times New Roman" w:cs="Times New Roman"/>
          <w:i/>
          <w:iCs/>
          <w:sz w:val="18"/>
          <w:szCs w:val="18"/>
        </w:rPr>
        <w:t>missions</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w:t>
      </w:r>
      <w:r>
        <w:rPr>
          <w:rFonts w:eastAsia="Times New Roman" w:cs="Times New Roman"/>
          <w:i/>
          <w:iCs/>
          <w:sz w:val="18"/>
          <w:szCs w:val="18"/>
        </w:rPr>
        <w:t xml:space="preserve"> and earlier national market </w:t>
      </w:r>
      <w:proofErr w:type="gramStart"/>
      <w:r>
        <w:rPr>
          <w:rFonts w:eastAsia="Times New Roman" w:cs="Times New Roman"/>
          <w:i/>
          <w:iCs/>
          <w:sz w:val="18"/>
          <w:szCs w:val="18"/>
        </w:rPr>
        <w:t>analysis</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2, 4, 5]</w:t>
      </w:r>
      <w:r>
        <w:rPr>
          <w:rFonts w:eastAsia="Times New Roman" w:cs="Times New Roman"/>
          <w:sz w:val="18"/>
          <w:szCs w:val="18"/>
        </w:rPr>
        <w:t>;</w:t>
      </w:r>
      <w:r>
        <w:rPr>
          <w:rFonts w:eastAsia="Times New Roman" w:cs="Times New Roman"/>
          <w:i/>
          <w:iCs/>
          <w:sz w:val="18"/>
          <w:szCs w:val="18"/>
        </w:rPr>
        <w:t xml:space="preserve"> the off-season price premium is commonly 1.5–2 times peak-season levels. Figure 10 presents the pattern in stylised, illustrative form.</w:t>
      </w:r>
    </w:p>
    <w:p w14:paraId="5B13F407" w14:textId="77777777" w:rsidR="00CC1B57" w:rsidRDefault="00CC1B57" w:rsidP="00D16E24">
      <w:pPr>
        <w:spacing w:before="30" w:after="120" w:line="240" w:lineRule="auto"/>
        <w:contextualSpacing w:val="0"/>
      </w:pPr>
    </w:p>
    <w:p w14:paraId="504740A3" w14:textId="77777777" w:rsidR="00CA3072" w:rsidRDefault="00CA3072" w:rsidP="00D16E24">
      <w:pPr>
        <w:keepNext/>
        <w:spacing w:before="120" w:after="120" w:line="240" w:lineRule="auto"/>
        <w:contextualSpacing w:val="0"/>
        <w:jc w:val="center"/>
      </w:pPr>
      <w:r>
        <w:rPr>
          <w:noProof/>
        </w:rPr>
        <w:drawing>
          <wp:inline distT="0" distB="0" distL="0" distR="0" wp14:anchorId="2622C337" wp14:editId="258EBE8F">
            <wp:extent cx="5772441" cy="29654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773420" cy="2965953"/>
                    </a:xfrm>
                    <a:prstGeom prst="rect">
                      <a:avLst/>
                    </a:prstGeom>
                  </pic:spPr>
                </pic:pic>
              </a:graphicData>
            </a:graphic>
          </wp:inline>
        </w:drawing>
      </w:r>
    </w:p>
    <w:p w14:paraId="588792F7" w14:textId="77777777" w:rsidR="00CA3072" w:rsidRPr="00D83C75" w:rsidRDefault="00CA3072" w:rsidP="00FE5431">
      <w:pPr>
        <w:pStyle w:val="Caption"/>
        <w:framePr w:w="7513" w:wrap="notBeside" w:hAnchor="page" w:x="2125" w:y="4"/>
        <w:rPr>
          <w:sz w:val="24"/>
          <w:szCs w:val="24"/>
        </w:rPr>
      </w:pPr>
      <w:r>
        <w:t>Figure 10. Seasonal pattern of domestic supply and wholesale prices</w:t>
      </w:r>
    </w:p>
    <w:p w14:paraId="641E0131" w14:textId="7736DBFA" w:rsidR="00CA3072" w:rsidRDefault="00CA3072" w:rsidP="00016E8C">
      <w:pPr>
        <w:pStyle w:val="Heading3"/>
        <w:spacing w:before="240" w:line="240" w:lineRule="auto"/>
        <w:contextualSpacing w:val="0"/>
      </w:pPr>
      <w:bookmarkStart w:id="118" w:name="_Toc233981326"/>
      <w:r>
        <w:t>The off-season premium and the greenhouse case</w:t>
      </w:r>
      <w:bookmarkEnd w:id="118"/>
    </w:p>
    <w:p w14:paraId="6E20B17B" w14:textId="77777777" w:rsidR="00CA3072" w:rsidRDefault="00CA3072" w:rsidP="00EB489E">
      <w:r>
        <w:t>The off-season premium is the foundation of the economic case for protected cultivation. A greenhouse that extends production into late autumn, winter or early spring sells into precisely the months when prices are highest and competing supply is most expensive imported produce. This is why the financial returns to greenhouses depend so heavily on seasonal operation and on the value of the off-season window, and why the greenhouse is the decisive value driver in the technology packages. The crops that command the largest winter premium and remain substantially imported off-season — tomato, cucumber, leafy salads and other fine vegetables — are exactly those best suited to passive-solar greenhouse and season-extension production. The market data thus do more than confirm that demand exists; they identify the specific products and seasons in which domestic protected cultivation can earn a premium sufficient to justify its capital cost.</w:t>
      </w:r>
    </w:p>
    <w:p w14:paraId="77459F1C" w14:textId="30EDD471" w:rsidR="00CA3072" w:rsidRDefault="00CA3072" w:rsidP="00016E8C">
      <w:pPr>
        <w:pStyle w:val="Heading3"/>
        <w:spacing w:before="240" w:line="240" w:lineRule="auto"/>
        <w:contextualSpacing w:val="0"/>
      </w:pPr>
      <w:bookmarkStart w:id="119" w:name="_Toc233981327"/>
      <w:r>
        <w:t>Quality, freshness and consumer preference</w:t>
      </w:r>
      <w:bookmarkEnd w:id="119"/>
    </w:p>
    <w:p w14:paraId="44F5F6DF" w14:textId="0688B29D" w:rsidR="00CA3072" w:rsidRDefault="00CA3072" w:rsidP="00EB489E">
      <w:r>
        <w:t>Price is not the only dimension on which domestic producers can compete. Locally produced vegetables are widely preferred by consumers for their freshness and perceived quality, and a growing modern-retail and food-service segment — supermarkets, restaurants and institutional buyers — is increasingly interested in sourcing traceable, food-safe produce under reliable, hygienic conditions.</w:t>
      </w:r>
      <w:r>
        <w:rPr>
          <w:sz w:val="18"/>
          <w:szCs w:val="18"/>
          <w:vertAlign w:val="superscript"/>
        </w:rPr>
        <w:t>[4]</w:t>
      </w:r>
      <w:r>
        <w:t xml:space="preserve"> This preference partially offsets the low border price of imports, particularly for produce sold soon after harvest, and it rewards investments — </w:t>
      </w:r>
      <w:r>
        <w:lastRenderedPageBreak/>
        <w:t>in protected cultivation, careful handling, grading and storage — that improve and stabilise quality. It also points to a route by which domestic production can move beyond competing on price alone toward differentiated, higher-value supply, strengthening the return-on-investment case for the recommended technologies.</w:t>
      </w:r>
    </w:p>
    <w:p w14:paraId="2B0CB309" w14:textId="608C8119" w:rsidR="00CA3072" w:rsidRDefault="00CA3072" w:rsidP="00016E8C">
      <w:pPr>
        <w:pStyle w:val="Heading2"/>
        <w:spacing w:before="360" w:line="240" w:lineRule="auto"/>
        <w:contextualSpacing w:val="0"/>
      </w:pPr>
      <w:bookmarkStart w:id="120" w:name="_Toc233981328"/>
      <w:r>
        <w:t>Market access, value chains and logistics</w:t>
      </w:r>
      <w:bookmarkEnd w:id="120"/>
    </w:p>
    <w:p w14:paraId="213D3AEF" w14:textId="094194B8" w:rsidR="00CA3072" w:rsidRDefault="00CA3072" w:rsidP="00016E8C">
      <w:pPr>
        <w:pStyle w:val="Heading3"/>
        <w:spacing w:before="240" w:line="240" w:lineRule="auto"/>
        <w:contextualSpacing w:val="0"/>
      </w:pPr>
      <w:bookmarkStart w:id="121" w:name="_Toc233981329"/>
      <w:r>
        <w:t>Value-chain structure and actors</w:t>
      </w:r>
      <w:bookmarkEnd w:id="121"/>
    </w:p>
    <w:p w14:paraId="450AB46C" w14:textId="77C730EF" w:rsidR="00CA3072" w:rsidRDefault="00CA3072" w:rsidP="00EB489E">
      <w:r>
        <w:t>Realising the market opportunity depends on the value chain through which produce reaches the consumer, and here the constraints are real. Mongolia's vegetable value chains are fragmented and weakly integrated: smallholders produce small volumes individually, with little aggregation or coordination, and most depend on traders and intermediaries to reach urban markets.</w:t>
      </w:r>
      <w:r>
        <w:rPr>
          <w:sz w:val="18"/>
          <w:szCs w:val="18"/>
          <w:vertAlign w:val="superscript"/>
        </w:rPr>
        <w:t>[4]</w:t>
      </w:r>
      <w:r>
        <w:t xml:space="preserve"> Intermediaries provide essential aggregation and distribution services but capture a significant share of the value, and weak market information and limited bargaining power leave farmers as price-takers. Around 80% of the country's vegetables are produced by small and medium farmers on less than three hectares, so improving how these producers connect to markets is central to the sector's development.</w:t>
      </w:r>
      <w:r>
        <w:rPr>
          <w:rStyle w:val="FootnoteReference"/>
        </w:rPr>
        <w:footnoteReference w:id="12"/>
      </w:r>
      <w:r>
        <w:t xml:space="preserve"> Table 26 sets out the structure of the chain, its principal actors and the bottlenecks at each stage.</w:t>
      </w:r>
    </w:p>
    <w:p w14:paraId="071E395A" w14:textId="77777777" w:rsidR="00FE5431" w:rsidRDefault="00FE5431" w:rsidP="00EB489E"/>
    <w:p w14:paraId="46B865A8" w14:textId="77777777" w:rsidR="00CA3072" w:rsidRDefault="00CA3072" w:rsidP="00FE5431">
      <w:pPr>
        <w:pStyle w:val="Caption"/>
        <w:framePr w:wrap="notBeside"/>
      </w:pPr>
      <w:r>
        <w:t>Table 26. Vegetable value-chain structure, actors and bottlenecks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000" w:firstRow="0" w:lastRow="0" w:firstColumn="0" w:lastColumn="0" w:noHBand="0" w:noVBand="0"/>
      </w:tblPr>
      <w:tblGrid>
        <w:gridCol w:w="1700"/>
        <w:gridCol w:w="2406"/>
        <w:gridCol w:w="2394"/>
        <w:gridCol w:w="3134"/>
      </w:tblGrid>
      <w:tr w:rsidR="00CA3072" w14:paraId="3C9103DB" w14:textId="77777777" w:rsidTr="00ED71A8">
        <w:trPr>
          <w:tblHeader/>
        </w:trPr>
        <w:tc>
          <w:tcPr>
            <w:tcW w:w="17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2B20B061" w14:textId="77777777" w:rsidR="00CA3072" w:rsidRDefault="00CA3072" w:rsidP="00ED71A8">
            <w:pPr>
              <w:pStyle w:val="OikoTables02"/>
            </w:pPr>
            <w:r>
              <w:t>Stage</w:t>
            </w:r>
          </w:p>
        </w:tc>
        <w:tc>
          <w:tcPr>
            <w:tcW w:w="2406"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201B449E" w14:textId="77777777" w:rsidR="00CA3072" w:rsidRDefault="00CA3072" w:rsidP="00ED71A8">
            <w:pPr>
              <w:pStyle w:val="OikoTables02"/>
            </w:pPr>
            <w:r>
              <w:t>Main actors</w:t>
            </w:r>
          </w:p>
        </w:tc>
        <w:tc>
          <w:tcPr>
            <w:tcW w:w="2394"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12430E6" w14:textId="77777777" w:rsidR="00CA3072" w:rsidRDefault="00CA3072" w:rsidP="00ED71A8">
            <w:pPr>
              <w:pStyle w:val="OikoTables02"/>
            </w:pPr>
            <w:r>
              <w:t>Key bottleneck</w:t>
            </w:r>
          </w:p>
        </w:tc>
        <w:tc>
          <w:tcPr>
            <w:tcW w:w="3134"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7474B6AD" w14:textId="77777777" w:rsidR="00CA3072" w:rsidRDefault="00CA3072" w:rsidP="00ED71A8">
            <w:pPr>
              <w:pStyle w:val="OikoTables02"/>
            </w:pPr>
            <w:r>
              <w:t>Consequence</w:t>
            </w:r>
          </w:p>
        </w:tc>
      </w:tr>
      <w:tr w:rsidR="00CA3072" w14:paraId="23DE7C64" w14:textId="77777777" w:rsidTr="00FE5431">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24DCFE3" w14:textId="77777777" w:rsidR="00CA3072" w:rsidRPr="00D0425E" w:rsidRDefault="00CA3072" w:rsidP="00FE5431">
            <w:pPr>
              <w:pStyle w:val="OikoTables03Content"/>
            </w:pPr>
            <w:r>
              <w:t>Production</w:t>
            </w:r>
          </w:p>
        </w:tc>
        <w:tc>
          <w:tcPr>
            <w:tcW w:w="240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E2CFD73" w14:textId="77777777" w:rsidR="00CA3072" w:rsidRDefault="00CA3072" w:rsidP="00FE5431">
            <w:pPr>
              <w:pStyle w:val="OikoTables03Content"/>
            </w:pPr>
            <w:r>
              <w:t>Smallholder households and small enterprises</w:t>
            </w:r>
          </w:p>
        </w:tc>
        <w:tc>
          <w:tcPr>
            <w:tcW w:w="2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F03F148" w14:textId="77777777" w:rsidR="00CA3072" w:rsidRDefault="00CA3072" w:rsidP="00FE5431">
            <w:pPr>
              <w:pStyle w:val="OikoTables03Content"/>
            </w:pPr>
            <w:r>
              <w:t>Small, dispersed volumes; seasonal concentration</w:t>
            </w:r>
          </w:p>
        </w:tc>
        <w:tc>
          <w:tcPr>
            <w:tcW w:w="31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54C1C18" w14:textId="77777777" w:rsidR="00CA3072" w:rsidRDefault="00CA3072" w:rsidP="00FE5431">
            <w:pPr>
              <w:pStyle w:val="OikoTables03Content"/>
            </w:pPr>
            <w:r>
              <w:t>Hard to supply buyers reliably; weak scale economies</w:t>
            </w:r>
          </w:p>
        </w:tc>
      </w:tr>
      <w:tr w:rsidR="00CA3072" w14:paraId="2CF09621" w14:textId="77777777" w:rsidTr="00FE5431">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956E098" w14:textId="77777777" w:rsidR="00CA3072" w:rsidRPr="00D0425E" w:rsidRDefault="00CA3072" w:rsidP="00FE5431">
            <w:pPr>
              <w:pStyle w:val="OikoTables03Content"/>
            </w:pPr>
            <w:r>
              <w:t>Aggregation</w:t>
            </w:r>
          </w:p>
        </w:tc>
        <w:tc>
          <w:tcPr>
            <w:tcW w:w="240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F30003" w14:textId="77777777" w:rsidR="00CA3072" w:rsidRDefault="00CA3072" w:rsidP="00FE5431">
            <w:pPr>
              <w:pStyle w:val="OikoTables03Content"/>
            </w:pPr>
            <w:r>
              <w:t>Traders and informal collectors</w:t>
            </w:r>
          </w:p>
        </w:tc>
        <w:tc>
          <w:tcPr>
            <w:tcW w:w="2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9542FEE" w14:textId="77777777" w:rsidR="00CA3072" w:rsidRDefault="00CA3072" w:rsidP="00FE5431">
            <w:pPr>
              <w:pStyle w:val="OikoTables03Content"/>
            </w:pPr>
            <w:r>
              <w:t>Little farmer aggregation or coordination</w:t>
            </w:r>
          </w:p>
        </w:tc>
        <w:tc>
          <w:tcPr>
            <w:tcW w:w="31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DBFAA2F" w14:textId="77777777" w:rsidR="00CA3072" w:rsidRDefault="00CA3072" w:rsidP="00FE5431">
            <w:pPr>
              <w:pStyle w:val="OikoTables03Content"/>
            </w:pPr>
            <w:r>
              <w:t>Low bargaining power; value captured by intermediaries</w:t>
            </w:r>
          </w:p>
        </w:tc>
      </w:tr>
      <w:tr w:rsidR="00CA3072" w14:paraId="364BC898" w14:textId="77777777" w:rsidTr="00FE5431">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4BC4DA7" w14:textId="77777777" w:rsidR="00CA3072" w:rsidRPr="00D0425E" w:rsidRDefault="00CA3072" w:rsidP="00FE5431">
            <w:pPr>
              <w:pStyle w:val="OikoTables03Content"/>
            </w:pPr>
            <w:r>
              <w:t>Transport &amp; logistics</w:t>
            </w:r>
          </w:p>
        </w:tc>
        <w:tc>
          <w:tcPr>
            <w:tcW w:w="240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6FBB517" w14:textId="77777777" w:rsidR="00CA3072" w:rsidRDefault="00CA3072" w:rsidP="00FE5431">
            <w:pPr>
              <w:pStyle w:val="OikoTables03Content"/>
            </w:pPr>
            <w:r>
              <w:t>Private transporters</w:t>
            </w:r>
          </w:p>
        </w:tc>
        <w:tc>
          <w:tcPr>
            <w:tcW w:w="2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15F20C0" w14:textId="77777777" w:rsidR="00CA3072" w:rsidRDefault="00CA3072" w:rsidP="00FE5431">
            <w:pPr>
              <w:pStyle w:val="OikoTables03Content"/>
            </w:pPr>
            <w:r>
              <w:t>No cold chain; long distances; high cost</w:t>
            </w:r>
          </w:p>
        </w:tc>
        <w:tc>
          <w:tcPr>
            <w:tcW w:w="31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9784716" w14:textId="77777777" w:rsidR="00CA3072" w:rsidRDefault="00CA3072" w:rsidP="00FE5431">
            <w:pPr>
              <w:pStyle w:val="OikoTables03Content"/>
            </w:pPr>
            <w:r>
              <w:t>Spoilage and post-harvest losses; reduced margins</w:t>
            </w:r>
          </w:p>
        </w:tc>
      </w:tr>
      <w:tr w:rsidR="00CA3072" w14:paraId="4DC9FD70" w14:textId="77777777" w:rsidTr="00FE5431">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45B5280" w14:textId="77777777" w:rsidR="00CA3072" w:rsidRPr="00D0425E" w:rsidRDefault="00CA3072" w:rsidP="00FE5431">
            <w:pPr>
              <w:pStyle w:val="OikoTables03Content"/>
            </w:pPr>
            <w:r>
              <w:t>Storage</w:t>
            </w:r>
          </w:p>
        </w:tc>
        <w:tc>
          <w:tcPr>
            <w:tcW w:w="240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E78C5D4" w14:textId="77777777" w:rsidR="00CA3072" w:rsidRDefault="00CA3072" w:rsidP="00FE5431">
            <w:pPr>
              <w:pStyle w:val="OikoTables03Content"/>
            </w:pPr>
            <w:r>
              <w:t>Largely absent at farm and regional level</w:t>
            </w:r>
          </w:p>
        </w:tc>
        <w:tc>
          <w:tcPr>
            <w:tcW w:w="2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A4A1AE0" w14:textId="77777777" w:rsidR="00CA3072" w:rsidRDefault="00CA3072" w:rsidP="00FE5431">
            <w:pPr>
              <w:pStyle w:val="OikoTables03Content"/>
            </w:pPr>
            <w:r>
              <w:t>Insufficient cold and controlled storage</w:t>
            </w:r>
          </w:p>
        </w:tc>
        <w:tc>
          <w:tcPr>
            <w:tcW w:w="31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7F5DA72" w14:textId="77777777" w:rsidR="00CA3072" w:rsidRDefault="00CA3072" w:rsidP="00FE5431">
            <w:pPr>
              <w:pStyle w:val="OikoTables03Content"/>
            </w:pPr>
            <w:r>
              <w:t>Forced harvest-time selling; inability to capture off-season prices</w:t>
            </w:r>
          </w:p>
        </w:tc>
      </w:tr>
      <w:tr w:rsidR="00CA3072" w14:paraId="3E258CE7" w14:textId="77777777" w:rsidTr="00FE5431">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90C8A1A" w14:textId="77777777" w:rsidR="00CA3072" w:rsidRPr="00D0425E" w:rsidRDefault="00CA3072" w:rsidP="00FE5431">
            <w:pPr>
              <w:pStyle w:val="OikoTables03Content"/>
            </w:pPr>
            <w:r>
              <w:t>Wholesale</w:t>
            </w:r>
          </w:p>
        </w:tc>
        <w:tc>
          <w:tcPr>
            <w:tcW w:w="240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11AEE2C" w14:textId="77777777" w:rsidR="00CA3072" w:rsidRDefault="00CA3072" w:rsidP="00FE5431">
            <w:pPr>
              <w:pStyle w:val="OikoTables03Content"/>
            </w:pPr>
            <w:r>
              <w:t>Market intermediaries</w:t>
            </w:r>
          </w:p>
        </w:tc>
        <w:tc>
          <w:tcPr>
            <w:tcW w:w="2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12FE8F3" w14:textId="77777777" w:rsidR="00CA3072" w:rsidRDefault="00CA3072" w:rsidP="00FE5431">
            <w:pPr>
              <w:pStyle w:val="OikoTables03Content"/>
            </w:pPr>
            <w:r>
              <w:t>Concentrated, opaque pricing</w:t>
            </w:r>
          </w:p>
        </w:tc>
        <w:tc>
          <w:tcPr>
            <w:tcW w:w="31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6087962" w14:textId="77777777" w:rsidR="00CA3072" w:rsidRDefault="00CA3072" w:rsidP="00FE5431">
            <w:pPr>
              <w:pStyle w:val="OikoTables03Content"/>
            </w:pPr>
            <w:r>
              <w:t>Price-taking by producers; weak price signals</w:t>
            </w:r>
          </w:p>
        </w:tc>
      </w:tr>
      <w:tr w:rsidR="00CA3072" w14:paraId="25D6506F" w14:textId="77777777" w:rsidTr="00FE5431">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19B4DC3" w14:textId="77777777" w:rsidR="00CA3072" w:rsidRPr="00D0425E" w:rsidRDefault="00CA3072" w:rsidP="00FE5431">
            <w:pPr>
              <w:pStyle w:val="OikoTables03Content"/>
            </w:pPr>
            <w:r>
              <w:t>Retail</w:t>
            </w:r>
          </w:p>
        </w:tc>
        <w:tc>
          <w:tcPr>
            <w:tcW w:w="240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E03157E" w14:textId="77777777" w:rsidR="00CA3072" w:rsidRDefault="00CA3072" w:rsidP="00FE5431">
            <w:pPr>
              <w:pStyle w:val="OikoTables03Content"/>
            </w:pPr>
            <w:r>
              <w:t>Markets, shops, supermarkets</w:t>
            </w:r>
          </w:p>
        </w:tc>
        <w:tc>
          <w:tcPr>
            <w:tcW w:w="239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75C72F1" w14:textId="77777777" w:rsidR="00CA3072" w:rsidRDefault="00CA3072" w:rsidP="00FE5431">
            <w:pPr>
              <w:pStyle w:val="OikoTables03Content"/>
            </w:pPr>
            <w:r>
              <w:t>Price volatility; quality/traceability gaps</w:t>
            </w:r>
          </w:p>
        </w:tc>
        <w:tc>
          <w:tcPr>
            <w:tcW w:w="31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0B25E3F" w14:textId="77777777" w:rsidR="00CA3072" w:rsidRDefault="00CA3072" w:rsidP="00FE5431">
            <w:pPr>
              <w:pStyle w:val="OikoTables03Content"/>
            </w:pPr>
            <w:r>
              <w:t>Volatile farmer incomes; preference partly met by imports</w:t>
            </w:r>
          </w:p>
        </w:tc>
      </w:tr>
    </w:tbl>
    <w:p w14:paraId="29D878FC" w14:textId="2CA71C43" w:rsidR="00CA3072" w:rsidRPr="004F2A8F" w:rsidRDefault="00CA3072" w:rsidP="00D16E24">
      <w:pPr>
        <w:spacing w:before="30" w:after="120" w:line="240" w:lineRule="auto"/>
        <w:contextualSpacing w:val="0"/>
        <w:rPr>
          <w:i/>
          <w:iCs/>
        </w:rPr>
      </w:pPr>
      <w:r>
        <w:rPr>
          <w:rFonts w:eastAsia="Times New Roman" w:cs="Times New Roman"/>
          <w:i/>
          <w:iCs/>
          <w:sz w:val="18"/>
          <w:szCs w:val="18"/>
        </w:rPr>
        <w:t>Source: Authors' synthesis based on ADB (</w:t>
      </w:r>
      <w:proofErr w:type="gramStart"/>
      <w:r>
        <w:rPr>
          <w:rFonts w:eastAsia="Times New Roman" w:cs="Times New Roman"/>
          <w:i/>
          <w:iCs/>
          <w:sz w:val="18"/>
          <w:szCs w:val="18"/>
        </w:rPr>
        <w:t>2020)</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2]</w:t>
      </w:r>
      <w:r>
        <w:rPr>
          <w:rFonts w:eastAsia="Times New Roman" w:cs="Times New Roman"/>
          <w:i/>
          <w:iCs/>
          <w:sz w:val="18"/>
          <w:szCs w:val="18"/>
        </w:rPr>
        <w:t xml:space="preserve">, </w:t>
      </w:r>
      <w:proofErr w:type="spellStart"/>
      <w:r>
        <w:rPr>
          <w:rFonts w:eastAsia="Times New Roman" w:cs="Times New Roman"/>
          <w:i/>
          <w:iCs/>
          <w:sz w:val="18"/>
          <w:szCs w:val="18"/>
        </w:rPr>
        <w:t>Baast</w:t>
      </w:r>
      <w:proofErr w:type="spellEnd"/>
      <w:r>
        <w:rPr>
          <w:rFonts w:eastAsia="Times New Roman" w:cs="Times New Roman"/>
          <w:i/>
          <w:iCs/>
          <w:sz w:val="18"/>
          <w:szCs w:val="18"/>
        </w:rPr>
        <w:t xml:space="preserve"> (</w:t>
      </w:r>
      <w:proofErr w:type="gramStart"/>
      <w:r>
        <w:rPr>
          <w:rFonts w:eastAsia="Times New Roman" w:cs="Times New Roman"/>
          <w:i/>
          <w:iCs/>
          <w:sz w:val="18"/>
          <w:szCs w:val="18"/>
        </w:rPr>
        <w:t>2023)</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w:t>
      </w:r>
      <w:r>
        <w:rPr>
          <w:rFonts w:eastAsia="Times New Roman" w:cs="Times New Roman"/>
          <w:i/>
          <w:iCs/>
          <w:sz w:val="18"/>
          <w:szCs w:val="18"/>
        </w:rPr>
        <w:t xml:space="preserve">, and CTCN field </w:t>
      </w:r>
      <w:proofErr w:type="gramStart"/>
      <w:r>
        <w:rPr>
          <w:rFonts w:eastAsia="Times New Roman" w:cs="Times New Roman"/>
          <w:i/>
          <w:iCs/>
          <w:sz w:val="18"/>
          <w:szCs w:val="18"/>
        </w:rPr>
        <w:t>missions</w:t>
      </w:r>
      <w:r>
        <w:rPr>
          <w:rFonts w:eastAsia="Times New Roman" w:cs="Times New Roman"/>
          <w:i/>
          <w:iCs/>
          <w:sz w:val="18"/>
          <w:szCs w:val="18"/>
          <w:vertAlign w:val="superscript"/>
        </w:rPr>
        <w:t>[</w:t>
      </w:r>
      <w:proofErr w:type="gramEnd"/>
      <w:r>
        <w:rPr>
          <w:rFonts w:eastAsia="Times New Roman" w:cs="Times New Roman"/>
          <w:i/>
          <w:iCs/>
          <w:sz w:val="18"/>
          <w:szCs w:val="18"/>
          <w:vertAlign w:val="superscript"/>
        </w:rPr>
        <w:t>45, 46, 47]</w:t>
      </w:r>
      <w:r>
        <w:rPr>
          <w:rFonts w:eastAsia="Times New Roman" w:cs="Times New Roman"/>
          <w:i/>
          <w:iCs/>
          <w:sz w:val="18"/>
          <w:szCs w:val="18"/>
        </w:rPr>
        <w:t>.</w:t>
      </w:r>
    </w:p>
    <w:p w14:paraId="70A61A09" w14:textId="359DAC8C" w:rsidR="00CA3072" w:rsidRDefault="00CA3072" w:rsidP="00016E8C">
      <w:pPr>
        <w:pStyle w:val="Heading3"/>
        <w:spacing w:before="240" w:line="240" w:lineRule="auto"/>
        <w:contextualSpacing w:val="0"/>
      </w:pPr>
      <w:bookmarkStart w:id="122" w:name="_Toc233981330"/>
      <w:r>
        <w:t>Logistics, storage and post-harvest losses</w:t>
      </w:r>
      <w:bookmarkEnd w:id="122"/>
    </w:p>
    <w:p w14:paraId="2F41B7D8" w14:textId="57363860" w:rsidR="00CA3072" w:rsidRDefault="00CA3072" w:rsidP="00EB489E">
      <w:r>
        <w:t>Two constraints in particular bear on the project's economics. The first is the near-absence of a cold chain and of adequate storage at farm and regional level, which forces sales at harvest, prevents producers from holding stock into the high-price season, and drives substantial post-harvest losses that directly reduce the volume of marketable, revenue-earning produce. The second is the cost and unreliability of transport over Mongolia's long distances. Both constraints reduce the share of gross output that converts into income, and both can be eased by complementary investments — improved on-farm and aggregated storage, better handling, and producer aggregation — that earlier sector work has identified as priorities, including through dedicated storage-and-marketing facilities.</w:t>
      </w:r>
      <w:r>
        <w:rPr>
          <w:sz w:val="18"/>
          <w:szCs w:val="18"/>
          <w:vertAlign w:val="superscript"/>
        </w:rPr>
        <w:t>[4]</w:t>
      </w:r>
      <w:r>
        <w:t xml:space="preserve"> For the feasibility analysis, the implication is twofold: storage and aggregation are not optional add-ons but conditions for capturing the seasonal price premium that underpins the investment case; and reducing post-harvest losses is itself a source of return, raising the marketable fraction of every additional tonne produced.</w:t>
      </w:r>
    </w:p>
    <w:p w14:paraId="07369497" w14:textId="22083541" w:rsidR="00CA3072" w:rsidRDefault="00CA3072" w:rsidP="00016E8C">
      <w:pPr>
        <w:pStyle w:val="Heading3"/>
        <w:spacing w:before="240" w:line="240" w:lineRule="auto"/>
        <w:contextualSpacing w:val="0"/>
      </w:pPr>
      <w:bookmarkStart w:id="123" w:name="_Toc233981331"/>
      <w:r>
        <w:lastRenderedPageBreak/>
        <w:t>Market access in the two provinces</w:t>
      </w:r>
      <w:bookmarkEnd w:id="123"/>
    </w:p>
    <w:p w14:paraId="53EF2465" w14:textId="3EC5F38C" w:rsidR="00CA3072" w:rsidRDefault="00CA3072" w:rsidP="00EB489E">
      <w:r>
        <w:t xml:space="preserve">The two target provinces occupy different positions in this national picture, and both are better understood as production areas than as large consumption markets in their own right. Uvurkhangai has the stronger position: it has a larger producer base, better </w:t>
      </w:r>
      <w:proofErr w:type="spellStart"/>
      <w:r>
        <w:t>agro</w:t>
      </w:r>
      <w:proofErr w:type="spellEnd"/>
      <w:r>
        <w:t xml:space="preserve">-ecological conditions and reasonable connectivity through </w:t>
      </w:r>
      <w:proofErr w:type="spellStart"/>
      <w:r>
        <w:t>Arvaikheer</w:t>
      </w:r>
      <w:proofErr w:type="spellEnd"/>
      <w:r>
        <w:t xml:space="preserve"> and Kharkhorin and along the corridor toward Ulaanbaatar, supporting semi-commercial production that can supply regional centres and, increasingly, the capital. Dundgovi is more constrained — production is small and largely subsistence-oriented, local purchasing power is limited, and the province is among the lowest producers nationally — but it lies on the main road south from Ulaanbaatar, and targeted, climate-resilient production focused on local markets, the provincial centre at </w:t>
      </w:r>
      <w:proofErr w:type="spellStart"/>
      <w:r>
        <w:t>Mandalgovi</w:t>
      </w:r>
      <w:proofErr w:type="spellEnd"/>
      <w:r>
        <w:t xml:space="preserve"> and niche off-season supply remains viable, especially where greenhouses and storage allow producers to sell when local alternatives are scarce.</w:t>
      </w:r>
      <w:r>
        <w:rPr>
          <w:sz w:val="18"/>
          <w:szCs w:val="18"/>
          <w:vertAlign w:val="superscript"/>
        </w:rPr>
        <w:t>[12, 13, 14, 45, 46, 47]</w:t>
      </w:r>
      <w:r>
        <w:t xml:space="preserve"> In both provinces the decisive market outlet is not the small local market alone but the combination of local demand, regional centres and the large Ulaanbaatar market, access to which depends on the logistics and aggregation improvements discussed above. Provincial self-sufficiency well below 30% in Uvurkhangai, and in single digits for vegetables in Dundgovi, also means that even local demand offers immediate, low-transport substitution opportunities for newly produced vegetables.</w:t>
      </w:r>
    </w:p>
    <w:p w14:paraId="185411BB" w14:textId="7BE615F4" w:rsidR="00CA3072" w:rsidRDefault="00CA3072" w:rsidP="00016E8C">
      <w:pPr>
        <w:pStyle w:val="Heading2"/>
        <w:spacing w:before="360" w:line="240" w:lineRule="auto"/>
        <w:contextualSpacing w:val="0"/>
      </w:pPr>
      <w:bookmarkStart w:id="124" w:name="_Toc233981332"/>
      <w:r>
        <w:t>Implications for technology feasibility and return on investment</w:t>
      </w:r>
      <w:bookmarkEnd w:id="124"/>
    </w:p>
    <w:p w14:paraId="6C390102" w14:textId="77777777" w:rsidR="00CA3072" w:rsidRDefault="00CA3072" w:rsidP="00EB489E">
      <w:r>
        <w:t xml:space="preserve">The market evidence assembled in this chapter provides the demand-side rationale that a feasibility study </w:t>
      </w:r>
      <w:proofErr w:type="gramStart"/>
      <w:r>
        <w:t>requires:</w:t>
      </w:r>
      <w:proofErr w:type="gramEnd"/>
      <w:r>
        <w:t xml:space="preserve"> it shows not only that a market exists, but that its specific characteristics — a persistent 30% import gap, acute seasonality with a strong off-season price premium, identifiable crop-level deficits, and a consumer preference for fresh local produce — align closely with what the recommended technologies deliver. The market does not, on its own, guarantee a return; that depends on competitive unit costs and on the complementary storage, aggregation and risk-management measures discussed below. But the conditions for a positive return are present. Table 27 makes the linkage explicit, connecting each recommended technology to the market driver it exploits and the mechanism through which it generates a return; the cost-benefit analysis then tests these returns quantitatively.</w:t>
      </w:r>
    </w:p>
    <w:p w14:paraId="7B9C14D4" w14:textId="77777777" w:rsidR="006C40CD" w:rsidRDefault="006C40CD" w:rsidP="00EB489E"/>
    <w:p w14:paraId="61E88DE7" w14:textId="77777777" w:rsidR="00CA3072" w:rsidRDefault="00CA3072" w:rsidP="006C40CD">
      <w:pPr>
        <w:pStyle w:val="Caption"/>
        <w:framePr w:wrap="notBeside"/>
      </w:pPr>
      <w:r>
        <w:t>Table 27. Market rationale for the recommended technologies and the return-on-investment mechanism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000" w:firstRow="0" w:lastRow="0" w:firstColumn="0" w:lastColumn="0" w:noHBand="0" w:noVBand="0"/>
      </w:tblPr>
      <w:tblGrid>
        <w:gridCol w:w="2100"/>
        <w:gridCol w:w="3000"/>
        <w:gridCol w:w="4534"/>
      </w:tblGrid>
      <w:tr w:rsidR="00CA3072" w14:paraId="04B77834" w14:textId="77777777" w:rsidTr="00ED71A8">
        <w:trPr>
          <w:tblHeader/>
        </w:trPr>
        <w:tc>
          <w:tcPr>
            <w:tcW w:w="21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3198D194" w14:textId="77777777" w:rsidR="00CA3072" w:rsidRDefault="00CA3072" w:rsidP="00ED71A8">
            <w:pPr>
              <w:pStyle w:val="OikoTables02"/>
            </w:pPr>
            <w:r>
              <w:t>Technology</w:t>
            </w:r>
          </w:p>
        </w:tc>
        <w:tc>
          <w:tcPr>
            <w:tcW w:w="3000"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4EACDB81" w14:textId="77777777" w:rsidR="00CA3072" w:rsidRDefault="00CA3072" w:rsidP="00ED71A8">
            <w:pPr>
              <w:pStyle w:val="OikoTables02"/>
            </w:pPr>
            <w:r>
              <w:t>Market driver exploited</w:t>
            </w:r>
          </w:p>
        </w:tc>
        <w:tc>
          <w:tcPr>
            <w:tcW w:w="4534" w:type="dxa"/>
            <w:tcBorders>
              <w:top w:val="single" w:sz="4" w:space="0" w:color="BFBFBF"/>
              <w:left w:val="single" w:sz="4" w:space="0" w:color="BFBFBF"/>
              <w:bottom w:val="single" w:sz="4" w:space="0" w:color="BFBFBF"/>
              <w:right w:val="single" w:sz="4" w:space="0" w:color="BFBFBF"/>
            </w:tcBorders>
            <w:shd w:val="clear" w:color="auto" w:fill="E99E6D" w:themeFill="accent3"/>
            <w:tcMar>
              <w:top w:w="60" w:type="dxa"/>
              <w:left w:w="100" w:type="dxa"/>
              <w:bottom w:w="60" w:type="dxa"/>
              <w:right w:w="100" w:type="dxa"/>
            </w:tcMar>
            <w:vAlign w:val="center"/>
          </w:tcPr>
          <w:p w14:paraId="586DBB4E" w14:textId="77777777" w:rsidR="00CA3072" w:rsidRDefault="00CA3072" w:rsidP="00ED71A8">
            <w:pPr>
              <w:pStyle w:val="OikoTables02"/>
            </w:pPr>
            <w:r>
              <w:t>Return-on-investment mechanism</w:t>
            </w:r>
          </w:p>
        </w:tc>
      </w:tr>
      <w:tr w:rsidR="00CA3072" w14:paraId="69D467A3" w14:textId="77777777" w:rsidTr="006C40CD">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D8B26B4" w14:textId="77777777" w:rsidR="00CA3072" w:rsidRPr="00D0425E" w:rsidRDefault="00CA3072" w:rsidP="006C40CD">
            <w:pPr>
              <w:pStyle w:val="OikoTables03Content"/>
            </w:pPr>
            <w:r>
              <w:t>Passive-solar greenhouses (incl. season extension)</w:t>
            </w:r>
          </w:p>
        </w:tc>
        <w:tc>
          <w:tcPr>
            <w:tcW w:w="30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E5889A1" w14:textId="77777777" w:rsidR="00CA3072" w:rsidRDefault="00CA3072" w:rsidP="006C40CD">
            <w:pPr>
              <w:pStyle w:val="OikoTables03Content"/>
            </w:pPr>
            <w:r>
              <w:t>Off-season price premium (≈ 1.5–2×); winter import dependence in tomato, cucumber, leafy and fine vegetables</w:t>
            </w:r>
          </w:p>
        </w:tc>
        <w:tc>
          <w:tcPr>
            <w:tcW w:w="45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5A4AED9" w14:textId="77777777" w:rsidR="00CA3072" w:rsidRDefault="00CA3072" w:rsidP="006C40CD">
            <w:pPr>
              <w:pStyle w:val="OikoTables03Content"/>
            </w:pPr>
            <w:r>
              <w:t>Production sold in the high-price months substitutes for expensive imports; the premium over summer prices justifies the capital cost — the decisive value driver (Chapter 7; Section 8.5)</w:t>
            </w:r>
          </w:p>
        </w:tc>
      </w:tr>
      <w:tr w:rsidR="00CA3072" w14:paraId="0A99465B" w14:textId="77777777" w:rsidTr="006C40CD">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498C9E2" w14:textId="77777777" w:rsidR="00CA3072" w:rsidRPr="00D0425E" w:rsidRDefault="00CA3072" w:rsidP="006C40CD">
            <w:pPr>
              <w:pStyle w:val="OikoTables03Content"/>
            </w:pPr>
            <w:r>
              <w:t>Solar-powered drip irrigation &amp; water efficiency</w:t>
            </w:r>
          </w:p>
        </w:tc>
        <w:tc>
          <w:tcPr>
            <w:tcW w:w="30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485ABA2" w14:textId="77777777" w:rsidR="00CA3072" w:rsidRDefault="00CA3072" w:rsidP="006C40CD">
            <w:pPr>
              <w:pStyle w:val="OikoTables03Content"/>
            </w:pPr>
            <w:r>
              <w:t>Summer import gap in staples (cabbage, onion, carrot); low border prices requiring competitive costs</w:t>
            </w:r>
          </w:p>
        </w:tc>
        <w:tc>
          <w:tcPr>
            <w:tcW w:w="45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7163919" w14:textId="77777777" w:rsidR="00CA3072" w:rsidRDefault="00CA3072" w:rsidP="006C40CD">
            <w:pPr>
              <w:pStyle w:val="OikoTables03Content"/>
            </w:pPr>
            <w:r>
              <w:t xml:space="preserve">Reliable water raises and </w:t>
            </w:r>
            <w:proofErr w:type="spellStart"/>
            <w:r>
              <w:t>stabilises</w:t>
            </w:r>
            <w:proofErr w:type="spellEnd"/>
            <w:r>
              <w:t xml:space="preserve"> yields and lowers unit cost, enabling domestic supply to displace summer imports and compete with cheap landed prices</w:t>
            </w:r>
          </w:p>
        </w:tc>
      </w:tr>
      <w:tr w:rsidR="00CA3072" w14:paraId="2BE1E81A" w14:textId="77777777" w:rsidTr="006C40CD">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52CD578" w14:textId="77777777" w:rsidR="00CA3072" w:rsidRPr="00D0425E" w:rsidRDefault="00CA3072" w:rsidP="006C40CD">
            <w:pPr>
              <w:pStyle w:val="OikoTables03Content"/>
            </w:pPr>
            <w:r>
              <w:t>Agroforestry / shelterbelts (windbreaks)</w:t>
            </w:r>
          </w:p>
        </w:tc>
        <w:tc>
          <w:tcPr>
            <w:tcW w:w="30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4063037" w14:textId="77777777" w:rsidR="00CA3072" w:rsidRDefault="00CA3072" w:rsidP="006C40CD">
            <w:pPr>
              <w:pStyle w:val="OikoTables03Content"/>
            </w:pPr>
            <w:r>
              <w:t>Quality and freshness preference; losses from wind, dust and abiotic stress</w:t>
            </w:r>
          </w:p>
        </w:tc>
        <w:tc>
          <w:tcPr>
            <w:tcW w:w="45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C747CBB" w14:textId="77777777" w:rsidR="00CA3072" w:rsidRDefault="00CA3072" w:rsidP="006C40CD">
            <w:pPr>
              <w:pStyle w:val="OikoTables03Content"/>
            </w:pPr>
            <w:r>
              <w:t xml:space="preserve">Reduced crop damage and abiotic loss raise the marketable, revenue-earning share of output and improve quality; berry </w:t>
            </w:r>
            <w:proofErr w:type="gramStart"/>
            <w:r>
              <w:t>shelterbelts</w:t>
            </w:r>
            <w:proofErr w:type="gramEnd"/>
            <w:r>
              <w:t xml:space="preserve"> add a diversified income stream</w:t>
            </w:r>
          </w:p>
        </w:tc>
      </w:tr>
      <w:tr w:rsidR="00CA3072" w14:paraId="00993C45" w14:textId="77777777" w:rsidTr="006C40CD">
        <w:tc>
          <w:tcPr>
            <w:tcW w:w="21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49202F1" w14:textId="77777777" w:rsidR="00CA3072" w:rsidRPr="00D0425E" w:rsidRDefault="00CA3072" w:rsidP="006C40CD">
            <w:pPr>
              <w:pStyle w:val="OikoTables03Content"/>
            </w:pPr>
            <w:r>
              <w:t>Storage, aggregation &amp; value-chain measures (complementary)</w:t>
            </w:r>
          </w:p>
        </w:tc>
        <w:tc>
          <w:tcPr>
            <w:tcW w:w="30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08794B1" w14:textId="77777777" w:rsidR="00CA3072" w:rsidRDefault="00CA3072" w:rsidP="006C40CD">
            <w:pPr>
              <w:pStyle w:val="OikoTables03Content"/>
            </w:pPr>
            <w:r>
              <w:t>Seasonality and the harvest-time glut; intermediary value capture</w:t>
            </w:r>
          </w:p>
        </w:tc>
        <w:tc>
          <w:tcPr>
            <w:tcW w:w="453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C602C89" w14:textId="77777777" w:rsidR="00CA3072" w:rsidRDefault="00CA3072" w:rsidP="006C40CD">
            <w:pPr>
              <w:pStyle w:val="OikoTables03Content"/>
            </w:pPr>
            <w:r>
              <w:t>Holding produce into the high-price season and aggregating volumes lets producers capture the seasonal premium and a larger share of value, and cuts post-harvest losses</w:t>
            </w:r>
          </w:p>
        </w:tc>
      </w:tr>
    </w:tbl>
    <w:p w14:paraId="11A9D4E6" w14:textId="2CBAFFFE" w:rsidR="00CA3072" w:rsidRDefault="00CA3072" w:rsidP="00D16E24">
      <w:pPr>
        <w:spacing w:before="30" w:after="120" w:line="240" w:lineRule="auto"/>
        <w:contextualSpacing w:val="0"/>
      </w:pPr>
      <w:r>
        <w:rPr>
          <w:rFonts w:eastAsia="Times New Roman" w:cs="Times New Roman"/>
          <w:i/>
          <w:iCs/>
          <w:sz w:val="18"/>
          <w:szCs w:val="18"/>
        </w:rPr>
        <w:t>Source: Authors' synthesis linking the market analysis in this chapter to the technology assessment in Chapter 7 and the CBA. The greenhouse row is highlighted as the principal value driver.</w:t>
      </w:r>
    </w:p>
    <w:p w14:paraId="3B592704" w14:textId="44E51931" w:rsidR="00CA3072" w:rsidRDefault="00CA3072" w:rsidP="00EB489E">
      <w:r>
        <w:t xml:space="preserve">Two caveats keep the conclusion realistic. First, the low border price of imported vegetables means that import substitution is achievable only where domestic production reaches competitive unit costs — which is itself the central reason for investing in yield-raising, water-efficient and protected-production technologies rather than expanding low-productivity open-field cultivation. Second, the market carries real risks: price volatility between glut and scarcity, competition from cheap imports, distance from major markets, and the need for aggregation and storage to reach buyers reliably. These risks are precisely why the project pairs production </w:t>
      </w:r>
      <w:r>
        <w:lastRenderedPageBreak/>
        <w:t>technologies with storage and value-chain measures and with the digitalised index-insurance component, which together stabilise incomes and protect the returns on which adoption depends.</w:t>
      </w:r>
    </w:p>
    <w:p w14:paraId="24695678" w14:textId="77777777" w:rsidR="00A848C6" w:rsidRDefault="00A848C6" w:rsidP="00EB489E"/>
    <w:p w14:paraId="663A90EA" w14:textId="1260BE18" w:rsidR="00CA3072" w:rsidRDefault="00CA3072" w:rsidP="00EB489E">
      <w:r>
        <w:t>On balance, the market assessment supports the feasibility of the proposed interventions. National demand is large and growing; a structural import gap of around 125 thousand tonnes a year offers a clear substitution target; seasonality generates an off-season premium that makes protected cultivation economically attractive; and crop-level deficits align with the open-field and greenhouse systems the project promotes. Provided targeted smallholders achieve competitive yields and costs and are supported by adequate storage, aggregation and risk-mitigation, the available market capacity is sufficient for them to earn a return on investment in the recommended technologies. This market rationale is carried forward into the technology screening of Chapter 7, the province-specific packages of Chapter 8, and the quantitative return calculations of the Cost-Benefit Analysis.</w:t>
      </w:r>
    </w:p>
    <w:p w14:paraId="7758B1A9" w14:textId="20A48AA5" w:rsidR="00CA3072" w:rsidRDefault="00CA3072" w:rsidP="00EB489E"/>
    <w:p w14:paraId="6367A54B" w14:textId="1A3D27C8" w:rsidR="00CA3072" w:rsidRDefault="00CA3072" w:rsidP="00EB489E"/>
    <w:p w14:paraId="32A47346" w14:textId="77777777" w:rsidR="00EC0706" w:rsidRPr="00E35798" w:rsidRDefault="00EC0706" w:rsidP="00D16E24">
      <w:pPr>
        <w:spacing w:after="120" w:line="240" w:lineRule="auto"/>
        <w:contextualSpacing w:val="0"/>
        <w:jc w:val="left"/>
        <w:rPr>
          <w:rFonts w:eastAsiaTheme="majorEastAsia" w:cstheme="majorBidi"/>
          <w:color w:val="DD6B22" w:themeColor="accent3" w:themeShade="BF"/>
          <w:sz w:val="52"/>
          <w:szCs w:val="32"/>
        </w:rPr>
      </w:pPr>
      <w:r>
        <w:br w:type="page"/>
      </w:r>
    </w:p>
    <w:p w14:paraId="48E94396" w14:textId="588ACF56" w:rsidR="00C95999" w:rsidRDefault="00447B91" w:rsidP="00D16E24">
      <w:pPr>
        <w:pStyle w:val="Heading1"/>
        <w:spacing w:line="240" w:lineRule="auto"/>
        <w:contextualSpacing w:val="0"/>
      </w:pPr>
      <w:bookmarkStart w:id="125" w:name="_Toc233981333"/>
      <w:bookmarkStart w:id="126" w:name="_Hlk233914886"/>
      <w:r>
        <w:lastRenderedPageBreak/>
        <w:t>Technology Assessment</w:t>
      </w:r>
      <w:bookmarkEnd w:id="125"/>
    </w:p>
    <w:p w14:paraId="6A5F585B" w14:textId="5CB08A8A" w:rsidR="008E718F" w:rsidRDefault="008E718F" w:rsidP="00016E8C">
      <w:pPr>
        <w:spacing w:before="240" w:after="120" w:line="240" w:lineRule="auto"/>
        <w:contextualSpacing w:val="0"/>
      </w:pPr>
      <w:r>
        <w:t xml:space="preserve">This chapter presents the feasibility and preliminary technology assessment prepared under Output 1.2. Its role is to identify the technology options that are technically suitable and operationally realistic for smallholder vegetable farmers in Dundgovi and </w:t>
      </w:r>
      <w:proofErr w:type="gramStart"/>
      <w:r>
        <w:t>Uvurkhangai, and</w:t>
      </w:r>
      <w:proofErr w:type="gramEnd"/>
      <w:r>
        <w:t xml:space="preserve"> preliminarily promising enough to carry into the cost-benefit analysis (CBA) under Output 1.3. For each technology category it answers five questions: which options are technically suitable for smallholders in the two provinces; under which conditions each option works; what the main design parameters, risks and enabling conditions are; which options should move forward to the CBA; and what assumptions the CBA should test.</w:t>
      </w:r>
    </w:p>
    <w:p w14:paraId="66CD8D52" w14:textId="1844A585" w:rsidR="008E718F" w:rsidRDefault="008E718F" w:rsidP="00EB489E">
      <w:r>
        <w:t xml:space="preserve">The assessment applies a transparent two-step method. Step 1 is a multi-criteria assessment (MCA) that ranks the options within each technology category against a common set of criteria — technical feasibility and simplicity, climate resilience, water efficiency, affordability, insurability and scalability or smallholder suitability. Every option is scored on a common 1–5 scale with defined anchor values (1 = very low or disqualifying, 3 = moderate, 5 = very high or best-in-class), and the weighted score is the sum of score × weight. </w:t>
      </w:r>
      <w:r>
        <w:rPr>
          <w:rFonts w:cs="Times New Roman"/>
        </w:rPr>
        <w:t>Step 2 then considers the production economics of the shortlisted options qualitatively — their cost drivers, capital intensity and likely effects on yields and returns — as an input to the province-specific packages; the full enterprise budgeting and financial appraisal are carried out in the companion cost-benefit analysis. The overall sequence is therefore: technology options → MCA shortlist → province-specific packages → CBA scenarios</w:t>
      </w:r>
      <w:r>
        <w:t>.</w:t>
      </w:r>
    </w:p>
    <w:p w14:paraId="093093E7" w14:textId="77777777" w:rsidR="00A848C6" w:rsidRDefault="00A848C6" w:rsidP="00EB489E"/>
    <w:p w14:paraId="422669C6" w14:textId="7826F276" w:rsidR="008E718F" w:rsidRPr="008E718F" w:rsidRDefault="00FF1CE4" w:rsidP="00EB489E">
      <w:r>
        <w:t>Accordingly, this chapter assesses each technology category in turn — greenhouses (7.1), irrigation (7.2), agroforestry (7.3) and energy as an enabling layer (7.4) — and for each presents the options, the MCA, the province-specific ranking and a preliminary shortlist. It then brings the shortlisted technologies together in a comparative screening (7.5) that confirms which technologies proceed to the next stage. The following chapter combines that shortlist into integrated, province-adapted packages and defines the basis for the cost-benefit analysis.</w:t>
      </w:r>
    </w:p>
    <w:p w14:paraId="7C34E4DC" w14:textId="0818CA68" w:rsidR="006815D6" w:rsidRPr="00E35798" w:rsidRDefault="00EF558C" w:rsidP="008E718F">
      <w:pPr>
        <w:pStyle w:val="Heading2"/>
        <w:spacing w:before="360" w:line="240" w:lineRule="auto"/>
        <w:contextualSpacing w:val="0"/>
      </w:pPr>
      <w:bookmarkStart w:id="127" w:name="_Ref227589392"/>
      <w:bookmarkStart w:id="128" w:name="_Toc233981334"/>
      <w:r>
        <w:t>Greenhouse technology</w:t>
      </w:r>
      <w:bookmarkEnd w:id="127"/>
      <w:bookmarkEnd w:id="128"/>
    </w:p>
    <w:p w14:paraId="023401DF" w14:textId="73D8848B" w:rsidR="000C10BE" w:rsidRPr="00E35798" w:rsidRDefault="00016E8C" w:rsidP="00EB489E">
      <w:pPr>
        <w:rPr>
          <w:rFonts w:eastAsia="Times New Roman" w:cs="Times New Roman"/>
          <w:sz w:val="24"/>
          <w:szCs w:val="24"/>
        </w:rPr>
      </w:pPr>
      <w:r>
        <w:t>A greenhouse is a light-transmitting structure that allows plants to be cultivated under controlled or semi-controlled conditions. In Mongolia it is a central climate-adaptation technology: it raises yield per unit area, extends a short growing season, and makes it possible to grow vegetables that cannot be produced reliably in the open field. In the project context greenhouses perform several linked functions — they extend the growing season; protect crops from frost, wind, hail and heavy rain; give farmers greater control over the growing environment; stabilise yields and open new market windows; strengthen household economic security; and generate local employment.</w:t>
      </w:r>
      <w:r>
        <w:rPr>
          <w:rFonts w:eastAsia="Times New Roman" w:cs="Times New Roman"/>
          <w:sz w:val="24"/>
          <w:szCs w:val="24"/>
        </w:rPr>
        <w:t xml:space="preserve"> </w:t>
      </w:r>
    </w:p>
    <w:p w14:paraId="19E3E563" w14:textId="7F8AB010" w:rsidR="00016E8C" w:rsidRDefault="00016E8C" w:rsidP="00016E8C">
      <w:pPr>
        <w:spacing w:before="120" w:after="120" w:line="240" w:lineRule="auto"/>
        <w:contextualSpacing w:val="0"/>
      </w:pPr>
      <w:r>
        <w:t>Although several greenhouse forms exist in Mongolia (see Annex 3), this feasibility assessment focuses on the options most relevant for climate-resilient smallholder vegetable systems in Dundgovi and Uvurkhangai. These include low-cost film structures, passive solar/earth-sheltered greenhouses, and more durable semi-permanent structures such as polycarbonate greenhouses, and double layer or even three-layer plastic film. Highly automated winter greenhouses are reviewed as reference technologies but are not currently considered the primary option for smallholder-scale deployment due to their higher investment and operating requirements.</w:t>
      </w:r>
    </w:p>
    <w:p w14:paraId="39727588" w14:textId="77777777" w:rsidR="002E49C9" w:rsidRPr="008E718F" w:rsidRDefault="002E49C9" w:rsidP="00016E8C">
      <w:pPr>
        <w:spacing w:before="120" w:after="120" w:line="240" w:lineRule="auto"/>
        <w:contextualSpacing w:val="0"/>
      </w:pPr>
    </w:p>
    <w:p w14:paraId="770B0D32" w14:textId="3414B0AD" w:rsidR="00603E95" w:rsidRPr="00E35798" w:rsidRDefault="00603E95" w:rsidP="00D16E24">
      <w:pPr>
        <w:pStyle w:val="Caption"/>
        <w:keepNext/>
        <w:framePr w:wrap="notBeside"/>
        <w:spacing w:after="120"/>
        <w:contextualSpacing w:val="0"/>
      </w:pPr>
      <w:r>
        <w:t>Table 28. Benefits and risks of greenhouse production</w:t>
      </w:r>
    </w:p>
    <w:tbl>
      <w:tblPr>
        <w:tblStyle w:val="TableGrid"/>
        <w:tblW w:w="0" w:type="auto"/>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4814"/>
        <w:gridCol w:w="4814"/>
      </w:tblGrid>
      <w:tr w:rsidR="00603E95" w:rsidRPr="00E35798" w14:paraId="7C09C3B5" w14:textId="77777777" w:rsidTr="002E49C9">
        <w:trPr>
          <w:tblHeader/>
        </w:trPr>
        <w:tc>
          <w:tcPr>
            <w:tcW w:w="4814" w:type="dxa"/>
            <w:shd w:val="clear" w:color="auto" w:fill="CAE9D7" w:themeFill="accent6" w:themeFillTint="66"/>
          </w:tcPr>
          <w:p w14:paraId="146271A3" w14:textId="5737565B" w:rsidR="00603E95" w:rsidRPr="00016E8C" w:rsidRDefault="00867C7F" w:rsidP="00ED71A8">
            <w:pPr>
              <w:pStyle w:val="OikoTables02"/>
            </w:pPr>
            <w:r w:rsidRPr="0085307A">
              <w:t>Benefits</w:t>
            </w:r>
          </w:p>
        </w:tc>
        <w:tc>
          <w:tcPr>
            <w:tcW w:w="4814" w:type="dxa"/>
            <w:shd w:val="clear" w:color="auto" w:fill="F6D7C4" w:themeFill="accent3" w:themeFillTint="66"/>
          </w:tcPr>
          <w:p w14:paraId="1FAE47EB" w14:textId="677C8BBF" w:rsidR="00603E95" w:rsidRPr="00016E8C" w:rsidRDefault="00867C7F" w:rsidP="00ED71A8">
            <w:pPr>
              <w:pStyle w:val="OikoTables02"/>
            </w:pPr>
            <w:r>
              <w:t>Risk</w:t>
            </w:r>
          </w:p>
        </w:tc>
      </w:tr>
      <w:tr w:rsidR="009A1D78" w:rsidRPr="00E35798" w14:paraId="48732639" w14:textId="77777777" w:rsidTr="00A848C6">
        <w:tc>
          <w:tcPr>
            <w:tcW w:w="4814" w:type="dxa"/>
          </w:tcPr>
          <w:p w14:paraId="1DA5DF95" w14:textId="6D0F435B" w:rsidR="009A1D78" w:rsidRPr="00E35798" w:rsidRDefault="009A1D78" w:rsidP="00D16E24">
            <w:pPr>
              <w:pStyle w:val="OikoTables03Content"/>
              <w:spacing w:after="120" w:line="240" w:lineRule="auto"/>
              <w:rPr>
                <w:lang w:val="en-GB"/>
              </w:rPr>
            </w:pPr>
            <w:r>
              <w:rPr>
                <w:lang w:val="en-GB"/>
              </w:rPr>
              <w:t>Off-season and season-extended cultivation</w:t>
            </w:r>
          </w:p>
        </w:tc>
        <w:tc>
          <w:tcPr>
            <w:tcW w:w="4814" w:type="dxa"/>
          </w:tcPr>
          <w:p w14:paraId="7F7F0F19" w14:textId="75C5DCC6" w:rsidR="009A1D78" w:rsidRPr="00E35798" w:rsidRDefault="009A1D78" w:rsidP="00D16E24">
            <w:pPr>
              <w:pStyle w:val="OikoTables03Content"/>
              <w:spacing w:after="120" w:line="240" w:lineRule="auto"/>
              <w:rPr>
                <w:lang w:val="en-GB"/>
              </w:rPr>
            </w:pPr>
            <w:r>
              <w:rPr>
                <w:lang w:val="en-GB"/>
              </w:rPr>
              <w:t>High initial investments</w:t>
            </w:r>
          </w:p>
        </w:tc>
      </w:tr>
      <w:tr w:rsidR="009A1D78" w:rsidRPr="00E35798" w14:paraId="676FA229" w14:textId="77777777" w:rsidTr="00A848C6">
        <w:tc>
          <w:tcPr>
            <w:tcW w:w="4814" w:type="dxa"/>
          </w:tcPr>
          <w:p w14:paraId="048E212B" w14:textId="3F515840" w:rsidR="009A1D78" w:rsidRPr="00E35798" w:rsidRDefault="009A1D78" w:rsidP="00D16E24">
            <w:pPr>
              <w:pStyle w:val="OikoTables03Content"/>
              <w:spacing w:after="120" w:line="240" w:lineRule="auto"/>
              <w:rPr>
                <w:lang w:val="en-GB"/>
              </w:rPr>
            </w:pPr>
            <w:r>
              <w:rPr>
                <w:lang w:val="en-GB"/>
              </w:rPr>
              <w:t>Enhanced productivity / quality</w:t>
            </w:r>
          </w:p>
        </w:tc>
        <w:tc>
          <w:tcPr>
            <w:tcW w:w="4814" w:type="dxa"/>
          </w:tcPr>
          <w:p w14:paraId="5B9B1489" w14:textId="1EA81692" w:rsidR="009A1D78" w:rsidRPr="00E35798" w:rsidRDefault="00016E8C" w:rsidP="00D16E24">
            <w:pPr>
              <w:pStyle w:val="OikoTables03Content"/>
              <w:spacing w:after="120" w:line="240" w:lineRule="auto"/>
              <w:rPr>
                <w:lang w:val="en-GB"/>
              </w:rPr>
            </w:pPr>
            <w:r>
              <w:rPr>
                <w:lang w:val="en-GB"/>
              </w:rPr>
              <w:t>Need for skilled labour</w:t>
            </w:r>
          </w:p>
        </w:tc>
      </w:tr>
      <w:tr w:rsidR="009A1D78" w:rsidRPr="00E35798" w14:paraId="4C9AEE52" w14:textId="77777777" w:rsidTr="00A848C6">
        <w:tc>
          <w:tcPr>
            <w:tcW w:w="4814" w:type="dxa"/>
          </w:tcPr>
          <w:p w14:paraId="40ACE94B" w14:textId="13681CF6" w:rsidR="009A1D78" w:rsidRPr="00E35798" w:rsidRDefault="009A1D78" w:rsidP="00D16E24">
            <w:pPr>
              <w:pStyle w:val="OikoTables03Content"/>
              <w:spacing w:after="120" w:line="240" w:lineRule="auto"/>
              <w:rPr>
                <w:lang w:val="en-GB"/>
              </w:rPr>
            </w:pPr>
            <w:r>
              <w:rPr>
                <w:lang w:val="en-GB"/>
              </w:rPr>
              <w:t>Efficient use of water and inputs</w:t>
            </w:r>
          </w:p>
        </w:tc>
        <w:tc>
          <w:tcPr>
            <w:tcW w:w="4814" w:type="dxa"/>
          </w:tcPr>
          <w:p w14:paraId="447EB963" w14:textId="6A6F0FBC" w:rsidR="009A1D78" w:rsidRPr="00E35798" w:rsidRDefault="009A1D78" w:rsidP="00D16E24">
            <w:pPr>
              <w:pStyle w:val="OikoTables03Content"/>
              <w:spacing w:after="120" w:line="240" w:lineRule="auto"/>
              <w:rPr>
                <w:lang w:val="en-GB"/>
              </w:rPr>
            </w:pPr>
            <w:r>
              <w:rPr>
                <w:lang w:val="en-GB"/>
              </w:rPr>
              <w:t>High maintenance costs</w:t>
            </w:r>
          </w:p>
        </w:tc>
      </w:tr>
      <w:tr w:rsidR="009A1D78" w:rsidRPr="00E35798" w14:paraId="389A6D60" w14:textId="77777777" w:rsidTr="00A848C6">
        <w:tc>
          <w:tcPr>
            <w:tcW w:w="4814" w:type="dxa"/>
          </w:tcPr>
          <w:p w14:paraId="6EB59415" w14:textId="62FC3009" w:rsidR="009A1D78" w:rsidRPr="00E35798" w:rsidRDefault="009A1D78" w:rsidP="00D16E24">
            <w:pPr>
              <w:pStyle w:val="OikoTables03Content"/>
              <w:spacing w:after="120" w:line="240" w:lineRule="auto"/>
              <w:rPr>
                <w:lang w:val="en-GB"/>
              </w:rPr>
            </w:pPr>
            <w:r>
              <w:rPr>
                <w:lang w:val="en-GB"/>
              </w:rPr>
              <w:t>Effective control of pests &amp; diseases</w:t>
            </w:r>
          </w:p>
        </w:tc>
        <w:tc>
          <w:tcPr>
            <w:tcW w:w="4814" w:type="dxa"/>
          </w:tcPr>
          <w:p w14:paraId="46FED0BB" w14:textId="658CD6B8" w:rsidR="009A1D78" w:rsidRPr="00E35798" w:rsidRDefault="009A1D78" w:rsidP="00D16E24">
            <w:pPr>
              <w:pStyle w:val="OikoTables03Content"/>
              <w:spacing w:after="120" w:line="240" w:lineRule="auto"/>
              <w:rPr>
                <w:lang w:val="en-GB"/>
              </w:rPr>
            </w:pPr>
            <w:r>
              <w:rPr>
                <w:lang w:val="en-GB"/>
              </w:rPr>
              <w:t>Difficulty maintaining optimal growing conditions</w:t>
            </w:r>
          </w:p>
        </w:tc>
      </w:tr>
      <w:tr w:rsidR="009A1D78" w:rsidRPr="00E35798" w14:paraId="18F28F82" w14:textId="77777777" w:rsidTr="00A848C6">
        <w:tc>
          <w:tcPr>
            <w:tcW w:w="4814" w:type="dxa"/>
          </w:tcPr>
          <w:p w14:paraId="5F65D9A7" w14:textId="08904B0E" w:rsidR="009A1D78" w:rsidRPr="00E35798" w:rsidRDefault="009A1D78" w:rsidP="00D16E24">
            <w:pPr>
              <w:pStyle w:val="OikoTables03Content"/>
              <w:spacing w:after="120" w:line="240" w:lineRule="auto"/>
              <w:rPr>
                <w:lang w:val="en-GB"/>
              </w:rPr>
            </w:pPr>
            <w:r>
              <w:rPr>
                <w:lang w:val="en-GB"/>
              </w:rPr>
              <w:lastRenderedPageBreak/>
              <w:t>Implementation of tissue culture techniques</w:t>
            </w:r>
          </w:p>
        </w:tc>
        <w:tc>
          <w:tcPr>
            <w:tcW w:w="4814" w:type="dxa"/>
          </w:tcPr>
          <w:p w14:paraId="615BC71D" w14:textId="7DA1ACCC" w:rsidR="009A1D78" w:rsidRPr="00E35798" w:rsidRDefault="009A1D78" w:rsidP="00D16E24">
            <w:pPr>
              <w:pStyle w:val="OikoTables03Content"/>
              <w:spacing w:after="120" w:line="240" w:lineRule="auto"/>
              <w:rPr>
                <w:lang w:val="en-GB"/>
              </w:rPr>
            </w:pPr>
            <w:r>
              <w:rPr>
                <w:lang w:val="en-GB"/>
              </w:rPr>
              <w:t>Fertilizer deficiencies / excess</w:t>
            </w:r>
          </w:p>
        </w:tc>
      </w:tr>
      <w:tr w:rsidR="009A1D78" w:rsidRPr="00E35798" w14:paraId="1D1DDA81" w14:textId="77777777" w:rsidTr="00A848C6">
        <w:tc>
          <w:tcPr>
            <w:tcW w:w="4814" w:type="dxa"/>
          </w:tcPr>
          <w:p w14:paraId="3A10F13D" w14:textId="58E35FBB" w:rsidR="009A1D78" w:rsidRPr="00E35798" w:rsidRDefault="00016E8C" w:rsidP="00D16E24">
            <w:pPr>
              <w:pStyle w:val="OikoTables03Content"/>
              <w:spacing w:after="120" w:line="240" w:lineRule="auto"/>
              <w:rPr>
                <w:lang w:val="en-GB"/>
              </w:rPr>
            </w:pPr>
            <w:r>
              <w:rPr>
                <w:lang w:val="en-GB"/>
              </w:rPr>
              <w:t>Suitability for commercial nurseries and high value crops</w:t>
            </w:r>
          </w:p>
        </w:tc>
        <w:tc>
          <w:tcPr>
            <w:tcW w:w="4814" w:type="dxa"/>
          </w:tcPr>
          <w:p w14:paraId="3703854E" w14:textId="3E6F0A79" w:rsidR="009A1D78" w:rsidRPr="00E35798" w:rsidRDefault="009A1D78" w:rsidP="00D16E24">
            <w:pPr>
              <w:pStyle w:val="OikoTables03Content"/>
              <w:spacing w:after="120" w:line="240" w:lineRule="auto"/>
              <w:rPr>
                <w:lang w:val="en-GB"/>
              </w:rPr>
            </w:pPr>
            <w:r>
              <w:rPr>
                <w:lang w:val="en-GB"/>
              </w:rPr>
              <w:t>Power failures</w:t>
            </w:r>
          </w:p>
        </w:tc>
      </w:tr>
      <w:tr w:rsidR="009A1D78" w:rsidRPr="00E35798" w14:paraId="1EFAA294" w14:textId="77777777" w:rsidTr="00A848C6">
        <w:tc>
          <w:tcPr>
            <w:tcW w:w="4814" w:type="dxa"/>
          </w:tcPr>
          <w:p w14:paraId="6EE77770" w14:textId="1998F1FC" w:rsidR="009A1D78" w:rsidRPr="00E35798" w:rsidRDefault="009A1D78" w:rsidP="00D16E24">
            <w:pPr>
              <w:pStyle w:val="OikoTables03Content"/>
              <w:spacing w:after="120" w:line="240" w:lineRule="auto"/>
              <w:rPr>
                <w:lang w:val="en-GB"/>
              </w:rPr>
            </w:pPr>
            <w:r>
              <w:rPr>
                <w:lang w:val="en-GB"/>
              </w:rPr>
              <w:t xml:space="preserve">Hydroponics / </w:t>
            </w:r>
            <w:proofErr w:type="spellStart"/>
            <w:r>
              <w:rPr>
                <w:lang w:val="en-GB"/>
              </w:rPr>
              <w:t>areoponic</w:t>
            </w:r>
            <w:proofErr w:type="spellEnd"/>
            <w:r>
              <w:rPr>
                <w:lang w:val="en-GB"/>
              </w:rPr>
              <w:t xml:space="preserve"> cultivation of crops</w:t>
            </w:r>
          </w:p>
        </w:tc>
        <w:tc>
          <w:tcPr>
            <w:tcW w:w="4814" w:type="dxa"/>
          </w:tcPr>
          <w:p w14:paraId="40DDFB33" w14:textId="14EE8EBC" w:rsidR="009A1D78" w:rsidRPr="00E35798" w:rsidRDefault="009A1D78" w:rsidP="00D16E24">
            <w:pPr>
              <w:pStyle w:val="OikoTables03Content"/>
              <w:spacing w:after="120" w:line="240" w:lineRule="auto"/>
              <w:rPr>
                <w:lang w:val="en-GB"/>
              </w:rPr>
            </w:pPr>
            <w:r>
              <w:rPr>
                <w:lang w:val="en-GB"/>
              </w:rPr>
              <w:t>Susceptibility to certain pests and fungal diseases under humidity</w:t>
            </w:r>
          </w:p>
        </w:tc>
      </w:tr>
      <w:tr w:rsidR="009A1D78" w:rsidRPr="00E35798" w14:paraId="172C13FB" w14:textId="77777777" w:rsidTr="00A848C6">
        <w:tc>
          <w:tcPr>
            <w:tcW w:w="4814" w:type="dxa"/>
          </w:tcPr>
          <w:p w14:paraId="1762D4BE" w14:textId="77777777" w:rsidR="009A1D78" w:rsidRPr="00E35798" w:rsidRDefault="009A1D78" w:rsidP="00D16E24">
            <w:pPr>
              <w:pStyle w:val="OikoTables03Content"/>
              <w:spacing w:after="120" w:line="240" w:lineRule="auto"/>
              <w:rPr>
                <w:lang w:val="en-GB"/>
              </w:rPr>
            </w:pPr>
          </w:p>
        </w:tc>
        <w:tc>
          <w:tcPr>
            <w:tcW w:w="4814" w:type="dxa"/>
          </w:tcPr>
          <w:p w14:paraId="458840D5" w14:textId="7198B8B4" w:rsidR="009A1D78" w:rsidRPr="00E35798" w:rsidRDefault="009A1D78" w:rsidP="00D16E24">
            <w:pPr>
              <w:pStyle w:val="OikoTables03Content"/>
              <w:spacing w:after="120" w:line="240" w:lineRule="auto"/>
              <w:rPr>
                <w:lang w:val="en-GB"/>
              </w:rPr>
            </w:pPr>
            <w:r>
              <w:rPr>
                <w:lang w:val="en-GB"/>
              </w:rPr>
              <w:t>Tall growing tendency of the plants</w:t>
            </w:r>
          </w:p>
        </w:tc>
      </w:tr>
      <w:tr w:rsidR="009A1D78" w:rsidRPr="00E35798" w14:paraId="1345D457" w14:textId="77777777" w:rsidTr="00A848C6">
        <w:tc>
          <w:tcPr>
            <w:tcW w:w="4814" w:type="dxa"/>
          </w:tcPr>
          <w:p w14:paraId="7BA0065A" w14:textId="77777777" w:rsidR="009A1D78" w:rsidRPr="00E35798" w:rsidRDefault="009A1D78" w:rsidP="00D16E24">
            <w:pPr>
              <w:pStyle w:val="OikoTables03Content"/>
              <w:spacing w:after="120" w:line="240" w:lineRule="auto"/>
              <w:rPr>
                <w:lang w:val="en-GB"/>
              </w:rPr>
            </w:pPr>
          </w:p>
        </w:tc>
        <w:tc>
          <w:tcPr>
            <w:tcW w:w="4814" w:type="dxa"/>
          </w:tcPr>
          <w:p w14:paraId="4520B829" w14:textId="0AF2BABF" w:rsidR="009A1D78" w:rsidRPr="00E35798" w:rsidRDefault="009A1D78" w:rsidP="00D16E24">
            <w:pPr>
              <w:pStyle w:val="OikoTables03Content"/>
              <w:spacing w:after="120" w:line="240" w:lineRule="auto"/>
              <w:rPr>
                <w:lang w:val="en-GB"/>
              </w:rPr>
            </w:pPr>
            <w:r>
              <w:rPr>
                <w:lang w:val="en-GB"/>
              </w:rPr>
              <w:t>Difficulty in inter cultivation and land preparation</w:t>
            </w:r>
          </w:p>
        </w:tc>
      </w:tr>
      <w:tr w:rsidR="009A1D78" w:rsidRPr="00E35798" w14:paraId="43AE0359" w14:textId="77777777" w:rsidTr="00A848C6">
        <w:tc>
          <w:tcPr>
            <w:tcW w:w="4814" w:type="dxa"/>
          </w:tcPr>
          <w:p w14:paraId="52914D27" w14:textId="77777777" w:rsidR="009A1D78" w:rsidRPr="00E35798" w:rsidRDefault="009A1D78" w:rsidP="00D16E24">
            <w:pPr>
              <w:pStyle w:val="OikoTables03Content"/>
              <w:spacing w:after="120" w:line="240" w:lineRule="auto"/>
              <w:rPr>
                <w:lang w:val="en-GB"/>
              </w:rPr>
            </w:pPr>
          </w:p>
        </w:tc>
        <w:tc>
          <w:tcPr>
            <w:tcW w:w="4814" w:type="dxa"/>
          </w:tcPr>
          <w:p w14:paraId="2B49A790" w14:textId="1CF2E46A" w:rsidR="009A1D78" w:rsidRPr="00E35798" w:rsidRDefault="009A1D78" w:rsidP="00D16E24">
            <w:pPr>
              <w:pStyle w:val="OikoTables03Content"/>
              <w:spacing w:after="120" w:line="240" w:lineRule="auto"/>
              <w:rPr>
                <w:lang w:val="en-GB"/>
              </w:rPr>
            </w:pPr>
            <w:r>
              <w:rPr>
                <w:lang w:val="en-GB"/>
              </w:rPr>
              <w:t>Damages due to high wind gales / fire / other calamities</w:t>
            </w:r>
          </w:p>
        </w:tc>
      </w:tr>
    </w:tbl>
    <w:p w14:paraId="163E3C6E" w14:textId="77777777" w:rsidR="00603E95" w:rsidRPr="00E35798" w:rsidRDefault="00603E95" w:rsidP="00EB489E"/>
    <w:p w14:paraId="4C0FA186" w14:textId="25DC6985" w:rsidR="006E69D0" w:rsidRDefault="00B308DF" w:rsidP="00D16E24">
      <w:pPr>
        <w:pStyle w:val="Heading3"/>
        <w:spacing w:line="240" w:lineRule="auto"/>
        <w:contextualSpacing w:val="0"/>
        <w:rPr>
          <w:rFonts w:eastAsia="Times New Roman"/>
        </w:rPr>
      </w:pPr>
      <w:bookmarkStart w:id="129" w:name="_Toc233981335"/>
      <w:r>
        <w:rPr>
          <w:rFonts w:eastAsia="Times New Roman"/>
        </w:rPr>
        <w:t>Typology of greenhouse technologies</w:t>
      </w:r>
      <w:bookmarkEnd w:id="129"/>
    </w:p>
    <w:p w14:paraId="13C8CBF7" w14:textId="480E6213" w:rsidR="00016E8C" w:rsidRDefault="00016E8C" w:rsidP="00687B13">
      <w:pPr>
        <w:spacing w:before="120" w:after="120" w:line="240" w:lineRule="auto"/>
        <w:contextualSpacing w:val="0"/>
      </w:pPr>
      <w:r>
        <w:t xml:space="preserve">For this assessment, greenhouse systems are grouped along three dimensions, with emphasis placed not on geometric shape alone but on the level of protection, durability and suitability for smallholder vegetable production. By </w:t>
      </w:r>
      <w:r>
        <w:rPr>
          <w:b/>
          <w:bCs/>
        </w:rPr>
        <w:t>structural form</w:t>
      </w:r>
      <w:r>
        <w:t xml:space="preserve">, greenhouses may be tunnel/arched, gable, lean-to or multi-span; by </w:t>
      </w:r>
      <w:r>
        <w:rPr>
          <w:b/>
          <w:bCs/>
        </w:rPr>
        <w:t>covering material</w:t>
      </w:r>
      <w:r>
        <w:t xml:space="preserve">, the practical distinction is between lower-cost film-based structures (single, double or triple plastic film) and more durable rigid-panel systems, chiefly polycarbonate and glass; and by </w:t>
      </w:r>
      <w:r>
        <w:rPr>
          <w:b/>
          <w:bCs/>
        </w:rPr>
        <w:t>operating period and level of climate control</w:t>
      </w:r>
      <w:r>
        <w:t>, systems range from summer/seasonal film greenhouses, through passive three-season and earth-sheltered greenhouses, to winter greenhouses with supplementary heating and higher automation.</w:t>
      </w:r>
    </w:p>
    <w:p w14:paraId="59EBCFFC" w14:textId="77777777" w:rsidR="00687B13" w:rsidRDefault="00687B13" w:rsidP="00687B13">
      <w:pPr>
        <w:spacing w:before="120" w:after="120" w:line="240" w:lineRule="auto"/>
        <w:contextualSpacing w:val="0"/>
      </w:pPr>
      <w:r>
        <w:t>By level of technology and control, three broad classes are relevant:</w:t>
      </w:r>
    </w:p>
    <w:p w14:paraId="4696CDEA" w14:textId="77777777" w:rsidR="00687B13" w:rsidRDefault="00687B13" w:rsidP="00687B13">
      <w:pPr>
        <w:spacing w:before="120" w:after="120" w:line="240" w:lineRule="auto"/>
        <w:contextualSpacing w:val="0"/>
      </w:pPr>
      <w:r>
        <w:rPr>
          <w:b/>
          <w:bCs/>
          <w:i/>
          <w:iCs/>
        </w:rPr>
        <w:t>Low-technology systems</w:t>
      </w:r>
      <w:r>
        <w:t xml:space="preserve"> — polyethylene tunnels and film greenhouses, usually combined with drip irrigation, and passive-solar (earth-sheltered) greenhouses. These are the most common structures in the target </w:t>
      </w:r>
      <w:proofErr w:type="spellStart"/>
      <w:r>
        <w:t>aimags</w:t>
      </w:r>
      <w:proofErr w:type="spellEnd"/>
      <w:r>
        <w:t>. The passive-solar greenhouse is treated separately below because it is the pivotal design for the project.</w:t>
      </w:r>
    </w:p>
    <w:p w14:paraId="22665BE8" w14:textId="77777777" w:rsidR="00687B13" w:rsidRDefault="00687B13" w:rsidP="00687B13">
      <w:pPr>
        <w:spacing w:before="120" w:after="120" w:line="240" w:lineRule="auto"/>
        <w:contextualSpacing w:val="0"/>
      </w:pPr>
      <w:r>
        <w:rPr>
          <w:b/>
          <w:bCs/>
          <w:i/>
          <w:iCs/>
        </w:rPr>
        <w:t>Medium-technology systems</w:t>
      </w:r>
      <w:r>
        <w:t xml:space="preserve"> offer a compromise between cost and productivity: vertical walls of roughly 2–4 m, total height under about 5.5 m, single- or double-skin film or glass cladding, roof and/or side ventilation and partial automation. Production is more efficient than in the open field and can be extended with hydroponics to raise water-use efficiency.</w:t>
      </w:r>
    </w:p>
    <w:p w14:paraId="6AD54C24" w14:textId="1389906B" w:rsidR="00687B13" w:rsidRDefault="00687B13" w:rsidP="00687B13">
      <w:pPr>
        <w:spacing w:before="120" w:after="120" w:line="240" w:lineRule="auto"/>
        <w:contextualSpacing w:val="0"/>
      </w:pPr>
      <w:r>
        <w:rPr>
          <w:b/>
          <w:bCs/>
          <w:i/>
          <w:iCs/>
        </w:rPr>
        <w:t>High-technology systems (fully automated)</w:t>
      </w:r>
      <w:r>
        <w:t xml:space="preserve"> — wall heights of 4 m or more and roof peaks up to 8 m, film, polycarbonate or glass cladding, and almost fully automated environmental control. They deliver superior, resource-efficient yields but are capital-intensive and depend on a secure power supply. They are reviewed here as reference technologies only; they are not a primary option at smallholder scale because of their investment and operating requirements, and because the commercial market they serve does not yet exist in the project provinces.</w:t>
      </w:r>
    </w:p>
    <w:p w14:paraId="115F6601" w14:textId="45338B48" w:rsidR="00687B13" w:rsidRDefault="00687B13" w:rsidP="00687B13">
      <w:pPr>
        <w:pStyle w:val="Heading3"/>
        <w:spacing w:before="240" w:line="240" w:lineRule="auto"/>
        <w:contextualSpacing w:val="0"/>
        <w:rPr>
          <w:rFonts w:eastAsia="Times New Roman"/>
        </w:rPr>
      </w:pPr>
      <w:bookmarkStart w:id="130" w:name="_Toc233981336"/>
      <w:r>
        <w:rPr>
          <w:rFonts w:eastAsia="Times New Roman"/>
        </w:rPr>
        <w:t>Passive-solar and earth-sheltered greenhouses</w:t>
      </w:r>
      <w:bookmarkEnd w:id="130"/>
    </w:p>
    <w:p w14:paraId="1F761DBC" w14:textId="7E65B2B5" w:rsidR="00687B13" w:rsidRDefault="00687B13" w:rsidP="00687B13">
      <w:pPr>
        <w:spacing w:before="120" w:after="120" w:line="240" w:lineRule="auto"/>
        <w:contextualSpacing w:val="0"/>
      </w:pPr>
      <w:r>
        <w:t>Because the passive-solar greenhouse is the design best suited to Mongolia’s climate and to smallholder budgets, it warrants a dedicated description. A passive-solar (earth-sheltered, or “semi-underground”) greenhouse is built to capture and retain as much solar heat as possible so that fruit and vegetables can be grown out of season using only the energy of the sun, with little or no auxiliary heating through the winter. Three design principles work together to achieve this:</w:t>
      </w:r>
    </w:p>
    <w:p w14:paraId="456213BE" w14:textId="77777777" w:rsidR="00687B13" w:rsidRPr="00687B13" w:rsidRDefault="00687B13" w:rsidP="0085307A">
      <w:pPr>
        <w:pStyle w:val="ListBullet2"/>
      </w:pPr>
      <w:r>
        <w:rPr>
          <w:b/>
          <w:bCs/>
        </w:rPr>
        <w:t>Earth-sheltering and thermal mass.</w:t>
      </w:r>
      <w:r>
        <w:t xml:space="preserve"> The structure is partially excavated (typically 0.5–1.0 m below grade) and enclosed on the north, east and west by thick, heavy walls of rammed earth or mud-straw (0.4–0.6 m). The surrounding ground and the massive walls store daytime heat and release it slowly at night, buffering the large day–night temperature swings of the Mongolian climate. One or more water tanks (from about 3,000 L) add further thermal mass.</w:t>
      </w:r>
    </w:p>
    <w:p w14:paraId="5E9C3717" w14:textId="77777777" w:rsidR="00687B13" w:rsidRPr="00687B13" w:rsidRDefault="00687B13" w:rsidP="0085307A">
      <w:pPr>
        <w:pStyle w:val="ListBullet2"/>
      </w:pPr>
      <w:r>
        <w:rPr>
          <w:b/>
          <w:bCs/>
        </w:rPr>
        <w:t>Solar orientation and selective glazing.</w:t>
      </w:r>
      <w:r>
        <w:t xml:space="preserve"> A south-facing transparent roof of twin-wall polycarbonate or glass, pitched at 35–45°, admits low-angle winter sun, while the opaque, insulated north roof (straw and earthen plaster or rigid foam) prevents heat </w:t>
      </w:r>
      <w:r>
        <w:lastRenderedPageBreak/>
        <w:t>loss. The structure therefore behaves as a solar collector by day and an insulated store by night.</w:t>
      </w:r>
    </w:p>
    <w:p w14:paraId="29FA49BE" w14:textId="77777777" w:rsidR="00687B13" w:rsidRPr="00687B13" w:rsidRDefault="00687B13" w:rsidP="0085307A">
      <w:pPr>
        <w:pStyle w:val="ListBullet2"/>
      </w:pPr>
      <w:r>
        <w:rPr>
          <w:b/>
          <w:bCs/>
        </w:rPr>
        <w:t>Low external energy demand.</w:t>
      </w:r>
      <w:r>
        <w:t xml:space="preserve"> Because heat is captured and retained passively, a well-built earth-sheltered greenhouse needs no fossil-fuel heating for most of the year. GERES-verified designs maintain an interior temperature of about +12 °C when the outside air is −15 °</w:t>
      </w:r>
      <w:proofErr w:type="gramStart"/>
      <w:r>
        <w:t>C, and</w:t>
      </w:r>
      <w:proofErr w:type="gramEnd"/>
      <w:r>
        <w:t xml:space="preserve"> operate without heating from roughly February to November — a decisive advantage in a country with 2,600–2,800 sunshine hours a year but severe winters.</w:t>
      </w:r>
    </w:p>
    <w:p w14:paraId="2A749755" w14:textId="77777777" w:rsidR="00687B13" w:rsidRDefault="00687B13" w:rsidP="00687B13">
      <w:pPr>
        <w:spacing w:before="120" w:after="120" w:line="240" w:lineRule="auto"/>
        <w:contextualSpacing w:val="0"/>
      </w:pPr>
      <w:r>
        <w:t>These features make the passive-solar greenhouse particularly suited to cold, sunny, resource-constrained settings: it uses locally available materials, has a long service life (15–20 years or more for the structure), and delivers season extension of two to four months at a capital cost far below that of heated or automated systems.</w:t>
      </w:r>
    </w:p>
    <w:p w14:paraId="1E85BC06" w14:textId="6B720595" w:rsidR="00687B13" w:rsidRDefault="00687B13" w:rsidP="00687B13">
      <w:pPr>
        <w:spacing w:before="120" w:after="120" w:line="240" w:lineRule="auto"/>
        <w:contextualSpacing w:val="0"/>
      </w:pPr>
      <w:r>
        <w:t>Two generations are relevant in the target provinces. The first-generation earth-sheltered greenhouses, introduced by international NGOs such as GERES and World Vision some 7–15 years ago, remain fully functional thanks to sturdy walls and robust timber frames, but their proportions generally allow only a single harvest. The improved second- and third-generation designs are taller, wider and better insulated; they withstand strong winds and frost better and, with careful management and at most a simple supplemental heating element, allow two harvests per season. Replacing or supplementing first-generation structures with these improved designs is a central recommendation of this assessment.</w:t>
      </w:r>
    </w:p>
    <w:p w14:paraId="6B9AF729" w14:textId="7293794A" w:rsidR="2E9E82E6" w:rsidRDefault="6C75DCE0" w:rsidP="00687B13">
      <w:pPr>
        <w:pStyle w:val="Heading3"/>
        <w:spacing w:before="240"/>
        <w:rPr>
          <w:lang w:val="en-US"/>
        </w:rPr>
      </w:pPr>
      <w:bookmarkStart w:id="131" w:name="_Toc233981337"/>
      <w:r>
        <w:rPr>
          <w:lang w:val="en-US"/>
        </w:rPr>
        <w:t>Greenhouses found in the project regions</w:t>
      </w:r>
      <w:bookmarkEnd w:id="131"/>
    </w:p>
    <w:p w14:paraId="0F3F8FC1" w14:textId="4C2F853B" w:rsidR="00687B13" w:rsidRDefault="00687B13" w:rsidP="00EB489E">
      <w:r>
        <w:t xml:space="preserve">The field mission confirmed that most greenhouses in use in the two </w:t>
      </w:r>
      <w:proofErr w:type="spellStart"/>
      <w:r>
        <w:t>aimags</w:t>
      </w:r>
      <w:proofErr w:type="spellEnd"/>
      <w:r>
        <w:t xml:space="preserve"> are summer greenhouses, predominantly simple arch or tunnel structures (also flat-arch and sawtooth shapes). These are frequently insufficient to turn a profit from a single harvest. The shape matters less than the covering: two or three layers of film, rather than one, materially improve heat retention and season length. A small number of first-generation earth-sheltered passive-solar greenhouses are also present and remain serviceable. The mission additionally visited a 60 m² hydroponic greenhouse and an unfinished mushroom cellar with a fine-mist system, and — outside the target regions, in Darkhan — a high-value heated commercial greenhouse, included only as a reference point.</w:t>
      </w:r>
    </w:p>
    <w:p w14:paraId="5E57827B" w14:textId="77777777" w:rsidR="005825F0" w:rsidRDefault="005825F0" w:rsidP="00EB489E"/>
    <w:p w14:paraId="3782C7E8" w14:textId="0A815C16" w:rsidR="2977CD6D" w:rsidRDefault="71179117" w:rsidP="00EA5888">
      <w:pPr>
        <w:pStyle w:val="Caption"/>
        <w:framePr w:wrap="notBeside"/>
        <w:rPr>
          <w:rFonts w:eastAsia="Times New Roman" w:cs="Times New Roman"/>
          <w:b/>
          <w:bCs/>
          <w:color w:val="000000"/>
          <w:sz w:val="24"/>
          <w:szCs w:val="24"/>
          <w:lang w:val="en-US"/>
        </w:rPr>
      </w:pPr>
      <w:r w:rsidRPr="00675FC8">
        <w:rPr>
          <w:rFonts w:eastAsia="Times New Roman" w:cs="Times New Roman"/>
          <w:b/>
          <w:bCs/>
          <w:color w:val="000000"/>
          <w:sz w:val="24"/>
          <w:szCs w:val="24"/>
        </w:rPr>
        <w:t>(</w:t>
      </w:r>
      <w:proofErr w:type="spellStart"/>
      <w:r w:rsidRPr="00675FC8">
        <w:rPr>
          <w:rFonts w:eastAsia="Times New Roman" w:cs="Times New Roman"/>
          <w:b/>
          <w:bCs/>
          <w:color w:val="000000"/>
          <w:sz w:val="24"/>
          <w:szCs w:val="24"/>
        </w:rPr>
        <w:t>i</w:t>
      </w:r>
      <w:proofErr w:type="spellEnd"/>
      <w:r w:rsidRPr="00675FC8">
        <w:rPr>
          <w:rFonts w:eastAsia="Times New Roman" w:cs="Times New Roman"/>
          <w:b/>
          <w:bCs/>
          <w:color w:val="000000"/>
          <w:sz w:val="24"/>
          <w:szCs w:val="24"/>
        </w:rPr>
        <w:t>) Earth-sheltered passive solar greenhouse (first generation about 15 years old)</w:t>
      </w:r>
      <w:r w:rsidR="00EA5888" w:rsidRPr="00EA5888">
        <w:t xml:space="preserve"> (</w:t>
      </w:r>
      <w:r w:rsidR="00EA5888">
        <w:t xml:space="preserve">Figure </w:t>
      </w:r>
      <w:r w:rsidR="00EA5888">
        <w:fldChar w:fldCharType="begin"/>
      </w:r>
      <w:r w:rsidR="00EA5888">
        <w:instrText xml:space="preserve"> SEQ Figure \* ARABIC </w:instrText>
      </w:r>
      <w:r w:rsidR="00EA5888">
        <w:fldChar w:fldCharType="separate"/>
      </w:r>
      <w:r w:rsidR="004171B1">
        <w:rPr>
          <w:noProof/>
        </w:rPr>
        <w:t>8</w:t>
      </w:r>
      <w:r w:rsidR="00EA5888">
        <w:fldChar w:fldCharType="end"/>
      </w:r>
      <w:r w:rsidR="00EA588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800"/>
        <w:gridCol w:w="4800"/>
      </w:tblGrid>
      <w:tr w:rsidR="77ECE7DA" w14:paraId="0C55A223" w14:textId="77777777" w:rsidTr="000E6D59">
        <w:trPr>
          <w:trHeight w:val="3060"/>
        </w:trPr>
        <w:tc>
          <w:tcPr>
            <w:tcW w:w="4800" w:type="dxa"/>
            <w:tcMar>
              <w:left w:w="105" w:type="dxa"/>
              <w:right w:w="105" w:type="dxa"/>
            </w:tcMar>
          </w:tcPr>
          <w:p w14:paraId="6BFF9229" w14:textId="6A0E922F" w:rsidR="77ECE7DA" w:rsidRDefault="77ECE7DA" w:rsidP="00EB489E">
            <w:pPr>
              <w:rPr>
                <w:rFonts w:eastAsia="Times New Roman" w:cs="Times New Roman"/>
                <w:sz w:val="24"/>
                <w:szCs w:val="24"/>
              </w:rPr>
            </w:pPr>
            <w:r>
              <w:rPr>
                <w:noProof/>
              </w:rPr>
              <w:drawing>
                <wp:anchor distT="0" distB="0" distL="114300" distR="114300" simplePos="0" relativeHeight="251658246" behindDoc="0" locked="0" layoutInCell="1" allowOverlap="1" wp14:anchorId="691679D7" wp14:editId="24628A5B">
                  <wp:simplePos x="0" y="0"/>
                  <wp:positionH relativeFrom="column">
                    <wp:posOffset>-1905</wp:posOffset>
                  </wp:positionH>
                  <wp:positionV relativeFrom="paragraph">
                    <wp:posOffset>0</wp:posOffset>
                  </wp:positionV>
                  <wp:extent cx="2552700" cy="1828800"/>
                  <wp:effectExtent l="0" t="0" r="0" b="0"/>
                  <wp:wrapTopAndBottom/>
                  <wp:docPr id="13674275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65860" name="Picture 1217365860"/>
                          <pic:cNvPicPr/>
                        </pic:nvPicPr>
                        <pic:blipFill>
                          <a:blip r:embed="rId28">
                            <a:extLst>
                              <a:ext uri="{28A0092B-C50C-407E-A947-70E740481C1C}">
                                <a14:useLocalDpi xmlns:a14="http://schemas.microsoft.com/office/drawing/2010/main" val="0"/>
                              </a:ext>
                            </a:extLst>
                          </a:blip>
                          <a:stretch>
                            <a:fillRect/>
                          </a:stretch>
                        </pic:blipFill>
                        <pic:spPr>
                          <a:xfrm>
                            <a:off x="0" y="0"/>
                            <a:ext cx="2552700" cy="1828800"/>
                          </a:xfrm>
                          <a:prstGeom prst="rect">
                            <a:avLst/>
                          </a:prstGeom>
                        </pic:spPr>
                      </pic:pic>
                    </a:graphicData>
                  </a:graphic>
                </wp:anchor>
              </w:drawing>
            </w:r>
          </w:p>
        </w:tc>
        <w:tc>
          <w:tcPr>
            <w:tcW w:w="4800" w:type="dxa"/>
            <w:tcMar>
              <w:left w:w="105" w:type="dxa"/>
              <w:right w:w="105" w:type="dxa"/>
            </w:tcMar>
          </w:tcPr>
          <w:p w14:paraId="7C4FD873" w14:textId="2C7DE818" w:rsidR="77ECE7DA" w:rsidRDefault="77ECE7DA" w:rsidP="00EB489E">
            <w:pPr>
              <w:rPr>
                <w:rFonts w:eastAsia="Times New Roman" w:cs="Times New Roman"/>
                <w:sz w:val="24"/>
                <w:szCs w:val="24"/>
              </w:rPr>
            </w:pPr>
            <w:r>
              <w:rPr>
                <w:noProof/>
              </w:rPr>
              <w:drawing>
                <wp:anchor distT="0" distB="0" distL="114300" distR="114300" simplePos="0" relativeHeight="251658247" behindDoc="0" locked="0" layoutInCell="1" allowOverlap="1" wp14:anchorId="032D92E9" wp14:editId="02A8D752">
                  <wp:simplePos x="0" y="0"/>
                  <wp:positionH relativeFrom="column">
                    <wp:posOffset>-1905</wp:posOffset>
                  </wp:positionH>
                  <wp:positionV relativeFrom="paragraph">
                    <wp:posOffset>0</wp:posOffset>
                  </wp:positionV>
                  <wp:extent cx="2628900" cy="1828800"/>
                  <wp:effectExtent l="0" t="0" r="0" b="0"/>
                  <wp:wrapTopAndBottom/>
                  <wp:docPr id="2236306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27229" name="Picture 1358327229"/>
                          <pic:cNvPicPr/>
                        </pic:nvPicPr>
                        <pic:blipFill>
                          <a:blip r:embed="rId29">
                            <a:extLst>
                              <a:ext uri="{28A0092B-C50C-407E-A947-70E740481C1C}">
                                <a14:useLocalDpi xmlns:a14="http://schemas.microsoft.com/office/drawing/2010/main" val="0"/>
                              </a:ext>
                            </a:extLst>
                          </a:blip>
                          <a:stretch>
                            <a:fillRect/>
                          </a:stretch>
                        </pic:blipFill>
                        <pic:spPr>
                          <a:xfrm>
                            <a:off x="0" y="0"/>
                            <a:ext cx="2628900" cy="1828800"/>
                          </a:xfrm>
                          <a:prstGeom prst="rect">
                            <a:avLst/>
                          </a:prstGeom>
                        </pic:spPr>
                      </pic:pic>
                    </a:graphicData>
                  </a:graphic>
                </wp:anchor>
              </w:drawing>
            </w:r>
          </w:p>
        </w:tc>
      </w:tr>
      <w:tr w:rsidR="77ECE7DA" w14:paraId="25507F00" w14:textId="77777777" w:rsidTr="000E6D59">
        <w:trPr>
          <w:trHeight w:val="285"/>
        </w:trPr>
        <w:tc>
          <w:tcPr>
            <w:tcW w:w="9600" w:type="dxa"/>
            <w:gridSpan w:val="2"/>
            <w:tcMar>
              <w:left w:w="105" w:type="dxa"/>
              <w:right w:w="105" w:type="dxa"/>
            </w:tcMar>
          </w:tcPr>
          <w:p w14:paraId="69FD85DA" w14:textId="59B84198" w:rsidR="77ECE7DA" w:rsidRDefault="77ECE7DA" w:rsidP="00AE7A57">
            <w:pPr>
              <w:rPr>
                <w:sz w:val="24"/>
                <w:szCs w:val="24"/>
              </w:rPr>
            </w:pPr>
            <w:r>
              <w:rPr>
                <w:lang w:val="en-US"/>
              </w:rPr>
              <w:t>Thanks to the sturdy walls and robust wooden framework, the passive greenhouses—originally built 7 to 15 years ago—remain fully functional, with the exception of the plastic sheeting, which has been replaced every 3–5 years. Additionally, the size of the greenhouses has increased to at least 60 m², up from the original approximately 30 m².</w:t>
            </w:r>
          </w:p>
        </w:tc>
      </w:tr>
      <w:tr w:rsidR="77ECE7DA" w14:paraId="145A66ED" w14:textId="77777777" w:rsidTr="000E6D59">
        <w:trPr>
          <w:trHeight w:val="2730"/>
        </w:trPr>
        <w:tc>
          <w:tcPr>
            <w:tcW w:w="4800" w:type="dxa"/>
            <w:tcMar>
              <w:left w:w="105" w:type="dxa"/>
              <w:right w:w="105" w:type="dxa"/>
            </w:tcMar>
          </w:tcPr>
          <w:p w14:paraId="72409C4F" w14:textId="53FC2C51" w:rsidR="77ECE7DA" w:rsidRDefault="77ECE7DA" w:rsidP="00EB489E">
            <w:pPr>
              <w:rPr>
                <w:rFonts w:eastAsia="Times New Roman" w:cs="Times New Roman"/>
                <w:sz w:val="24"/>
                <w:szCs w:val="24"/>
              </w:rPr>
            </w:pPr>
            <w:r>
              <w:rPr>
                <w:noProof/>
              </w:rPr>
              <w:lastRenderedPageBreak/>
              <w:drawing>
                <wp:anchor distT="0" distB="0" distL="114300" distR="114300" simplePos="0" relativeHeight="251658248" behindDoc="0" locked="0" layoutInCell="1" allowOverlap="1" wp14:anchorId="752E1AB0" wp14:editId="18FE17FD">
                  <wp:simplePos x="0" y="0"/>
                  <wp:positionH relativeFrom="column">
                    <wp:posOffset>-1905</wp:posOffset>
                  </wp:positionH>
                  <wp:positionV relativeFrom="paragraph">
                    <wp:posOffset>0</wp:posOffset>
                  </wp:positionV>
                  <wp:extent cx="2628900" cy="1609725"/>
                  <wp:effectExtent l="0" t="0" r="0" b="9525"/>
                  <wp:wrapSquare wrapText="bothSides"/>
                  <wp:docPr id="9548715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63789" name="Picture 1650663789"/>
                          <pic:cNvPicPr/>
                        </pic:nvPicPr>
                        <pic:blipFill>
                          <a:blip r:embed="rId30">
                            <a:extLst>
                              <a:ext uri="{28A0092B-C50C-407E-A947-70E740481C1C}">
                                <a14:useLocalDpi xmlns:a14="http://schemas.microsoft.com/office/drawing/2010/main" val="0"/>
                              </a:ext>
                            </a:extLst>
                          </a:blip>
                          <a:stretch>
                            <a:fillRect/>
                          </a:stretch>
                        </pic:blipFill>
                        <pic:spPr>
                          <a:xfrm>
                            <a:off x="0" y="0"/>
                            <a:ext cx="2628900" cy="1609725"/>
                          </a:xfrm>
                          <a:prstGeom prst="rect">
                            <a:avLst/>
                          </a:prstGeom>
                        </pic:spPr>
                      </pic:pic>
                    </a:graphicData>
                  </a:graphic>
                </wp:anchor>
              </w:drawing>
            </w:r>
          </w:p>
        </w:tc>
        <w:tc>
          <w:tcPr>
            <w:tcW w:w="4800" w:type="dxa"/>
            <w:tcMar>
              <w:left w:w="105" w:type="dxa"/>
              <w:right w:w="105" w:type="dxa"/>
            </w:tcMar>
          </w:tcPr>
          <w:p w14:paraId="33169E0D" w14:textId="70914728" w:rsidR="77ECE7DA" w:rsidRDefault="77ECE7DA" w:rsidP="00EB489E">
            <w:pPr>
              <w:rPr>
                <w:rFonts w:eastAsia="Times New Roman" w:cs="Times New Roman"/>
                <w:sz w:val="24"/>
                <w:szCs w:val="24"/>
              </w:rPr>
            </w:pPr>
            <w:r>
              <w:rPr>
                <w:noProof/>
              </w:rPr>
              <w:drawing>
                <wp:anchor distT="0" distB="0" distL="114300" distR="114300" simplePos="0" relativeHeight="251658249" behindDoc="0" locked="0" layoutInCell="1" allowOverlap="1" wp14:anchorId="0D4E1BA7" wp14:editId="3B434AD6">
                  <wp:simplePos x="0" y="0"/>
                  <wp:positionH relativeFrom="column">
                    <wp:posOffset>-1905</wp:posOffset>
                  </wp:positionH>
                  <wp:positionV relativeFrom="paragraph">
                    <wp:posOffset>0</wp:posOffset>
                  </wp:positionV>
                  <wp:extent cx="2628900" cy="1628775"/>
                  <wp:effectExtent l="0" t="0" r="0" b="9525"/>
                  <wp:wrapTopAndBottom/>
                  <wp:docPr id="17006477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08351" name="Picture 1753108351"/>
                          <pic:cNvPicPr/>
                        </pic:nvPicPr>
                        <pic:blipFill>
                          <a:blip r:embed="rId31">
                            <a:extLst>
                              <a:ext uri="{28A0092B-C50C-407E-A947-70E740481C1C}">
                                <a14:useLocalDpi xmlns:a14="http://schemas.microsoft.com/office/drawing/2010/main" val="0"/>
                              </a:ext>
                            </a:extLst>
                          </a:blip>
                          <a:stretch>
                            <a:fillRect/>
                          </a:stretch>
                        </pic:blipFill>
                        <pic:spPr>
                          <a:xfrm>
                            <a:off x="0" y="0"/>
                            <a:ext cx="2628900" cy="1628775"/>
                          </a:xfrm>
                          <a:prstGeom prst="rect">
                            <a:avLst/>
                          </a:prstGeom>
                        </pic:spPr>
                      </pic:pic>
                    </a:graphicData>
                  </a:graphic>
                </wp:anchor>
              </w:drawing>
            </w:r>
          </w:p>
        </w:tc>
      </w:tr>
      <w:tr w:rsidR="00EA5888" w14:paraId="0BD23FE8" w14:textId="77777777" w:rsidTr="00EA5888">
        <w:trPr>
          <w:trHeight w:val="449"/>
        </w:trPr>
        <w:tc>
          <w:tcPr>
            <w:tcW w:w="9600" w:type="dxa"/>
            <w:gridSpan w:val="2"/>
            <w:tcMar>
              <w:left w:w="105" w:type="dxa"/>
              <w:right w:w="105" w:type="dxa"/>
            </w:tcMar>
          </w:tcPr>
          <w:p w14:paraId="6B5A8CA3" w14:textId="65351AF5" w:rsidR="00EA5888" w:rsidRPr="003D75F9" w:rsidRDefault="00EA5888" w:rsidP="00EB489E">
            <w:pPr>
              <w:rPr>
                <w:i/>
                <w:iCs/>
                <w:noProof/>
              </w:rPr>
            </w:pPr>
            <w:r w:rsidRPr="003D75F9">
              <w:rPr>
                <w:i/>
                <w:iCs/>
                <w:noProof/>
              </w:rPr>
              <w:t>Source: Expert contribution to the CTCN Mongolia feasibility study, 2026</w:t>
            </w:r>
          </w:p>
        </w:tc>
      </w:tr>
    </w:tbl>
    <w:p w14:paraId="3120165A" w14:textId="47828A37" w:rsidR="77ECE7DA" w:rsidRDefault="77ECE7DA" w:rsidP="00D16E24">
      <w:pPr>
        <w:spacing w:after="120" w:line="240" w:lineRule="auto"/>
        <w:contextualSpacing w:val="0"/>
        <w:rPr>
          <w:rFonts w:eastAsia="Times New Roman" w:cs="Times New Roman"/>
          <w:color w:val="000000"/>
          <w:sz w:val="24"/>
          <w:szCs w:val="24"/>
          <w:lang w:val="de-DE"/>
        </w:rPr>
      </w:pPr>
    </w:p>
    <w:p w14:paraId="494BD60D" w14:textId="50E2872C" w:rsidR="05C4B360" w:rsidRDefault="00687B13" w:rsidP="00EA5888">
      <w:pPr>
        <w:pStyle w:val="Caption"/>
        <w:framePr w:wrap="notBeside"/>
        <w:rPr>
          <w:b/>
          <w:bCs/>
        </w:rPr>
      </w:pPr>
      <w:r w:rsidRPr="00675FC8">
        <w:rPr>
          <w:rFonts w:eastAsia="Times New Roman" w:cs="Times New Roman"/>
          <w:b/>
          <w:bCs/>
          <w:color w:val="000000"/>
          <w:sz w:val="24"/>
          <w:szCs w:val="24"/>
        </w:rPr>
        <w:t xml:space="preserve">(ii) Summer greenhouses type found in the target </w:t>
      </w:r>
      <w:proofErr w:type="spellStart"/>
      <w:r w:rsidRPr="00675FC8">
        <w:rPr>
          <w:rFonts w:eastAsia="Times New Roman" w:cs="Times New Roman"/>
          <w:b/>
          <w:bCs/>
          <w:color w:val="000000"/>
          <w:sz w:val="24"/>
          <w:szCs w:val="24"/>
        </w:rPr>
        <w:t>aimags</w:t>
      </w:r>
      <w:proofErr w:type="spellEnd"/>
      <w:r w:rsidRPr="00675FC8">
        <w:rPr>
          <w:rFonts w:eastAsia="Times New Roman" w:cs="Times New Roman"/>
          <w:b/>
          <w:bCs/>
          <w:color w:val="000000"/>
          <w:sz w:val="24"/>
          <w:szCs w:val="24"/>
        </w:rPr>
        <w:t xml:space="preserve">, mainly arch </w:t>
      </w:r>
      <w:proofErr w:type="gramStart"/>
      <w:r w:rsidRPr="00675FC8">
        <w:rPr>
          <w:rFonts w:eastAsia="Times New Roman" w:cs="Times New Roman"/>
          <w:b/>
          <w:bCs/>
          <w:color w:val="000000"/>
          <w:sz w:val="24"/>
          <w:szCs w:val="24"/>
        </w:rPr>
        <w:t>type</w:t>
      </w:r>
      <w:r w:rsidR="00EA5888" w:rsidRPr="007A4627">
        <w:t xml:space="preserve">  (</w:t>
      </w:r>
      <w:proofErr w:type="gramEnd"/>
      <w:r w:rsidR="00EA5888" w:rsidRPr="007A4627">
        <w:t>Figures</w:t>
      </w:r>
      <w:r w:rsidR="00EA5888">
        <w:t xml:space="preserve"> </w:t>
      </w:r>
      <w:r w:rsidR="00EA5888">
        <w:fldChar w:fldCharType="begin"/>
      </w:r>
      <w:r w:rsidR="00EA5888">
        <w:instrText xml:space="preserve"> SEQ Figure \* ARABIC </w:instrText>
      </w:r>
      <w:r w:rsidR="00EA5888">
        <w:fldChar w:fldCharType="separate"/>
      </w:r>
      <w:r w:rsidR="004171B1">
        <w:rPr>
          <w:noProof/>
        </w:rPr>
        <w:t>9</w:t>
      </w:r>
      <w:r w:rsidR="00EA5888">
        <w:fldChar w:fldCharType="end"/>
      </w:r>
      <w:r w:rsidR="00EA5888">
        <w:t>)</w:t>
      </w:r>
    </w:p>
    <w:tbl>
      <w:tblPr>
        <w:tblStyle w:val="TableGrid"/>
        <w:tblW w:w="96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A0" w:firstRow="1" w:lastRow="0" w:firstColumn="1" w:lastColumn="0" w:noHBand="1" w:noVBand="1"/>
      </w:tblPr>
      <w:tblGrid>
        <w:gridCol w:w="4801"/>
        <w:gridCol w:w="664"/>
        <w:gridCol w:w="4113"/>
        <w:gridCol w:w="60"/>
      </w:tblGrid>
      <w:tr w:rsidR="77ECE7DA" w14:paraId="0912AC2D" w14:textId="77777777" w:rsidTr="003D75F9">
        <w:trPr>
          <w:trHeight w:val="3000"/>
        </w:trPr>
        <w:tc>
          <w:tcPr>
            <w:tcW w:w="5556" w:type="dxa"/>
            <w:gridSpan w:val="2"/>
            <w:tcMar>
              <w:left w:w="105" w:type="dxa"/>
              <w:right w:w="105" w:type="dxa"/>
            </w:tcMar>
          </w:tcPr>
          <w:p w14:paraId="7DB580D9" w14:textId="5CB881F1" w:rsidR="20C857FA" w:rsidRDefault="00946F0D" w:rsidP="00EB489E">
            <w:pPr>
              <w:rPr>
                <w:rFonts w:eastAsia="Times New Roman" w:cs="Times New Roman"/>
                <w:sz w:val="24"/>
                <w:szCs w:val="24"/>
              </w:rPr>
            </w:pPr>
            <w:r>
              <w:rPr>
                <w:noProof/>
              </w:rPr>
              <w:drawing>
                <wp:anchor distT="0" distB="0" distL="114300" distR="114300" simplePos="0" relativeHeight="251658252" behindDoc="0" locked="0" layoutInCell="1" allowOverlap="1" wp14:anchorId="6CAF643A" wp14:editId="74CCE0FE">
                  <wp:simplePos x="0" y="0"/>
                  <wp:positionH relativeFrom="column">
                    <wp:posOffset>-66675</wp:posOffset>
                  </wp:positionH>
                  <wp:positionV relativeFrom="paragraph">
                    <wp:posOffset>76200</wp:posOffset>
                  </wp:positionV>
                  <wp:extent cx="3705225" cy="1543050"/>
                  <wp:effectExtent l="0" t="0" r="9525" b="0"/>
                  <wp:wrapTopAndBottom/>
                  <wp:docPr id="3271804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80443" name="Picture 327180443"/>
                          <pic:cNvPicPr/>
                        </pic:nvPicPr>
                        <pic:blipFill>
                          <a:blip r:embed="rId32">
                            <a:extLst>
                              <a:ext uri="{28A0092B-C50C-407E-A947-70E740481C1C}">
                                <a14:useLocalDpi xmlns:a14="http://schemas.microsoft.com/office/drawing/2010/main" val="0"/>
                              </a:ext>
                            </a:extLst>
                          </a:blip>
                          <a:stretch>
                            <a:fillRect/>
                          </a:stretch>
                        </pic:blipFill>
                        <pic:spPr>
                          <a:xfrm>
                            <a:off x="0" y="0"/>
                            <a:ext cx="3705225" cy="1543050"/>
                          </a:xfrm>
                          <a:prstGeom prst="rect">
                            <a:avLst/>
                          </a:prstGeom>
                        </pic:spPr>
                      </pic:pic>
                    </a:graphicData>
                  </a:graphic>
                </wp:anchor>
              </w:drawing>
            </w:r>
          </w:p>
        </w:tc>
        <w:tc>
          <w:tcPr>
            <w:tcW w:w="4082" w:type="dxa"/>
            <w:gridSpan w:val="2"/>
            <w:tcMar>
              <w:left w:w="105" w:type="dxa"/>
              <w:right w:w="105" w:type="dxa"/>
            </w:tcMar>
          </w:tcPr>
          <w:p w14:paraId="6EBB4FEA" w14:textId="0081EFD7" w:rsidR="20C857FA" w:rsidRDefault="6D65C09F" w:rsidP="00EB489E">
            <w:pPr>
              <w:rPr>
                <w:rFonts w:eastAsia="Times New Roman" w:cs="Times New Roman"/>
                <w:sz w:val="24"/>
                <w:szCs w:val="24"/>
              </w:rPr>
            </w:pPr>
            <w:r>
              <w:rPr>
                <w:noProof/>
              </w:rPr>
              <w:drawing>
                <wp:anchor distT="0" distB="0" distL="114300" distR="114300" simplePos="0" relativeHeight="251658251" behindDoc="0" locked="0" layoutInCell="1" allowOverlap="1" wp14:anchorId="3A6A2931" wp14:editId="7D27ADC6">
                  <wp:simplePos x="0" y="0"/>
                  <wp:positionH relativeFrom="column">
                    <wp:posOffset>-1905</wp:posOffset>
                  </wp:positionH>
                  <wp:positionV relativeFrom="paragraph">
                    <wp:posOffset>0</wp:posOffset>
                  </wp:positionV>
                  <wp:extent cx="2663952" cy="1684175"/>
                  <wp:effectExtent l="0" t="0" r="3175" b="0"/>
                  <wp:wrapTopAndBottom/>
                  <wp:docPr id="7207091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09149" name="Picture 720709149"/>
                          <pic:cNvPicPr/>
                        </pic:nvPicPr>
                        <pic:blipFill>
                          <a:blip r:embed="rId33">
                            <a:extLst>
                              <a:ext uri="{28A0092B-C50C-407E-A947-70E740481C1C}">
                                <a14:useLocalDpi xmlns:a14="http://schemas.microsoft.com/office/drawing/2010/main" val="0"/>
                              </a:ext>
                            </a:extLst>
                          </a:blip>
                          <a:stretch>
                            <a:fillRect/>
                          </a:stretch>
                        </pic:blipFill>
                        <pic:spPr>
                          <a:xfrm>
                            <a:off x="0" y="0"/>
                            <a:ext cx="2663952" cy="1684175"/>
                          </a:xfrm>
                          <a:prstGeom prst="rect">
                            <a:avLst/>
                          </a:prstGeom>
                        </pic:spPr>
                      </pic:pic>
                    </a:graphicData>
                  </a:graphic>
                </wp:anchor>
              </w:drawing>
            </w:r>
          </w:p>
        </w:tc>
      </w:tr>
      <w:tr w:rsidR="77ECE7DA" w14:paraId="7F46A4FD" w14:textId="77777777" w:rsidTr="00AE7A57">
        <w:trPr>
          <w:trHeight w:val="285"/>
        </w:trPr>
        <w:tc>
          <w:tcPr>
            <w:tcW w:w="9638" w:type="dxa"/>
            <w:gridSpan w:val="4"/>
            <w:tcMar>
              <w:left w:w="105" w:type="dxa"/>
              <w:right w:w="105" w:type="dxa"/>
            </w:tcMar>
          </w:tcPr>
          <w:p w14:paraId="6397C3BD" w14:textId="77777777" w:rsidR="77ECE7DA" w:rsidRDefault="21464EC3" w:rsidP="00EB489E">
            <w:pPr>
              <w:rPr>
                <w:lang w:val="en-US"/>
              </w:rPr>
            </w:pPr>
            <w:r>
              <w:rPr>
                <w:lang w:val="en-US"/>
              </w:rPr>
              <w:t>The majority of the greenhouses used are so-called summer greenhouses, these are often insufficient for making a profit from a single harvest.</w:t>
            </w:r>
          </w:p>
          <w:p w14:paraId="6E0540E9" w14:textId="17EE7BAA" w:rsidR="00EA5888" w:rsidRPr="00EA5888" w:rsidRDefault="00EA5888" w:rsidP="00EB489E">
            <w:pPr>
              <w:rPr>
                <w:i/>
                <w:iCs/>
                <w:sz w:val="24"/>
                <w:szCs w:val="24"/>
              </w:rPr>
            </w:pPr>
          </w:p>
        </w:tc>
      </w:tr>
      <w:tr w:rsidR="77ECE7DA" w14:paraId="5F8F5429" w14:textId="77777777" w:rsidTr="003D75F9">
        <w:trPr>
          <w:trHeight w:val="4290"/>
        </w:trPr>
        <w:tc>
          <w:tcPr>
            <w:tcW w:w="5556" w:type="dxa"/>
            <w:gridSpan w:val="2"/>
            <w:tcMar>
              <w:left w:w="105" w:type="dxa"/>
              <w:right w:w="105" w:type="dxa"/>
            </w:tcMar>
          </w:tcPr>
          <w:p w14:paraId="6F858850" w14:textId="627ACA09" w:rsidR="20C857FA" w:rsidRDefault="20C857FA" w:rsidP="00EB489E">
            <w:pPr>
              <w:rPr>
                <w:rFonts w:eastAsia="Times New Roman" w:cs="Times New Roman"/>
                <w:sz w:val="24"/>
                <w:szCs w:val="24"/>
              </w:rPr>
            </w:pPr>
            <w:r>
              <w:rPr>
                <w:noProof/>
              </w:rPr>
              <w:drawing>
                <wp:anchor distT="0" distB="0" distL="114300" distR="114300" simplePos="0" relativeHeight="251658253" behindDoc="0" locked="0" layoutInCell="1" allowOverlap="1" wp14:anchorId="705A8FA5" wp14:editId="3C67568C">
                  <wp:simplePos x="0" y="0"/>
                  <wp:positionH relativeFrom="column">
                    <wp:posOffset>-1905</wp:posOffset>
                  </wp:positionH>
                  <wp:positionV relativeFrom="paragraph">
                    <wp:posOffset>0</wp:posOffset>
                  </wp:positionV>
                  <wp:extent cx="2095500" cy="2714625"/>
                  <wp:effectExtent l="0" t="0" r="0" b="9525"/>
                  <wp:wrapTopAndBottom/>
                  <wp:docPr id="9496593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59321" name="Picture 949659321"/>
                          <pic:cNvPicPr/>
                        </pic:nvPicPr>
                        <pic:blipFill>
                          <a:blip r:embed="rId34">
                            <a:extLst>
                              <a:ext uri="{28A0092B-C50C-407E-A947-70E740481C1C}">
                                <a14:useLocalDpi xmlns:a14="http://schemas.microsoft.com/office/drawing/2010/main" val="0"/>
                              </a:ext>
                            </a:extLst>
                          </a:blip>
                          <a:stretch>
                            <a:fillRect/>
                          </a:stretch>
                        </pic:blipFill>
                        <pic:spPr>
                          <a:xfrm>
                            <a:off x="0" y="0"/>
                            <a:ext cx="2095500" cy="2714625"/>
                          </a:xfrm>
                          <a:prstGeom prst="rect">
                            <a:avLst/>
                          </a:prstGeom>
                        </pic:spPr>
                      </pic:pic>
                    </a:graphicData>
                  </a:graphic>
                </wp:anchor>
              </w:drawing>
            </w:r>
          </w:p>
        </w:tc>
        <w:tc>
          <w:tcPr>
            <w:tcW w:w="4082" w:type="dxa"/>
            <w:gridSpan w:val="2"/>
            <w:tcMar>
              <w:left w:w="105" w:type="dxa"/>
              <w:right w:w="105" w:type="dxa"/>
            </w:tcMar>
          </w:tcPr>
          <w:p w14:paraId="3DBE9376" w14:textId="04762ED1" w:rsidR="20C857FA" w:rsidRDefault="20C857FA" w:rsidP="00EB489E">
            <w:pPr>
              <w:rPr>
                <w:rFonts w:eastAsia="Times New Roman" w:cs="Times New Roman"/>
                <w:sz w:val="24"/>
                <w:szCs w:val="24"/>
              </w:rPr>
            </w:pPr>
            <w:r>
              <w:rPr>
                <w:noProof/>
              </w:rPr>
              <w:drawing>
                <wp:anchor distT="0" distB="0" distL="114300" distR="114300" simplePos="0" relativeHeight="251658254" behindDoc="0" locked="0" layoutInCell="1" allowOverlap="1" wp14:anchorId="2DD0E649" wp14:editId="5AA6C50B">
                  <wp:simplePos x="0" y="0"/>
                  <wp:positionH relativeFrom="column">
                    <wp:posOffset>-1905</wp:posOffset>
                  </wp:positionH>
                  <wp:positionV relativeFrom="paragraph">
                    <wp:posOffset>0</wp:posOffset>
                  </wp:positionV>
                  <wp:extent cx="2095500" cy="2714625"/>
                  <wp:effectExtent l="0" t="0" r="0" b="9525"/>
                  <wp:wrapTopAndBottom/>
                  <wp:docPr id="18359319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31983" name="Picture 1835931983"/>
                          <pic:cNvPicPr/>
                        </pic:nvPicPr>
                        <pic:blipFill>
                          <a:blip r:embed="rId35">
                            <a:extLst>
                              <a:ext uri="{28A0092B-C50C-407E-A947-70E740481C1C}">
                                <a14:useLocalDpi xmlns:a14="http://schemas.microsoft.com/office/drawing/2010/main" val="0"/>
                              </a:ext>
                            </a:extLst>
                          </a:blip>
                          <a:stretch>
                            <a:fillRect/>
                          </a:stretch>
                        </pic:blipFill>
                        <pic:spPr>
                          <a:xfrm>
                            <a:off x="0" y="0"/>
                            <a:ext cx="2095500" cy="2714625"/>
                          </a:xfrm>
                          <a:prstGeom prst="rect">
                            <a:avLst/>
                          </a:prstGeom>
                        </pic:spPr>
                      </pic:pic>
                    </a:graphicData>
                  </a:graphic>
                </wp:anchor>
              </w:drawing>
            </w:r>
          </w:p>
        </w:tc>
      </w:tr>
      <w:tr w:rsidR="77ECE7DA" w14:paraId="63CA6E67" w14:textId="77777777" w:rsidTr="00AE7A57">
        <w:trPr>
          <w:trHeight w:val="285"/>
        </w:trPr>
        <w:tc>
          <w:tcPr>
            <w:tcW w:w="9638" w:type="dxa"/>
            <w:gridSpan w:val="4"/>
            <w:tcMar>
              <w:left w:w="105" w:type="dxa"/>
              <w:right w:w="105" w:type="dxa"/>
            </w:tcMar>
          </w:tcPr>
          <w:p w14:paraId="1D90B4E8" w14:textId="215A5A63" w:rsidR="77ECE7DA" w:rsidRPr="00687B13" w:rsidRDefault="337F95BD" w:rsidP="00AE7A57">
            <w:pPr>
              <w:rPr>
                <w:sz w:val="21"/>
                <w:szCs w:val="21"/>
              </w:rPr>
            </w:pPr>
            <w:r>
              <w:rPr>
                <w:lang w:val="en-US"/>
              </w:rPr>
              <w:t>The greenhouse type/shape is not all that important; what is more significant is how many layers of film are used – ideally two or three layers for protecting against strong wind and cold winter.</w:t>
            </w:r>
          </w:p>
        </w:tc>
      </w:tr>
      <w:tr w:rsidR="77ECE7DA" w14:paraId="38FCC7E7" w14:textId="77777777" w:rsidTr="003D75F9">
        <w:trPr>
          <w:trHeight w:val="285"/>
        </w:trPr>
        <w:tc>
          <w:tcPr>
            <w:tcW w:w="5556" w:type="dxa"/>
            <w:gridSpan w:val="2"/>
            <w:tcMar>
              <w:left w:w="105" w:type="dxa"/>
              <w:right w:w="105" w:type="dxa"/>
            </w:tcMar>
          </w:tcPr>
          <w:p w14:paraId="125C5391" w14:textId="46A55A36" w:rsidR="20C857FA" w:rsidRDefault="20C857FA" w:rsidP="00EB489E">
            <w:pPr>
              <w:rPr>
                <w:rFonts w:eastAsia="Times New Roman" w:cs="Times New Roman"/>
                <w:sz w:val="24"/>
                <w:szCs w:val="24"/>
              </w:rPr>
            </w:pPr>
            <w:r>
              <w:rPr>
                <w:noProof/>
              </w:rPr>
              <w:lastRenderedPageBreak/>
              <w:drawing>
                <wp:anchor distT="0" distB="0" distL="114300" distR="114300" simplePos="0" relativeHeight="251658255" behindDoc="0" locked="0" layoutInCell="1" allowOverlap="1" wp14:anchorId="2AB0EC18" wp14:editId="3059C97A">
                  <wp:simplePos x="0" y="0"/>
                  <wp:positionH relativeFrom="column">
                    <wp:posOffset>-1905</wp:posOffset>
                  </wp:positionH>
                  <wp:positionV relativeFrom="paragraph">
                    <wp:posOffset>0</wp:posOffset>
                  </wp:positionV>
                  <wp:extent cx="1838325" cy="2506807"/>
                  <wp:effectExtent l="0" t="0" r="0" b="8255"/>
                  <wp:wrapTopAndBottom/>
                  <wp:docPr id="5469047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04775" name="Picture 546904775"/>
                          <pic:cNvPicPr/>
                        </pic:nvPicPr>
                        <pic:blipFill>
                          <a:blip r:embed="rId36">
                            <a:extLst>
                              <a:ext uri="{28A0092B-C50C-407E-A947-70E740481C1C}">
                                <a14:useLocalDpi xmlns:a14="http://schemas.microsoft.com/office/drawing/2010/main" val="0"/>
                              </a:ext>
                            </a:extLst>
                          </a:blip>
                          <a:stretch>
                            <a:fillRect/>
                          </a:stretch>
                        </pic:blipFill>
                        <pic:spPr>
                          <a:xfrm>
                            <a:off x="0" y="0"/>
                            <a:ext cx="1838325" cy="2506807"/>
                          </a:xfrm>
                          <a:prstGeom prst="rect">
                            <a:avLst/>
                          </a:prstGeom>
                        </pic:spPr>
                      </pic:pic>
                    </a:graphicData>
                  </a:graphic>
                </wp:anchor>
              </w:drawing>
            </w:r>
          </w:p>
        </w:tc>
        <w:tc>
          <w:tcPr>
            <w:tcW w:w="4082" w:type="dxa"/>
            <w:gridSpan w:val="2"/>
            <w:tcMar>
              <w:left w:w="105" w:type="dxa"/>
              <w:right w:w="105" w:type="dxa"/>
            </w:tcMar>
          </w:tcPr>
          <w:p w14:paraId="6B16A1B0" w14:textId="2DF38D18" w:rsidR="20C857FA" w:rsidRDefault="20C857FA" w:rsidP="00EB489E">
            <w:pPr>
              <w:rPr>
                <w:rFonts w:eastAsia="Times New Roman" w:cs="Times New Roman"/>
                <w:sz w:val="24"/>
                <w:szCs w:val="24"/>
              </w:rPr>
            </w:pPr>
            <w:r>
              <w:rPr>
                <w:noProof/>
              </w:rPr>
              <w:drawing>
                <wp:anchor distT="0" distB="0" distL="114300" distR="114300" simplePos="0" relativeHeight="251658256" behindDoc="0" locked="0" layoutInCell="1" allowOverlap="1" wp14:anchorId="3E9BED56" wp14:editId="60B5C074">
                  <wp:simplePos x="0" y="0"/>
                  <wp:positionH relativeFrom="column">
                    <wp:posOffset>-1905</wp:posOffset>
                  </wp:positionH>
                  <wp:positionV relativeFrom="paragraph">
                    <wp:posOffset>0</wp:posOffset>
                  </wp:positionV>
                  <wp:extent cx="2009775" cy="2523286"/>
                  <wp:effectExtent l="0" t="0" r="0" b="0"/>
                  <wp:wrapTopAndBottom/>
                  <wp:docPr id="9682958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95855" name="Picture 968295855"/>
                          <pic:cNvPicPr/>
                        </pic:nvPicPr>
                        <pic:blipFill>
                          <a:blip r:embed="rId37">
                            <a:extLst>
                              <a:ext uri="{28A0092B-C50C-407E-A947-70E740481C1C}">
                                <a14:useLocalDpi xmlns:a14="http://schemas.microsoft.com/office/drawing/2010/main" val="0"/>
                              </a:ext>
                            </a:extLst>
                          </a:blip>
                          <a:stretch>
                            <a:fillRect/>
                          </a:stretch>
                        </pic:blipFill>
                        <pic:spPr>
                          <a:xfrm>
                            <a:off x="0" y="0"/>
                            <a:ext cx="2009775" cy="2523286"/>
                          </a:xfrm>
                          <a:prstGeom prst="rect">
                            <a:avLst/>
                          </a:prstGeom>
                        </pic:spPr>
                      </pic:pic>
                    </a:graphicData>
                  </a:graphic>
                </wp:anchor>
              </w:drawing>
            </w:r>
          </w:p>
        </w:tc>
      </w:tr>
      <w:tr w:rsidR="77ECE7DA" w:rsidRPr="0049158C" w14:paraId="0DA1F890" w14:textId="77777777" w:rsidTr="003D75F9">
        <w:trPr>
          <w:trHeight w:val="285"/>
        </w:trPr>
        <w:tc>
          <w:tcPr>
            <w:tcW w:w="5556" w:type="dxa"/>
            <w:gridSpan w:val="2"/>
            <w:tcMar>
              <w:left w:w="105" w:type="dxa"/>
              <w:right w:w="105" w:type="dxa"/>
            </w:tcMar>
          </w:tcPr>
          <w:p w14:paraId="3A2220F6" w14:textId="0503C435" w:rsidR="77ECE7DA" w:rsidRPr="0049158C" w:rsidRDefault="77ECE7DA" w:rsidP="00D16E24">
            <w:pPr>
              <w:spacing w:after="120" w:line="240" w:lineRule="auto"/>
              <w:contextualSpacing w:val="0"/>
              <w:rPr>
                <w:rFonts w:eastAsia="Times New Roman" w:cs="Times New Roman"/>
              </w:rPr>
            </w:pPr>
          </w:p>
        </w:tc>
        <w:tc>
          <w:tcPr>
            <w:tcW w:w="4082" w:type="dxa"/>
            <w:gridSpan w:val="2"/>
            <w:tcMar>
              <w:left w:w="105" w:type="dxa"/>
              <w:right w:w="105" w:type="dxa"/>
            </w:tcMar>
          </w:tcPr>
          <w:p w14:paraId="02F7A6BF" w14:textId="113A14F5" w:rsidR="77ECE7DA" w:rsidRPr="0049158C" w:rsidRDefault="77ECE7DA" w:rsidP="00EB489E">
            <w:r>
              <w:rPr>
                <w:lang w:val="de-DE"/>
              </w:rPr>
              <w:t>Sawtooth shape</w:t>
            </w:r>
          </w:p>
        </w:tc>
      </w:tr>
      <w:tr w:rsidR="77ECE7DA" w14:paraId="5B10C8AD" w14:textId="77777777" w:rsidTr="003D75F9">
        <w:trPr>
          <w:trHeight w:val="285"/>
        </w:trPr>
        <w:tc>
          <w:tcPr>
            <w:tcW w:w="5556" w:type="dxa"/>
            <w:gridSpan w:val="2"/>
            <w:tcMar>
              <w:left w:w="105" w:type="dxa"/>
              <w:right w:w="105" w:type="dxa"/>
            </w:tcMar>
          </w:tcPr>
          <w:p w14:paraId="5D5F299C" w14:textId="2DAE13B5" w:rsidR="20C857FA" w:rsidRDefault="20C857FA" w:rsidP="00EB489E">
            <w:pPr>
              <w:rPr>
                <w:rFonts w:eastAsia="Times New Roman" w:cs="Times New Roman"/>
                <w:sz w:val="24"/>
                <w:szCs w:val="24"/>
              </w:rPr>
            </w:pPr>
            <w:r>
              <w:rPr>
                <w:noProof/>
              </w:rPr>
              <w:drawing>
                <wp:anchor distT="0" distB="0" distL="114300" distR="114300" simplePos="0" relativeHeight="251658257" behindDoc="0" locked="0" layoutInCell="1" allowOverlap="1" wp14:anchorId="7E4FE0BA" wp14:editId="4EDD8D10">
                  <wp:simplePos x="0" y="0"/>
                  <wp:positionH relativeFrom="column">
                    <wp:posOffset>-1905</wp:posOffset>
                  </wp:positionH>
                  <wp:positionV relativeFrom="paragraph">
                    <wp:posOffset>0</wp:posOffset>
                  </wp:positionV>
                  <wp:extent cx="2409825" cy="1807369"/>
                  <wp:effectExtent l="0" t="0" r="0" b="2540"/>
                  <wp:wrapTopAndBottom/>
                  <wp:docPr id="15148786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78697" name="Picture 1514878697"/>
                          <pic:cNvPicPr/>
                        </pic:nvPicPr>
                        <pic:blipFill>
                          <a:blip r:embed="rId38">
                            <a:extLst>
                              <a:ext uri="{28A0092B-C50C-407E-A947-70E740481C1C}">
                                <a14:useLocalDpi xmlns:a14="http://schemas.microsoft.com/office/drawing/2010/main" val="0"/>
                              </a:ext>
                            </a:extLst>
                          </a:blip>
                          <a:stretch>
                            <a:fillRect/>
                          </a:stretch>
                        </pic:blipFill>
                        <pic:spPr>
                          <a:xfrm>
                            <a:off x="0" y="0"/>
                            <a:ext cx="2409825" cy="1807369"/>
                          </a:xfrm>
                          <a:prstGeom prst="rect">
                            <a:avLst/>
                          </a:prstGeom>
                        </pic:spPr>
                      </pic:pic>
                    </a:graphicData>
                  </a:graphic>
                </wp:anchor>
              </w:drawing>
            </w:r>
          </w:p>
        </w:tc>
        <w:tc>
          <w:tcPr>
            <w:tcW w:w="4082" w:type="dxa"/>
            <w:gridSpan w:val="2"/>
            <w:tcMar>
              <w:left w:w="105" w:type="dxa"/>
              <w:right w:w="105" w:type="dxa"/>
            </w:tcMar>
          </w:tcPr>
          <w:p w14:paraId="6F27B392" w14:textId="2B22AF7C" w:rsidR="20C857FA" w:rsidRDefault="20C857FA" w:rsidP="00EB489E">
            <w:pPr>
              <w:rPr>
                <w:rFonts w:eastAsia="Times New Roman" w:cs="Times New Roman"/>
                <w:sz w:val="24"/>
                <w:szCs w:val="24"/>
              </w:rPr>
            </w:pPr>
            <w:r>
              <w:rPr>
                <w:noProof/>
              </w:rPr>
              <w:drawing>
                <wp:anchor distT="0" distB="0" distL="114300" distR="114300" simplePos="0" relativeHeight="251658258" behindDoc="0" locked="0" layoutInCell="1" allowOverlap="1" wp14:anchorId="2124073E" wp14:editId="423617BA">
                  <wp:simplePos x="0" y="0"/>
                  <wp:positionH relativeFrom="column">
                    <wp:posOffset>-1905</wp:posOffset>
                  </wp:positionH>
                  <wp:positionV relativeFrom="paragraph">
                    <wp:posOffset>0</wp:posOffset>
                  </wp:positionV>
                  <wp:extent cx="2388760" cy="1800225"/>
                  <wp:effectExtent l="0" t="0" r="0" b="0"/>
                  <wp:wrapTopAndBottom/>
                  <wp:docPr id="8211652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65227" name="Picture 821165227"/>
                          <pic:cNvPicPr/>
                        </pic:nvPicPr>
                        <pic:blipFill>
                          <a:blip r:embed="rId39">
                            <a:extLst>
                              <a:ext uri="{28A0092B-C50C-407E-A947-70E740481C1C}">
                                <a14:useLocalDpi xmlns:a14="http://schemas.microsoft.com/office/drawing/2010/main" val="0"/>
                              </a:ext>
                            </a:extLst>
                          </a:blip>
                          <a:stretch>
                            <a:fillRect/>
                          </a:stretch>
                        </pic:blipFill>
                        <pic:spPr>
                          <a:xfrm>
                            <a:off x="0" y="0"/>
                            <a:ext cx="2388760" cy="1800225"/>
                          </a:xfrm>
                          <a:prstGeom prst="rect">
                            <a:avLst/>
                          </a:prstGeom>
                        </pic:spPr>
                      </pic:pic>
                    </a:graphicData>
                  </a:graphic>
                </wp:anchor>
              </w:drawing>
            </w:r>
          </w:p>
        </w:tc>
      </w:tr>
      <w:tr w:rsidR="77ECE7DA" w:rsidRPr="0049158C" w14:paraId="0ACF0382" w14:textId="77777777" w:rsidTr="003D75F9">
        <w:trPr>
          <w:trHeight w:val="285"/>
        </w:trPr>
        <w:tc>
          <w:tcPr>
            <w:tcW w:w="5556" w:type="dxa"/>
            <w:gridSpan w:val="2"/>
            <w:tcMar>
              <w:left w:w="105" w:type="dxa"/>
              <w:right w:w="105" w:type="dxa"/>
            </w:tcMar>
          </w:tcPr>
          <w:p w14:paraId="17D74D0A" w14:textId="3300AC0A" w:rsidR="77ECE7DA" w:rsidRPr="0049158C" w:rsidRDefault="77ECE7DA" w:rsidP="00EB489E">
            <w:r>
              <w:rPr>
                <w:lang w:val="en-US"/>
              </w:rPr>
              <w:t>Arch and tunnel greenhouse type</w:t>
            </w:r>
          </w:p>
        </w:tc>
        <w:tc>
          <w:tcPr>
            <w:tcW w:w="4082" w:type="dxa"/>
            <w:gridSpan w:val="2"/>
            <w:tcMar>
              <w:left w:w="105" w:type="dxa"/>
              <w:right w:w="105" w:type="dxa"/>
            </w:tcMar>
          </w:tcPr>
          <w:p w14:paraId="6A0B45D8" w14:textId="72EB150F" w:rsidR="77ECE7DA" w:rsidRPr="0049158C" w:rsidRDefault="77ECE7DA" w:rsidP="00EB489E">
            <w:r>
              <w:rPr>
                <w:lang w:val="de-DE"/>
              </w:rPr>
              <w:t>Sawtooth shape</w:t>
            </w:r>
          </w:p>
        </w:tc>
      </w:tr>
      <w:tr w:rsidR="77ECE7DA" w14:paraId="6458A869" w14:textId="77777777" w:rsidTr="003D75F9">
        <w:trPr>
          <w:trHeight w:val="2895"/>
        </w:trPr>
        <w:tc>
          <w:tcPr>
            <w:tcW w:w="5556" w:type="dxa"/>
            <w:gridSpan w:val="2"/>
            <w:tcMar>
              <w:left w:w="105" w:type="dxa"/>
              <w:right w:w="105" w:type="dxa"/>
            </w:tcMar>
          </w:tcPr>
          <w:p w14:paraId="15E6CB7C" w14:textId="0DA56579" w:rsidR="20C857FA" w:rsidRDefault="20C857FA" w:rsidP="00EB489E">
            <w:pPr>
              <w:rPr>
                <w:rFonts w:eastAsia="Times New Roman" w:cs="Times New Roman"/>
                <w:sz w:val="24"/>
                <w:szCs w:val="24"/>
              </w:rPr>
            </w:pPr>
            <w:r>
              <w:rPr>
                <w:noProof/>
              </w:rPr>
              <w:drawing>
                <wp:anchor distT="0" distB="0" distL="114300" distR="114300" simplePos="0" relativeHeight="251658259" behindDoc="0" locked="0" layoutInCell="1" allowOverlap="1" wp14:anchorId="27954422" wp14:editId="1A704810">
                  <wp:simplePos x="0" y="0"/>
                  <wp:positionH relativeFrom="column">
                    <wp:posOffset>-1905</wp:posOffset>
                  </wp:positionH>
                  <wp:positionV relativeFrom="paragraph">
                    <wp:posOffset>0</wp:posOffset>
                  </wp:positionV>
                  <wp:extent cx="2449365" cy="1819275"/>
                  <wp:effectExtent l="0" t="0" r="8255" b="0"/>
                  <wp:wrapTopAndBottom/>
                  <wp:docPr id="12262497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49779" name="Picture 1226249779"/>
                          <pic:cNvPicPr/>
                        </pic:nvPicPr>
                        <pic:blipFill>
                          <a:blip r:embed="rId40">
                            <a:extLst>
                              <a:ext uri="{28A0092B-C50C-407E-A947-70E740481C1C}">
                                <a14:useLocalDpi xmlns:a14="http://schemas.microsoft.com/office/drawing/2010/main" val="0"/>
                              </a:ext>
                            </a:extLst>
                          </a:blip>
                          <a:stretch>
                            <a:fillRect/>
                          </a:stretch>
                        </pic:blipFill>
                        <pic:spPr>
                          <a:xfrm>
                            <a:off x="0" y="0"/>
                            <a:ext cx="2449365" cy="1819275"/>
                          </a:xfrm>
                          <a:prstGeom prst="rect">
                            <a:avLst/>
                          </a:prstGeom>
                        </pic:spPr>
                      </pic:pic>
                    </a:graphicData>
                  </a:graphic>
                </wp:anchor>
              </w:drawing>
            </w:r>
          </w:p>
        </w:tc>
        <w:tc>
          <w:tcPr>
            <w:tcW w:w="4082" w:type="dxa"/>
            <w:gridSpan w:val="2"/>
            <w:tcMar>
              <w:left w:w="105" w:type="dxa"/>
              <w:right w:w="105" w:type="dxa"/>
            </w:tcMar>
          </w:tcPr>
          <w:p w14:paraId="18F97458" w14:textId="1DAB4AED" w:rsidR="20C857FA" w:rsidRDefault="20C857FA" w:rsidP="00EB489E">
            <w:pPr>
              <w:rPr>
                <w:rFonts w:eastAsia="Times New Roman" w:cs="Times New Roman"/>
                <w:sz w:val="24"/>
                <w:szCs w:val="24"/>
              </w:rPr>
            </w:pPr>
            <w:r>
              <w:rPr>
                <w:noProof/>
              </w:rPr>
              <w:drawing>
                <wp:anchor distT="0" distB="0" distL="114300" distR="114300" simplePos="0" relativeHeight="251658260" behindDoc="0" locked="0" layoutInCell="1" allowOverlap="1" wp14:anchorId="6A998523" wp14:editId="5614DFFE">
                  <wp:simplePos x="0" y="0"/>
                  <wp:positionH relativeFrom="column">
                    <wp:posOffset>-1905</wp:posOffset>
                  </wp:positionH>
                  <wp:positionV relativeFrom="paragraph">
                    <wp:posOffset>0</wp:posOffset>
                  </wp:positionV>
                  <wp:extent cx="2419350" cy="1792438"/>
                  <wp:effectExtent l="0" t="0" r="0" b="0"/>
                  <wp:wrapTopAndBottom/>
                  <wp:docPr id="4806458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45847" name="Picture 480645847"/>
                          <pic:cNvPicPr/>
                        </pic:nvPicPr>
                        <pic:blipFill>
                          <a:blip r:embed="rId41">
                            <a:extLst>
                              <a:ext uri="{28A0092B-C50C-407E-A947-70E740481C1C}">
                                <a14:useLocalDpi xmlns:a14="http://schemas.microsoft.com/office/drawing/2010/main" val="0"/>
                              </a:ext>
                            </a:extLst>
                          </a:blip>
                          <a:stretch>
                            <a:fillRect/>
                          </a:stretch>
                        </pic:blipFill>
                        <pic:spPr>
                          <a:xfrm>
                            <a:off x="0" y="0"/>
                            <a:ext cx="2419350" cy="1792438"/>
                          </a:xfrm>
                          <a:prstGeom prst="rect">
                            <a:avLst/>
                          </a:prstGeom>
                        </pic:spPr>
                      </pic:pic>
                    </a:graphicData>
                  </a:graphic>
                </wp:anchor>
              </w:drawing>
            </w:r>
          </w:p>
        </w:tc>
      </w:tr>
      <w:tr w:rsidR="77ECE7DA" w:rsidRPr="0049158C" w14:paraId="24A49DFA" w14:textId="77777777" w:rsidTr="003D75F9">
        <w:trPr>
          <w:trHeight w:val="285"/>
        </w:trPr>
        <w:tc>
          <w:tcPr>
            <w:tcW w:w="5556" w:type="dxa"/>
            <w:gridSpan w:val="2"/>
            <w:tcMar>
              <w:left w:w="105" w:type="dxa"/>
              <w:right w:w="105" w:type="dxa"/>
            </w:tcMar>
          </w:tcPr>
          <w:p w14:paraId="30DC39E1" w14:textId="2442AFF3" w:rsidR="77ECE7DA" w:rsidRPr="0049158C" w:rsidRDefault="77ECE7DA" w:rsidP="00EB489E">
            <w:r>
              <w:rPr>
                <w:lang w:val="de-DE"/>
              </w:rPr>
              <w:t>Flat arch greenhouse shape</w:t>
            </w:r>
          </w:p>
        </w:tc>
        <w:tc>
          <w:tcPr>
            <w:tcW w:w="4082" w:type="dxa"/>
            <w:gridSpan w:val="2"/>
            <w:tcMar>
              <w:left w:w="105" w:type="dxa"/>
              <w:right w:w="105" w:type="dxa"/>
            </w:tcMar>
          </w:tcPr>
          <w:p w14:paraId="767B0E86" w14:textId="7A869331" w:rsidR="77ECE7DA" w:rsidRPr="0049158C" w:rsidRDefault="77ECE7DA" w:rsidP="00EB489E">
            <w:r>
              <w:rPr>
                <w:lang w:val="de-DE"/>
              </w:rPr>
              <w:t>Sawtooth shape</w:t>
            </w:r>
          </w:p>
        </w:tc>
      </w:tr>
      <w:tr w:rsidR="77ECE7DA" w14:paraId="2A6587CF" w14:textId="77777777" w:rsidTr="003D75F9">
        <w:trPr>
          <w:gridAfter w:val="1"/>
          <w:wAfter w:w="60" w:type="dxa"/>
          <w:trHeight w:val="285"/>
        </w:trPr>
        <w:tc>
          <w:tcPr>
            <w:tcW w:w="4739" w:type="dxa"/>
            <w:tcMar>
              <w:left w:w="105" w:type="dxa"/>
              <w:right w:w="105" w:type="dxa"/>
            </w:tcMar>
          </w:tcPr>
          <w:p w14:paraId="114FA30C" w14:textId="3056AFB9" w:rsidR="53C9F1C2" w:rsidRDefault="4CACFF55" w:rsidP="00EB489E">
            <w:pPr>
              <w:rPr>
                <w:rFonts w:eastAsia="Times New Roman" w:cs="Times New Roman"/>
                <w:sz w:val="24"/>
                <w:szCs w:val="24"/>
              </w:rPr>
            </w:pPr>
            <w:r>
              <w:rPr>
                <w:noProof/>
              </w:rPr>
              <w:drawing>
                <wp:anchor distT="0" distB="0" distL="114300" distR="114300" simplePos="0" relativeHeight="251658261" behindDoc="0" locked="0" layoutInCell="1" allowOverlap="1" wp14:anchorId="53753610" wp14:editId="49ED4DEF">
                  <wp:simplePos x="0" y="0"/>
                  <wp:positionH relativeFrom="column">
                    <wp:posOffset>-1905</wp:posOffset>
                  </wp:positionH>
                  <wp:positionV relativeFrom="paragraph">
                    <wp:posOffset>0</wp:posOffset>
                  </wp:positionV>
                  <wp:extent cx="2260600" cy="1985645"/>
                  <wp:effectExtent l="0" t="0" r="6350" b="0"/>
                  <wp:wrapTopAndBottom/>
                  <wp:docPr id="1598497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97969" name="Picture 1598497969"/>
                          <pic:cNvPicPr/>
                        </pic:nvPicPr>
                        <pic:blipFill rotWithShape="1">
                          <a:blip r:embed="rId42">
                            <a:extLst>
                              <a:ext uri="{28A0092B-C50C-407E-A947-70E740481C1C}">
                                <a14:useLocalDpi xmlns:a14="http://schemas.microsoft.com/office/drawing/2010/main" val="0"/>
                              </a:ext>
                            </a:extLst>
                          </a:blip>
                          <a:srcRect b="17856"/>
                          <a:stretch>
                            <a:fillRect/>
                          </a:stretch>
                        </pic:blipFill>
                        <pic:spPr bwMode="auto">
                          <a:xfrm>
                            <a:off x="0" y="0"/>
                            <a:ext cx="2260600" cy="19856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839" w:type="dxa"/>
            <w:gridSpan w:val="2"/>
            <w:tcMar>
              <w:left w:w="105" w:type="dxa"/>
              <w:right w:w="105" w:type="dxa"/>
            </w:tcMar>
          </w:tcPr>
          <w:p w14:paraId="773B969C" w14:textId="734D6CCC" w:rsidR="53C9F1C2" w:rsidRDefault="4CACFF55" w:rsidP="00EB489E">
            <w:pPr>
              <w:rPr>
                <w:rFonts w:eastAsia="Times New Roman" w:cs="Times New Roman"/>
                <w:sz w:val="24"/>
                <w:szCs w:val="24"/>
              </w:rPr>
            </w:pPr>
            <w:r>
              <w:rPr>
                <w:noProof/>
              </w:rPr>
              <w:drawing>
                <wp:anchor distT="0" distB="0" distL="114300" distR="114300" simplePos="0" relativeHeight="251658262" behindDoc="0" locked="0" layoutInCell="1" allowOverlap="1" wp14:anchorId="3B8306FF" wp14:editId="6B330A1D">
                  <wp:simplePos x="0" y="0"/>
                  <wp:positionH relativeFrom="column">
                    <wp:posOffset>1905</wp:posOffset>
                  </wp:positionH>
                  <wp:positionV relativeFrom="paragraph">
                    <wp:posOffset>0</wp:posOffset>
                  </wp:positionV>
                  <wp:extent cx="3338703" cy="1985680"/>
                  <wp:effectExtent l="0" t="0" r="0" b="0"/>
                  <wp:wrapTopAndBottom/>
                  <wp:docPr id="2565791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79152" name="Picture 256579152"/>
                          <pic:cNvPicPr/>
                        </pic:nvPicPr>
                        <pic:blipFill>
                          <a:blip r:embed="rId43">
                            <a:extLst>
                              <a:ext uri="{28A0092B-C50C-407E-A947-70E740481C1C}">
                                <a14:useLocalDpi xmlns:a14="http://schemas.microsoft.com/office/drawing/2010/main" val="0"/>
                              </a:ext>
                            </a:extLst>
                          </a:blip>
                          <a:srcRect b="16800"/>
                          <a:stretch>
                            <a:fillRect/>
                          </a:stretch>
                        </pic:blipFill>
                        <pic:spPr>
                          <a:xfrm>
                            <a:off x="0" y="0"/>
                            <a:ext cx="3338703" cy="1985680"/>
                          </a:xfrm>
                          <a:prstGeom prst="rect">
                            <a:avLst/>
                          </a:prstGeom>
                        </pic:spPr>
                      </pic:pic>
                    </a:graphicData>
                  </a:graphic>
                </wp:anchor>
              </w:drawing>
            </w:r>
          </w:p>
        </w:tc>
      </w:tr>
      <w:tr w:rsidR="77ECE7DA" w14:paraId="43EC64BC" w14:textId="77777777" w:rsidTr="003D75F9">
        <w:trPr>
          <w:gridAfter w:val="1"/>
          <w:wAfter w:w="60" w:type="dxa"/>
          <w:trHeight w:val="285"/>
        </w:trPr>
        <w:tc>
          <w:tcPr>
            <w:tcW w:w="9578" w:type="dxa"/>
            <w:gridSpan w:val="3"/>
            <w:tcMar>
              <w:left w:w="105" w:type="dxa"/>
              <w:right w:w="105" w:type="dxa"/>
            </w:tcMar>
          </w:tcPr>
          <w:p w14:paraId="6929C502" w14:textId="57E3BA1F" w:rsidR="0049158C" w:rsidRPr="00AE7A57" w:rsidRDefault="1C427AC2" w:rsidP="00AE7A57">
            <w:pPr>
              <w:rPr>
                <w:lang w:val="en-US"/>
              </w:rPr>
            </w:pPr>
            <w:r>
              <w:rPr>
                <w:lang w:val="en-US"/>
              </w:rPr>
              <w:lastRenderedPageBreak/>
              <w:t>If a greenhouse is not maintained, meaning nothing is planted or the plastic sheeting is not protected, nothing happens, or rather, the greenhouse is left to its own and falls into disrepair. Even the best insurance cannot help here.</w:t>
            </w:r>
          </w:p>
        </w:tc>
      </w:tr>
      <w:tr w:rsidR="003D75F9" w14:paraId="24E067E5" w14:textId="77777777" w:rsidTr="003D75F9">
        <w:trPr>
          <w:gridAfter w:val="1"/>
          <w:wAfter w:w="60" w:type="dxa"/>
          <w:trHeight w:val="285"/>
        </w:trPr>
        <w:tc>
          <w:tcPr>
            <w:tcW w:w="9578" w:type="dxa"/>
            <w:gridSpan w:val="3"/>
            <w:tcMar>
              <w:left w:w="105" w:type="dxa"/>
              <w:right w:w="105" w:type="dxa"/>
            </w:tcMar>
          </w:tcPr>
          <w:p w14:paraId="54463808" w14:textId="4FFE7FA0" w:rsidR="003D75F9" w:rsidRDefault="003D75F9" w:rsidP="00AE7A57">
            <w:pPr>
              <w:rPr>
                <w:lang w:val="en-US"/>
              </w:rPr>
            </w:pPr>
            <w:r w:rsidRPr="00AE7A57">
              <w:rPr>
                <w:i/>
                <w:iCs/>
              </w:rPr>
              <w:t>Source: Expert contribution to the CTCN Mongolia feasibility study, 2026</w:t>
            </w:r>
          </w:p>
        </w:tc>
      </w:tr>
    </w:tbl>
    <w:p w14:paraId="104C2CB5" w14:textId="77777777" w:rsidR="00AE7A57" w:rsidRDefault="00AE7A57" w:rsidP="00D16E24">
      <w:pPr>
        <w:spacing w:after="120" w:line="240" w:lineRule="auto"/>
        <w:contextualSpacing w:val="0"/>
        <w:rPr>
          <w:rFonts w:eastAsia="Times New Roman" w:cs="Times New Roman"/>
          <w:b/>
          <w:bCs/>
          <w:color w:val="000000"/>
          <w:sz w:val="24"/>
          <w:szCs w:val="24"/>
          <w:lang w:val="en-US"/>
        </w:rPr>
      </w:pPr>
    </w:p>
    <w:p w14:paraId="6084AB6A" w14:textId="6CBD7467" w:rsidR="4DF8BBFB" w:rsidRPr="001852F2" w:rsidRDefault="007A4627" w:rsidP="007A4627">
      <w:pPr>
        <w:pStyle w:val="Caption"/>
        <w:framePr w:wrap="notBeside"/>
        <w:rPr>
          <w:rFonts w:eastAsia="Times New Roman" w:cs="Times New Roman"/>
          <w:b/>
          <w:bCs/>
          <w:color w:val="000000"/>
          <w:sz w:val="24"/>
          <w:szCs w:val="24"/>
          <w:lang w:val="en-US"/>
        </w:rPr>
      </w:pPr>
      <w:r>
        <w:rPr>
          <w:rFonts w:eastAsia="Times New Roman" w:cs="Times New Roman"/>
          <w:b/>
          <w:bCs/>
          <w:color w:val="000000"/>
          <w:sz w:val="24"/>
          <w:szCs w:val="24"/>
          <w:lang w:val="en-US"/>
        </w:rPr>
        <w:t xml:space="preserve"> </w:t>
      </w:r>
      <w:r w:rsidRPr="00675FC8">
        <w:rPr>
          <w:rFonts w:eastAsia="Times New Roman" w:cs="Times New Roman"/>
          <w:b/>
          <w:bCs/>
          <w:color w:val="000000"/>
          <w:sz w:val="24"/>
          <w:szCs w:val="24"/>
        </w:rPr>
        <w:t>(iii) Passive Solar Greenhouse 2nd / 3rd generation</w:t>
      </w:r>
      <w:r w:rsidRPr="007A4627">
        <w:t xml:space="preserve"> (</w:t>
      </w:r>
      <w:r>
        <w:t xml:space="preserve">Figures </w:t>
      </w:r>
      <w:r>
        <w:fldChar w:fldCharType="begin"/>
      </w:r>
      <w:r>
        <w:instrText xml:space="preserve"> SEQ Figure \* ARABIC </w:instrText>
      </w:r>
      <w:r>
        <w:fldChar w:fldCharType="separate"/>
      </w:r>
      <w:r w:rsidR="004171B1">
        <w:rPr>
          <w:noProof/>
        </w:rPr>
        <w:t>10</w:t>
      </w:r>
      <w:r>
        <w:fldChar w:fldCharType="end"/>
      </w:r>
      <w:r>
        <w: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A0" w:firstRow="1" w:lastRow="0" w:firstColumn="1" w:lastColumn="0" w:noHBand="1" w:noVBand="1"/>
      </w:tblPr>
      <w:tblGrid>
        <w:gridCol w:w="4800"/>
        <w:gridCol w:w="4800"/>
      </w:tblGrid>
      <w:tr w:rsidR="77ECE7DA" w14:paraId="686DB3E3" w14:textId="77777777" w:rsidTr="0A2530F2">
        <w:trPr>
          <w:trHeight w:val="285"/>
        </w:trPr>
        <w:tc>
          <w:tcPr>
            <w:tcW w:w="4800" w:type="dxa"/>
            <w:tcMar>
              <w:left w:w="105" w:type="dxa"/>
              <w:right w:w="105" w:type="dxa"/>
            </w:tcMar>
          </w:tcPr>
          <w:p w14:paraId="700A526D" w14:textId="6DD31403" w:rsidR="4DF8BBFB" w:rsidRDefault="4DF8BBFB" w:rsidP="00EB489E">
            <w:pPr>
              <w:rPr>
                <w:rFonts w:eastAsia="Times New Roman" w:cs="Times New Roman"/>
                <w:sz w:val="24"/>
                <w:szCs w:val="24"/>
              </w:rPr>
            </w:pPr>
            <w:r>
              <w:rPr>
                <w:noProof/>
              </w:rPr>
              <w:drawing>
                <wp:anchor distT="0" distB="0" distL="114300" distR="114300" simplePos="0" relativeHeight="251658263" behindDoc="0" locked="0" layoutInCell="1" allowOverlap="1" wp14:anchorId="13DC73F0" wp14:editId="672B5757">
                  <wp:simplePos x="0" y="0"/>
                  <wp:positionH relativeFrom="column">
                    <wp:posOffset>-1905</wp:posOffset>
                  </wp:positionH>
                  <wp:positionV relativeFrom="paragraph">
                    <wp:posOffset>0</wp:posOffset>
                  </wp:positionV>
                  <wp:extent cx="2794641" cy="1923571"/>
                  <wp:effectExtent l="0" t="0" r="5715" b="635"/>
                  <wp:wrapTopAndBottom/>
                  <wp:docPr id="18194122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12283" name="Picture 1819412283"/>
                          <pic:cNvPicPr/>
                        </pic:nvPicPr>
                        <pic:blipFill>
                          <a:blip r:embed="rId44">
                            <a:extLst>
                              <a:ext uri="{28A0092B-C50C-407E-A947-70E740481C1C}">
                                <a14:useLocalDpi xmlns:a14="http://schemas.microsoft.com/office/drawing/2010/main" val="0"/>
                              </a:ext>
                            </a:extLst>
                          </a:blip>
                          <a:srcRect l="3144"/>
                          <a:stretch>
                            <a:fillRect/>
                          </a:stretch>
                        </pic:blipFill>
                        <pic:spPr>
                          <a:xfrm>
                            <a:off x="0" y="0"/>
                            <a:ext cx="2794641" cy="1923571"/>
                          </a:xfrm>
                          <a:prstGeom prst="rect">
                            <a:avLst/>
                          </a:prstGeom>
                        </pic:spPr>
                      </pic:pic>
                    </a:graphicData>
                  </a:graphic>
                </wp:anchor>
              </w:drawing>
            </w:r>
          </w:p>
        </w:tc>
        <w:tc>
          <w:tcPr>
            <w:tcW w:w="4800" w:type="dxa"/>
            <w:tcMar>
              <w:left w:w="105" w:type="dxa"/>
              <w:right w:w="105" w:type="dxa"/>
            </w:tcMar>
          </w:tcPr>
          <w:p w14:paraId="11BD6FF2" w14:textId="2069EBB9" w:rsidR="4DF8BBFB" w:rsidRDefault="4DF8BBFB" w:rsidP="00EB489E">
            <w:pPr>
              <w:rPr>
                <w:rFonts w:eastAsia="Times New Roman" w:cs="Times New Roman"/>
                <w:sz w:val="24"/>
                <w:szCs w:val="24"/>
              </w:rPr>
            </w:pPr>
            <w:r>
              <w:rPr>
                <w:noProof/>
              </w:rPr>
              <w:drawing>
                <wp:anchor distT="0" distB="0" distL="114300" distR="114300" simplePos="0" relativeHeight="251658264" behindDoc="0" locked="0" layoutInCell="1" allowOverlap="1" wp14:anchorId="5C01FF43" wp14:editId="09F56DBC">
                  <wp:simplePos x="0" y="0"/>
                  <wp:positionH relativeFrom="column">
                    <wp:posOffset>-1905</wp:posOffset>
                  </wp:positionH>
                  <wp:positionV relativeFrom="paragraph">
                    <wp:posOffset>0</wp:posOffset>
                  </wp:positionV>
                  <wp:extent cx="2804160" cy="1907396"/>
                  <wp:effectExtent l="0" t="0" r="0" b="0"/>
                  <wp:wrapTopAndBottom/>
                  <wp:docPr id="3218508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50890" name="Picture 321850890"/>
                          <pic:cNvPicPr/>
                        </pic:nvPicPr>
                        <pic:blipFill>
                          <a:blip r:embed="rId45">
                            <a:extLst>
                              <a:ext uri="{28A0092B-C50C-407E-A947-70E740481C1C}">
                                <a14:useLocalDpi xmlns:a14="http://schemas.microsoft.com/office/drawing/2010/main" val="0"/>
                              </a:ext>
                            </a:extLst>
                          </a:blip>
                          <a:srcRect r="3067"/>
                          <a:stretch>
                            <a:fillRect/>
                          </a:stretch>
                        </pic:blipFill>
                        <pic:spPr>
                          <a:xfrm>
                            <a:off x="0" y="0"/>
                            <a:ext cx="2804160" cy="1907396"/>
                          </a:xfrm>
                          <a:prstGeom prst="rect">
                            <a:avLst/>
                          </a:prstGeom>
                        </pic:spPr>
                      </pic:pic>
                    </a:graphicData>
                  </a:graphic>
                </wp:anchor>
              </w:drawing>
            </w:r>
          </w:p>
        </w:tc>
      </w:tr>
      <w:tr w:rsidR="77ECE7DA" w14:paraId="52672CA9" w14:textId="77777777" w:rsidTr="0A2530F2">
        <w:trPr>
          <w:trHeight w:val="285"/>
        </w:trPr>
        <w:tc>
          <w:tcPr>
            <w:tcW w:w="9600" w:type="dxa"/>
            <w:gridSpan w:val="2"/>
            <w:tcMar>
              <w:left w:w="105" w:type="dxa"/>
              <w:right w:w="105" w:type="dxa"/>
            </w:tcMar>
          </w:tcPr>
          <w:p w14:paraId="68269F09" w14:textId="3409E0D1" w:rsidR="0049158C" w:rsidRPr="0049158C" w:rsidRDefault="6DDF7789" w:rsidP="00EB489E">
            <w:pPr>
              <w:rPr>
                <w:lang w:val="en-US"/>
              </w:rPr>
            </w:pPr>
            <w:r>
              <w:rPr>
                <w:lang w:val="en-US"/>
              </w:rPr>
              <w:t xml:space="preserve">Improved 2nd and 3rd generation of passive solar greenhouse - this type of greenhouse appears better suited to withstand strong winds and the risk of frost, due to its three walls, nowadays mainly made of double hollow blocks with </w:t>
            </w:r>
            <w:proofErr w:type="spellStart"/>
            <w:r>
              <w:rPr>
                <w:lang w:val="en-US"/>
              </w:rPr>
              <w:t>polysterene</w:t>
            </w:r>
            <w:proofErr w:type="spellEnd"/>
            <w:r>
              <w:rPr>
                <w:lang w:val="en-US"/>
              </w:rPr>
              <w:t xml:space="preserve"> insulation in between. </w:t>
            </w:r>
          </w:p>
        </w:tc>
      </w:tr>
      <w:tr w:rsidR="77ECE7DA" w14:paraId="47AFF6BA" w14:textId="77777777" w:rsidTr="0A2530F2">
        <w:trPr>
          <w:trHeight w:val="285"/>
        </w:trPr>
        <w:tc>
          <w:tcPr>
            <w:tcW w:w="4800" w:type="dxa"/>
            <w:tcMar>
              <w:left w:w="105" w:type="dxa"/>
              <w:right w:w="105" w:type="dxa"/>
            </w:tcMar>
          </w:tcPr>
          <w:p w14:paraId="53832D7E" w14:textId="138997CE" w:rsidR="4DF8BBFB" w:rsidRDefault="4DF8BBFB" w:rsidP="00EB489E">
            <w:pPr>
              <w:rPr>
                <w:rFonts w:eastAsia="Times New Roman" w:cs="Times New Roman"/>
                <w:sz w:val="24"/>
                <w:szCs w:val="24"/>
              </w:rPr>
            </w:pPr>
            <w:r>
              <w:rPr>
                <w:noProof/>
              </w:rPr>
              <w:drawing>
                <wp:anchor distT="0" distB="0" distL="114300" distR="114300" simplePos="0" relativeHeight="251658265" behindDoc="0" locked="0" layoutInCell="1" allowOverlap="1" wp14:anchorId="28AA6CAF" wp14:editId="4466FDA6">
                  <wp:simplePos x="0" y="0"/>
                  <wp:positionH relativeFrom="column">
                    <wp:posOffset>-1905</wp:posOffset>
                  </wp:positionH>
                  <wp:positionV relativeFrom="paragraph">
                    <wp:posOffset>0</wp:posOffset>
                  </wp:positionV>
                  <wp:extent cx="1752600" cy="1800225"/>
                  <wp:effectExtent l="0" t="0" r="0" b="9525"/>
                  <wp:wrapTopAndBottom/>
                  <wp:docPr id="574496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9636" name="Picture 57449636"/>
                          <pic:cNvPicPr/>
                        </pic:nvPicPr>
                        <pic:blipFill>
                          <a:blip r:embed="rId46">
                            <a:extLst>
                              <a:ext uri="{28A0092B-C50C-407E-A947-70E740481C1C}">
                                <a14:useLocalDpi xmlns:a14="http://schemas.microsoft.com/office/drawing/2010/main" val="0"/>
                              </a:ext>
                            </a:extLst>
                          </a:blip>
                          <a:stretch>
                            <a:fillRect/>
                          </a:stretch>
                        </pic:blipFill>
                        <pic:spPr>
                          <a:xfrm>
                            <a:off x="0" y="0"/>
                            <a:ext cx="1752600" cy="1800225"/>
                          </a:xfrm>
                          <a:prstGeom prst="rect">
                            <a:avLst/>
                          </a:prstGeom>
                        </pic:spPr>
                      </pic:pic>
                    </a:graphicData>
                  </a:graphic>
                </wp:anchor>
              </w:drawing>
            </w:r>
          </w:p>
        </w:tc>
        <w:tc>
          <w:tcPr>
            <w:tcW w:w="4800" w:type="dxa"/>
            <w:tcMar>
              <w:left w:w="105" w:type="dxa"/>
              <w:right w:w="105" w:type="dxa"/>
            </w:tcMar>
          </w:tcPr>
          <w:p w14:paraId="7A247BFA" w14:textId="1BEF98D5" w:rsidR="4DF8BBFB" w:rsidRDefault="4DF8BBFB" w:rsidP="00EB489E">
            <w:pPr>
              <w:rPr>
                <w:rFonts w:eastAsia="Times New Roman" w:cs="Times New Roman"/>
                <w:sz w:val="24"/>
                <w:szCs w:val="24"/>
              </w:rPr>
            </w:pPr>
            <w:r>
              <w:rPr>
                <w:noProof/>
              </w:rPr>
              <w:drawing>
                <wp:anchor distT="0" distB="0" distL="114300" distR="114300" simplePos="0" relativeHeight="251658266" behindDoc="0" locked="0" layoutInCell="1" allowOverlap="1" wp14:anchorId="75D29C6F" wp14:editId="2A6338F8">
                  <wp:simplePos x="0" y="0"/>
                  <wp:positionH relativeFrom="column">
                    <wp:posOffset>-1905</wp:posOffset>
                  </wp:positionH>
                  <wp:positionV relativeFrom="paragraph">
                    <wp:posOffset>0</wp:posOffset>
                  </wp:positionV>
                  <wp:extent cx="2419350" cy="1819275"/>
                  <wp:effectExtent l="0" t="0" r="0" b="9525"/>
                  <wp:wrapTopAndBottom/>
                  <wp:docPr id="20130021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02142" name="Picture 2013002142"/>
                          <pic:cNvPicPr/>
                        </pic:nvPicPr>
                        <pic:blipFill>
                          <a:blip r:embed="rId47">
                            <a:extLst>
                              <a:ext uri="{28A0092B-C50C-407E-A947-70E740481C1C}">
                                <a14:useLocalDpi xmlns:a14="http://schemas.microsoft.com/office/drawing/2010/main" val="0"/>
                              </a:ext>
                            </a:extLst>
                          </a:blip>
                          <a:stretch>
                            <a:fillRect/>
                          </a:stretch>
                        </pic:blipFill>
                        <pic:spPr>
                          <a:xfrm>
                            <a:off x="0" y="0"/>
                            <a:ext cx="2419350" cy="1819275"/>
                          </a:xfrm>
                          <a:prstGeom prst="rect">
                            <a:avLst/>
                          </a:prstGeom>
                        </pic:spPr>
                      </pic:pic>
                    </a:graphicData>
                  </a:graphic>
                </wp:anchor>
              </w:drawing>
            </w:r>
          </w:p>
        </w:tc>
      </w:tr>
      <w:tr w:rsidR="77ECE7DA" w14:paraId="1EE9626C" w14:textId="77777777" w:rsidTr="0A2530F2">
        <w:trPr>
          <w:trHeight w:val="285"/>
        </w:trPr>
        <w:tc>
          <w:tcPr>
            <w:tcW w:w="9600" w:type="dxa"/>
            <w:gridSpan w:val="2"/>
            <w:tcMar>
              <w:left w:w="105" w:type="dxa"/>
              <w:right w:w="105" w:type="dxa"/>
            </w:tcMar>
          </w:tcPr>
          <w:p w14:paraId="2D748367" w14:textId="163DD270" w:rsidR="77ECE7DA" w:rsidRDefault="21464EC3" w:rsidP="00EB489E">
            <w:pPr>
              <w:rPr>
                <w:sz w:val="24"/>
                <w:szCs w:val="24"/>
              </w:rPr>
            </w:pPr>
            <w:r>
              <w:rPr>
                <w:lang w:val="en-US"/>
              </w:rPr>
              <w:t>29°C measured inside – plastic film protection allows for even earlier use of the greenhouse</w:t>
            </w:r>
          </w:p>
        </w:tc>
      </w:tr>
      <w:tr w:rsidR="00675FC8" w14:paraId="7B395FBD" w14:textId="77777777" w:rsidTr="0A2530F2">
        <w:trPr>
          <w:trHeight w:val="285"/>
        </w:trPr>
        <w:tc>
          <w:tcPr>
            <w:tcW w:w="9600" w:type="dxa"/>
            <w:gridSpan w:val="2"/>
            <w:tcMar>
              <w:left w:w="105" w:type="dxa"/>
              <w:right w:w="105" w:type="dxa"/>
            </w:tcMar>
          </w:tcPr>
          <w:p w14:paraId="53B0E3D0" w14:textId="77777777" w:rsidR="00675FC8" w:rsidRPr="0049158C" w:rsidRDefault="00675FC8" w:rsidP="00675FC8">
            <w:pPr>
              <w:spacing w:after="120" w:line="240" w:lineRule="auto"/>
              <w:contextualSpacing w:val="0"/>
              <w:rPr>
                <w:rFonts w:eastAsia="Times New Roman" w:cs="Times New Roman"/>
                <w:color w:val="000000"/>
                <w:lang w:val="en-US"/>
              </w:rPr>
            </w:pPr>
            <w:r>
              <w:rPr>
                <w:rFonts w:eastAsia="Times New Roman" w:cs="Times New Roman"/>
                <w:color w:val="000000"/>
                <w:lang w:val="en-US"/>
              </w:rPr>
              <w:t xml:space="preserve">It is not only the multi-layered nature of the films that matter; two harvests should be aimed for; therefore, a keen interest and attention to detail are also prerequisites for profitable greenhouse vegetable cultivation. </w:t>
            </w:r>
          </w:p>
          <w:p w14:paraId="2462BEAB" w14:textId="77777777" w:rsidR="00675FC8" w:rsidRDefault="00675FC8" w:rsidP="00EB489E">
            <w:pPr>
              <w:rPr>
                <w:lang w:val="en-US"/>
              </w:rPr>
            </w:pPr>
          </w:p>
        </w:tc>
      </w:tr>
      <w:tr w:rsidR="00675FC8" w14:paraId="08496280" w14:textId="77777777" w:rsidTr="0A2530F2">
        <w:trPr>
          <w:trHeight w:val="285"/>
        </w:trPr>
        <w:tc>
          <w:tcPr>
            <w:tcW w:w="9600" w:type="dxa"/>
            <w:gridSpan w:val="2"/>
            <w:tcMar>
              <w:left w:w="105" w:type="dxa"/>
              <w:right w:w="105" w:type="dxa"/>
            </w:tcMar>
          </w:tcPr>
          <w:p w14:paraId="7B0BA1C1" w14:textId="5F017B5B" w:rsidR="00675FC8" w:rsidRDefault="00675FC8" w:rsidP="00675FC8">
            <w:pPr>
              <w:spacing w:after="120" w:line="240" w:lineRule="auto"/>
              <w:contextualSpacing w:val="0"/>
              <w:rPr>
                <w:rFonts w:eastAsia="Times New Roman" w:cs="Times New Roman"/>
                <w:color w:val="000000"/>
                <w:lang w:val="en-US"/>
              </w:rPr>
            </w:pPr>
            <w:r w:rsidRPr="00AE7A57">
              <w:rPr>
                <w:i/>
                <w:iCs/>
              </w:rPr>
              <w:t>Source: Expert contribution to the CTCN Mongolia feasibility study, 2026</w:t>
            </w:r>
          </w:p>
        </w:tc>
      </w:tr>
    </w:tbl>
    <w:p w14:paraId="13CA8900" w14:textId="50504D69" w:rsidR="003762F4" w:rsidRDefault="003762F4" w:rsidP="00D16E24">
      <w:pPr>
        <w:spacing w:after="120" w:line="240" w:lineRule="auto"/>
        <w:contextualSpacing w:val="0"/>
        <w:rPr>
          <w:rFonts w:eastAsia="Times New Roman" w:cs="Times New Roman"/>
          <w:b/>
          <w:bCs/>
          <w:color w:val="000000"/>
          <w:sz w:val="24"/>
          <w:szCs w:val="24"/>
        </w:rPr>
      </w:pPr>
    </w:p>
    <w:p w14:paraId="33B68BB0" w14:textId="77777777" w:rsidR="003762F4" w:rsidRDefault="003762F4">
      <w:pPr>
        <w:spacing w:after="160" w:line="259" w:lineRule="auto"/>
        <w:contextualSpacing w:val="0"/>
        <w:jc w:val="left"/>
        <w:rPr>
          <w:rFonts w:eastAsia="Times New Roman" w:cs="Times New Roman"/>
          <w:b/>
          <w:bCs/>
          <w:color w:val="000000"/>
          <w:sz w:val="24"/>
          <w:szCs w:val="24"/>
        </w:rPr>
      </w:pPr>
      <w:r>
        <w:rPr>
          <w:rFonts w:eastAsia="Times New Roman" w:cs="Times New Roman"/>
          <w:b/>
          <w:bCs/>
          <w:color w:val="000000"/>
          <w:sz w:val="24"/>
          <w:szCs w:val="24"/>
        </w:rPr>
        <w:br w:type="page"/>
      </w:r>
    </w:p>
    <w:p w14:paraId="0B4AD169" w14:textId="77777777" w:rsidR="0049158C" w:rsidRDefault="0049158C" w:rsidP="00D16E24">
      <w:pPr>
        <w:spacing w:after="120" w:line="240" w:lineRule="auto"/>
        <w:contextualSpacing w:val="0"/>
        <w:rPr>
          <w:rFonts w:eastAsia="Times New Roman" w:cs="Times New Roman"/>
          <w:b/>
          <w:bCs/>
          <w:color w:val="000000"/>
          <w:sz w:val="24"/>
          <w:szCs w:val="24"/>
        </w:rPr>
      </w:pPr>
    </w:p>
    <w:p w14:paraId="79B475FD" w14:textId="1B9CD61E" w:rsidR="54445745" w:rsidRPr="00675FC8" w:rsidRDefault="0049158C" w:rsidP="00675FC8">
      <w:pPr>
        <w:pStyle w:val="Caption"/>
        <w:framePr w:wrap="notBeside"/>
        <w:rPr>
          <w:rFonts w:eastAsia="Times New Roman" w:cs="Times New Roman"/>
          <w:color w:val="000000"/>
          <w:sz w:val="24"/>
          <w:szCs w:val="24"/>
        </w:rPr>
      </w:pPr>
      <w:r w:rsidRPr="00675FC8">
        <w:rPr>
          <w:rFonts w:eastAsia="Times New Roman" w:cs="Times New Roman"/>
          <w:b/>
          <w:bCs/>
          <w:color w:val="000000"/>
          <w:sz w:val="24"/>
          <w:szCs w:val="24"/>
        </w:rPr>
        <w:t xml:space="preserve">(iv) Commercial heated greenhouse – not relevant for our beneficiary </w:t>
      </w:r>
      <w:proofErr w:type="gramStart"/>
      <w:r w:rsidRPr="00675FC8">
        <w:rPr>
          <w:rFonts w:eastAsia="Times New Roman" w:cs="Times New Roman"/>
          <w:b/>
          <w:bCs/>
          <w:color w:val="000000"/>
          <w:sz w:val="24"/>
          <w:szCs w:val="24"/>
        </w:rPr>
        <w:t>group</w:t>
      </w:r>
      <w:r w:rsidR="00675FC8" w:rsidRPr="00675FC8">
        <w:rPr>
          <w:rFonts w:eastAsia="Times New Roman" w:cs="Times New Roman"/>
          <w:color w:val="000000"/>
          <w:sz w:val="24"/>
          <w:szCs w:val="24"/>
        </w:rPr>
        <w:t xml:space="preserve"> </w:t>
      </w:r>
      <w:r w:rsidR="00675FC8">
        <w:rPr>
          <w:rFonts w:eastAsia="Times New Roman" w:cs="Times New Roman"/>
          <w:color w:val="000000"/>
          <w:sz w:val="24"/>
          <w:szCs w:val="24"/>
        </w:rPr>
        <w:t xml:space="preserve"> </w:t>
      </w:r>
      <w:r w:rsidR="00675FC8" w:rsidRPr="003762F4">
        <w:t>(</w:t>
      </w:r>
      <w:proofErr w:type="gramEnd"/>
      <w:r w:rsidR="00675FC8">
        <w:t xml:space="preserve">Figure </w:t>
      </w:r>
      <w:r w:rsidR="00675FC8">
        <w:fldChar w:fldCharType="begin"/>
      </w:r>
      <w:r w:rsidR="00675FC8">
        <w:instrText xml:space="preserve"> SEQ Figure \* ARABIC </w:instrText>
      </w:r>
      <w:r w:rsidR="00675FC8">
        <w:fldChar w:fldCharType="separate"/>
      </w:r>
      <w:r w:rsidR="004171B1">
        <w:rPr>
          <w:noProof/>
        </w:rPr>
        <w:t>11</w:t>
      </w:r>
      <w:r w:rsidR="00675FC8">
        <w:fldChar w:fldCharType="end"/>
      </w:r>
      <w:r w:rsidR="00675FC8">
        <w: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A0" w:firstRow="1" w:lastRow="0" w:firstColumn="1" w:lastColumn="0" w:noHBand="1" w:noVBand="1"/>
      </w:tblPr>
      <w:tblGrid>
        <w:gridCol w:w="4800"/>
        <w:gridCol w:w="4800"/>
      </w:tblGrid>
      <w:tr w:rsidR="77ECE7DA" w14:paraId="0AA99945" w14:textId="77777777" w:rsidTr="77ECE7DA">
        <w:trPr>
          <w:trHeight w:val="300"/>
        </w:trPr>
        <w:tc>
          <w:tcPr>
            <w:tcW w:w="4800" w:type="dxa"/>
            <w:tcMar>
              <w:left w:w="105" w:type="dxa"/>
              <w:right w:w="105" w:type="dxa"/>
            </w:tcMar>
          </w:tcPr>
          <w:p w14:paraId="2B7B301E" w14:textId="53C63343" w:rsidR="54445745" w:rsidRDefault="54445745" w:rsidP="00EB489E">
            <w:pPr>
              <w:rPr>
                <w:rFonts w:eastAsia="Times New Roman" w:cs="Times New Roman"/>
                <w:sz w:val="24"/>
                <w:szCs w:val="24"/>
                <w:lang w:val="de-DE"/>
              </w:rPr>
            </w:pPr>
            <w:r>
              <w:rPr>
                <w:noProof/>
              </w:rPr>
              <w:drawing>
                <wp:anchor distT="0" distB="0" distL="114300" distR="114300" simplePos="0" relativeHeight="251658267" behindDoc="0" locked="0" layoutInCell="1" allowOverlap="1" wp14:anchorId="77055645" wp14:editId="72631EA3">
                  <wp:simplePos x="0" y="0"/>
                  <wp:positionH relativeFrom="column">
                    <wp:posOffset>-1905</wp:posOffset>
                  </wp:positionH>
                  <wp:positionV relativeFrom="paragraph">
                    <wp:posOffset>0</wp:posOffset>
                  </wp:positionV>
                  <wp:extent cx="2533650" cy="2457450"/>
                  <wp:effectExtent l="0" t="0" r="0" b="0"/>
                  <wp:wrapTopAndBottom/>
                  <wp:docPr id="1141974599" name="drawing" title="Group 10, Gruppiertes O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74599" name="Picture 1141974599"/>
                          <pic:cNvPicPr/>
                        </pic:nvPicPr>
                        <pic:blipFill>
                          <a:blip r:embed="rId48">
                            <a:extLst>
                              <a:ext uri="{28A0092B-C50C-407E-A947-70E740481C1C}">
                                <a14:useLocalDpi xmlns:a14="http://schemas.microsoft.com/office/drawing/2010/main" val="0"/>
                              </a:ext>
                            </a:extLst>
                          </a:blip>
                          <a:stretch>
                            <a:fillRect/>
                          </a:stretch>
                        </pic:blipFill>
                        <pic:spPr>
                          <a:xfrm>
                            <a:off x="0" y="0"/>
                            <a:ext cx="2533650" cy="2457450"/>
                          </a:xfrm>
                          <a:prstGeom prst="rect">
                            <a:avLst/>
                          </a:prstGeom>
                        </pic:spPr>
                      </pic:pic>
                    </a:graphicData>
                  </a:graphic>
                </wp:anchor>
              </w:drawing>
            </w:r>
          </w:p>
        </w:tc>
        <w:tc>
          <w:tcPr>
            <w:tcW w:w="4800" w:type="dxa"/>
            <w:tcMar>
              <w:left w:w="105" w:type="dxa"/>
              <w:right w:w="105" w:type="dxa"/>
            </w:tcMar>
          </w:tcPr>
          <w:p w14:paraId="3328AD3B" w14:textId="4DF52B4B" w:rsidR="54445745" w:rsidRDefault="54445745" w:rsidP="00EB489E">
            <w:pPr>
              <w:rPr>
                <w:rFonts w:eastAsia="Times New Roman" w:cs="Times New Roman"/>
                <w:sz w:val="24"/>
                <w:szCs w:val="24"/>
                <w:lang w:val="de-DE"/>
              </w:rPr>
            </w:pPr>
            <w:r>
              <w:rPr>
                <w:noProof/>
              </w:rPr>
              <w:drawing>
                <wp:anchor distT="0" distB="0" distL="114300" distR="114300" simplePos="0" relativeHeight="251658268" behindDoc="0" locked="0" layoutInCell="1" allowOverlap="1" wp14:anchorId="7AA3BEB2" wp14:editId="4F195B16">
                  <wp:simplePos x="0" y="0"/>
                  <wp:positionH relativeFrom="column">
                    <wp:posOffset>-1905</wp:posOffset>
                  </wp:positionH>
                  <wp:positionV relativeFrom="paragraph">
                    <wp:posOffset>0</wp:posOffset>
                  </wp:positionV>
                  <wp:extent cx="2628900" cy="2457450"/>
                  <wp:effectExtent l="0" t="0" r="0" b="0"/>
                  <wp:wrapTopAndBottom/>
                  <wp:docPr id="1051136077" name="drawing" title="Group 10, Gruppiertes O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36077" name="Picture 1051136077"/>
                          <pic:cNvPicPr/>
                        </pic:nvPicPr>
                        <pic:blipFill>
                          <a:blip r:embed="rId49">
                            <a:extLst>
                              <a:ext uri="{28A0092B-C50C-407E-A947-70E740481C1C}">
                                <a14:useLocalDpi xmlns:a14="http://schemas.microsoft.com/office/drawing/2010/main" val="0"/>
                              </a:ext>
                            </a:extLst>
                          </a:blip>
                          <a:stretch>
                            <a:fillRect/>
                          </a:stretch>
                        </pic:blipFill>
                        <pic:spPr>
                          <a:xfrm>
                            <a:off x="0" y="0"/>
                            <a:ext cx="2628900" cy="2457450"/>
                          </a:xfrm>
                          <a:prstGeom prst="rect">
                            <a:avLst/>
                          </a:prstGeom>
                        </pic:spPr>
                      </pic:pic>
                    </a:graphicData>
                  </a:graphic>
                </wp:anchor>
              </w:drawing>
            </w:r>
          </w:p>
        </w:tc>
      </w:tr>
      <w:tr w:rsidR="77ECE7DA" w14:paraId="436AF72F" w14:textId="77777777" w:rsidTr="77ECE7DA">
        <w:trPr>
          <w:trHeight w:val="300"/>
        </w:trPr>
        <w:tc>
          <w:tcPr>
            <w:tcW w:w="9600" w:type="dxa"/>
            <w:gridSpan w:val="2"/>
            <w:tcMar>
              <w:left w:w="105" w:type="dxa"/>
              <w:right w:w="105" w:type="dxa"/>
            </w:tcMar>
          </w:tcPr>
          <w:p w14:paraId="1914F786" w14:textId="38C3AE08" w:rsidR="77ECE7DA" w:rsidRPr="001852F2" w:rsidRDefault="77ECE7DA" w:rsidP="00D16E24">
            <w:pPr>
              <w:spacing w:after="120" w:line="240" w:lineRule="auto"/>
              <w:contextualSpacing w:val="0"/>
              <w:jc w:val="left"/>
              <w:rPr>
                <w:rFonts w:eastAsia="Times New Roman" w:cs="Times New Roman"/>
                <w:sz w:val="24"/>
                <w:szCs w:val="24"/>
                <w:lang w:val="en-US"/>
              </w:rPr>
            </w:pPr>
            <w:r>
              <w:rPr>
                <w:rFonts w:eastAsia="Times New Roman" w:cs="Times New Roman"/>
                <w:lang w:val="en-US"/>
              </w:rPr>
              <w:t xml:space="preserve">High-value commercial greenhouse – visited by </w:t>
            </w:r>
            <w:r w:rsidR="002D71D0">
              <w:rPr>
                <w:rFonts w:eastAsia="Times New Roman" w:cs="Times New Roman"/>
                <w:lang w:val="en-US"/>
              </w:rPr>
              <w:t>consultant team</w:t>
            </w:r>
            <w:r>
              <w:rPr>
                <w:rFonts w:eastAsia="Times New Roman" w:cs="Times New Roman"/>
                <w:lang w:val="en-US"/>
              </w:rPr>
              <w:t xml:space="preserve"> in Darkhan </w:t>
            </w:r>
            <w:proofErr w:type="spellStart"/>
            <w:r>
              <w:rPr>
                <w:rFonts w:eastAsia="Times New Roman" w:cs="Times New Roman"/>
                <w:lang w:val="en-US"/>
              </w:rPr>
              <w:t>soum</w:t>
            </w:r>
            <w:proofErr w:type="spellEnd"/>
            <w:r>
              <w:rPr>
                <w:rFonts w:eastAsia="Times New Roman" w:cs="Times New Roman"/>
                <w:lang w:val="en-US"/>
              </w:rPr>
              <w:t xml:space="preserve">, north of </w:t>
            </w:r>
            <w:proofErr w:type="spellStart"/>
            <w:r>
              <w:rPr>
                <w:rFonts w:eastAsia="Times New Roman" w:cs="Times New Roman"/>
                <w:lang w:val="en-US"/>
              </w:rPr>
              <w:t>Ulanbaator</w:t>
            </w:r>
            <w:proofErr w:type="spellEnd"/>
          </w:p>
        </w:tc>
      </w:tr>
      <w:tr w:rsidR="003E112F" w14:paraId="265430AE" w14:textId="77777777" w:rsidTr="77ECE7DA">
        <w:trPr>
          <w:trHeight w:val="300"/>
        </w:trPr>
        <w:tc>
          <w:tcPr>
            <w:tcW w:w="9600" w:type="dxa"/>
            <w:gridSpan w:val="2"/>
            <w:tcMar>
              <w:left w:w="105" w:type="dxa"/>
              <w:right w:w="105" w:type="dxa"/>
            </w:tcMar>
          </w:tcPr>
          <w:p w14:paraId="22C979D9" w14:textId="06DC5B8E" w:rsidR="003E112F" w:rsidRDefault="003E112F" w:rsidP="00D16E24">
            <w:pPr>
              <w:spacing w:after="120" w:line="240" w:lineRule="auto"/>
              <w:contextualSpacing w:val="0"/>
              <w:jc w:val="left"/>
              <w:rPr>
                <w:rFonts w:eastAsia="Times New Roman" w:cs="Times New Roman"/>
                <w:lang w:val="en-US"/>
              </w:rPr>
            </w:pPr>
            <w:r w:rsidRPr="00AE7A57">
              <w:rPr>
                <w:i/>
                <w:iCs/>
              </w:rPr>
              <w:t>Source: Expert contribution to the CTCN Mongolia feasibility study, 2026</w:t>
            </w:r>
          </w:p>
        </w:tc>
      </w:tr>
    </w:tbl>
    <w:p w14:paraId="307E2E9D" w14:textId="77777777" w:rsidR="00675FC8" w:rsidRDefault="00675FC8" w:rsidP="00EB489E"/>
    <w:p w14:paraId="7ED5BFA2" w14:textId="01A84C27" w:rsidR="00653188" w:rsidRDefault="00653188" w:rsidP="00EB489E">
      <w:r>
        <w:t>Two observations from the mission bear on the assessment. First, greenhouse prices appear to have recently risen across all types, which reinforces the need to verify current investment costs against Mongolian market prices before scale-up. Second, the consultants recommend replacing the original earth-sheltered passive greenhouse with second- or third-generation passive solar greenhouses. These new-generation models are taller, wider, and better insulated, and should allow for two harvests per year, sometimes with the minor addition of a simple supplemental heating system.</w:t>
      </w:r>
    </w:p>
    <w:p w14:paraId="2F972523" w14:textId="28FC025C" w:rsidR="00EF558C" w:rsidRPr="00E35798" w:rsidRDefault="00653188" w:rsidP="00653188">
      <w:pPr>
        <w:pStyle w:val="Heading3"/>
        <w:spacing w:before="240"/>
      </w:pPr>
      <w:bookmarkStart w:id="132" w:name="_Toc233981338"/>
      <w:r>
        <w:t>Greenhouse configurations assessed and multi-criteria analysis</w:t>
      </w:r>
      <w:bookmarkEnd w:id="132"/>
    </w:p>
    <w:p w14:paraId="588E3BD0" w14:textId="71F172C7" w:rsidR="00013FC5" w:rsidRDefault="00013FC5" w:rsidP="00D16E24">
      <w:pPr>
        <w:spacing w:after="120" w:line="240" w:lineRule="auto"/>
        <w:contextualSpacing w:val="0"/>
        <w:rPr>
          <w:color w:val="000000"/>
        </w:rPr>
      </w:pPr>
      <w:r>
        <w:rPr>
          <w:color w:val="000000"/>
        </w:rPr>
        <w:t xml:space="preserve">Seven greenhouse configurations were evaluated, spanning the full range from low-cost tunnels to advanced </w:t>
      </w:r>
      <w:proofErr w:type="spellStart"/>
      <w:r>
        <w:rPr>
          <w:color w:val="000000"/>
        </w:rPr>
        <w:t>agri</w:t>
      </w:r>
      <w:proofErr w:type="spellEnd"/>
      <w:r>
        <w:rPr>
          <w:color w:val="000000"/>
        </w:rPr>
        <w:t>-photovoltaic systems.</w:t>
      </w:r>
    </w:p>
    <w:p w14:paraId="4F955829" w14:textId="7CB1053C" w:rsidR="0049158C" w:rsidRPr="0049158C" w:rsidRDefault="0049158C" w:rsidP="00C725BB">
      <w:pPr>
        <w:pStyle w:val="Caption"/>
        <w:framePr w:wrap="notBeside"/>
      </w:pPr>
      <w:r>
        <w:t>Table 29. Greenhouse configurations reviewed</w:t>
      </w:r>
    </w:p>
    <w:tbl>
      <w:tblPr>
        <w:tblStyle w:val="PlainTable2"/>
        <w:tblW w:w="9638" w:type="dxa"/>
        <w:tblLook w:val="04A0" w:firstRow="1" w:lastRow="0" w:firstColumn="1" w:lastColumn="0" w:noHBand="0" w:noVBand="1"/>
      </w:tblPr>
      <w:tblGrid>
        <w:gridCol w:w="3109"/>
        <w:gridCol w:w="1286"/>
        <w:gridCol w:w="1275"/>
        <w:gridCol w:w="1418"/>
        <w:gridCol w:w="1276"/>
        <w:gridCol w:w="1274"/>
      </w:tblGrid>
      <w:tr w:rsidR="0049158C" w:rsidRPr="00E35798" w14:paraId="1FCA5FDC" w14:textId="77777777" w:rsidTr="00491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shd w:val="clear" w:color="auto" w:fill="E99E6D" w:themeFill="accent3"/>
          </w:tcPr>
          <w:p w14:paraId="1D911908" w14:textId="3C0E938A" w:rsidR="0049158C" w:rsidRPr="00E35798" w:rsidRDefault="0049158C" w:rsidP="00D16E24">
            <w:pPr>
              <w:pStyle w:val="OikoTables03Content"/>
              <w:spacing w:after="120" w:line="240" w:lineRule="auto"/>
              <w:rPr>
                <w:lang w:val="en-GB"/>
              </w:rPr>
            </w:pPr>
            <w:r>
              <w:rPr>
                <w:lang w:val="en-GB"/>
              </w:rPr>
              <w:t>Greenhouse type</w:t>
            </w:r>
          </w:p>
        </w:tc>
        <w:tc>
          <w:tcPr>
            <w:tcW w:w="1286" w:type="dxa"/>
            <w:shd w:val="clear" w:color="auto" w:fill="E99E6D" w:themeFill="accent3"/>
          </w:tcPr>
          <w:p w14:paraId="1360AA95" w14:textId="57817C79" w:rsidR="0049158C" w:rsidRPr="00E35798" w:rsidRDefault="0049158C"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Cost (USD/m²)</w:t>
            </w:r>
          </w:p>
        </w:tc>
        <w:tc>
          <w:tcPr>
            <w:tcW w:w="1275" w:type="dxa"/>
            <w:shd w:val="clear" w:color="auto" w:fill="E99E6D" w:themeFill="accent3"/>
          </w:tcPr>
          <w:p w14:paraId="7E7CC854" w14:textId="77777777" w:rsidR="0049158C" w:rsidRPr="00E35798" w:rsidRDefault="0049158C"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Lifespan</w:t>
            </w:r>
          </w:p>
        </w:tc>
        <w:tc>
          <w:tcPr>
            <w:tcW w:w="1418" w:type="dxa"/>
            <w:shd w:val="clear" w:color="auto" w:fill="E99E6D" w:themeFill="accent3"/>
          </w:tcPr>
          <w:p w14:paraId="141E332F" w14:textId="77777777" w:rsidR="0049158C" w:rsidRPr="00E35798" w:rsidRDefault="0049158C"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Season Extension</w:t>
            </w:r>
          </w:p>
        </w:tc>
        <w:tc>
          <w:tcPr>
            <w:tcW w:w="1276" w:type="dxa"/>
            <w:shd w:val="clear" w:color="auto" w:fill="E99E6D" w:themeFill="accent3"/>
          </w:tcPr>
          <w:p w14:paraId="659E3E81" w14:textId="77777777" w:rsidR="0049158C" w:rsidRPr="00E35798" w:rsidRDefault="0049158C"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Heating Req.</w:t>
            </w:r>
          </w:p>
        </w:tc>
        <w:tc>
          <w:tcPr>
            <w:tcW w:w="1274" w:type="dxa"/>
            <w:shd w:val="clear" w:color="auto" w:fill="E99E6D" w:themeFill="accent3"/>
          </w:tcPr>
          <w:p w14:paraId="02D0D00E" w14:textId="77777777" w:rsidR="0049158C" w:rsidRPr="00E35798" w:rsidRDefault="0049158C"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Insurability</w:t>
            </w:r>
          </w:p>
        </w:tc>
      </w:tr>
      <w:tr w:rsidR="0049158C" w:rsidRPr="00E35798" w14:paraId="796E2A1C" w14:textId="77777777" w:rsidTr="00491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11E03F44" w14:textId="7DDF998D" w:rsidR="0049158C" w:rsidRPr="00367EC1" w:rsidRDefault="0049158C" w:rsidP="00367EC1">
            <w:pPr>
              <w:pStyle w:val="OikoTables03Content"/>
            </w:pPr>
            <w:r w:rsidRPr="00367EC1">
              <w:t>Low Tunnel or plastic mulching</w:t>
            </w:r>
          </w:p>
        </w:tc>
        <w:tc>
          <w:tcPr>
            <w:tcW w:w="1286" w:type="dxa"/>
          </w:tcPr>
          <w:p w14:paraId="0597D422" w14:textId="2BCDD139"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3–8</w:t>
            </w:r>
          </w:p>
        </w:tc>
        <w:tc>
          <w:tcPr>
            <w:tcW w:w="1275" w:type="dxa"/>
          </w:tcPr>
          <w:p w14:paraId="2CB1CBA2"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1–2 seasons</w:t>
            </w:r>
          </w:p>
        </w:tc>
        <w:tc>
          <w:tcPr>
            <w:tcW w:w="1418" w:type="dxa"/>
          </w:tcPr>
          <w:p w14:paraId="3BDDD0EE"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2–4 weeks</w:t>
            </w:r>
          </w:p>
        </w:tc>
        <w:tc>
          <w:tcPr>
            <w:tcW w:w="1276" w:type="dxa"/>
          </w:tcPr>
          <w:p w14:paraId="47A51473"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N/A</w:t>
            </w:r>
          </w:p>
        </w:tc>
        <w:tc>
          <w:tcPr>
            <w:tcW w:w="1274" w:type="dxa"/>
          </w:tcPr>
          <w:p w14:paraId="230E5F63"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None</w:t>
            </w:r>
          </w:p>
        </w:tc>
      </w:tr>
      <w:tr w:rsidR="0049158C" w:rsidRPr="00E35798" w14:paraId="4AF2B571" w14:textId="77777777" w:rsidTr="0049158C">
        <w:tc>
          <w:tcPr>
            <w:cnfStyle w:val="001000000000" w:firstRow="0" w:lastRow="0" w:firstColumn="1" w:lastColumn="0" w:oddVBand="0" w:evenVBand="0" w:oddHBand="0" w:evenHBand="0" w:firstRowFirstColumn="0" w:firstRowLastColumn="0" w:lastRowFirstColumn="0" w:lastRowLastColumn="0"/>
            <w:tcW w:w="3109" w:type="dxa"/>
          </w:tcPr>
          <w:p w14:paraId="3F78EFF6" w14:textId="1C1484E0" w:rsidR="0049158C" w:rsidRPr="00367EC1" w:rsidRDefault="0049158C" w:rsidP="00367EC1">
            <w:pPr>
              <w:pStyle w:val="OikoTables03Content"/>
            </w:pPr>
            <w:r w:rsidRPr="00367EC1">
              <w:t>Single-Film Polytunnel</w:t>
            </w:r>
          </w:p>
        </w:tc>
        <w:tc>
          <w:tcPr>
            <w:tcW w:w="1286" w:type="dxa"/>
          </w:tcPr>
          <w:p w14:paraId="7EA68B72" w14:textId="10EBC1DD"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8–12</w:t>
            </w:r>
          </w:p>
        </w:tc>
        <w:tc>
          <w:tcPr>
            <w:tcW w:w="1275" w:type="dxa"/>
          </w:tcPr>
          <w:p w14:paraId="564091D8"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2–3 yrs (film)</w:t>
            </w:r>
          </w:p>
        </w:tc>
        <w:tc>
          <w:tcPr>
            <w:tcW w:w="1418" w:type="dxa"/>
          </w:tcPr>
          <w:p w14:paraId="0627E802"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4–6 weeks</w:t>
            </w:r>
          </w:p>
        </w:tc>
        <w:tc>
          <w:tcPr>
            <w:tcW w:w="1276" w:type="dxa"/>
          </w:tcPr>
          <w:p w14:paraId="43FC54B7"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High</w:t>
            </w:r>
          </w:p>
        </w:tc>
        <w:tc>
          <w:tcPr>
            <w:tcW w:w="1274" w:type="dxa"/>
          </w:tcPr>
          <w:p w14:paraId="424ACEF7"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Low</w:t>
            </w:r>
          </w:p>
        </w:tc>
      </w:tr>
      <w:tr w:rsidR="0049158C" w:rsidRPr="00E35798" w14:paraId="681729A9" w14:textId="77777777" w:rsidTr="00491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060D26CE" w14:textId="5A3A3E2B" w:rsidR="0049158C" w:rsidRPr="00367EC1" w:rsidRDefault="0049158C" w:rsidP="00367EC1">
            <w:pPr>
              <w:pStyle w:val="OikoTables03Content"/>
            </w:pPr>
            <w:r w:rsidRPr="00367EC1">
              <w:t>Double-Film Polytunnel</w:t>
            </w:r>
          </w:p>
        </w:tc>
        <w:tc>
          <w:tcPr>
            <w:tcW w:w="1286" w:type="dxa"/>
          </w:tcPr>
          <w:p w14:paraId="75C4ABC5" w14:textId="319040A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12–18</w:t>
            </w:r>
          </w:p>
        </w:tc>
        <w:tc>
          <w:tcPr>
            <w:tcW w:w="1275" w:type="dxa"/>
          </w:tcPr>
          <w:p w14:paraId="14FEA286"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3–4 yrs (film)</w:t>
            </w:r>
          </w:p>
        </w:tc>
        <w:tc>
          <w:tcPr>
            <w:tcW w:w="1418" w:type="dxa"/>
          </w:tcPr>
          <w:p w14:paraId="07ADAF32"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6–8 weeks</w:t>
            </w:r>
          </w:p>
        </w:tc>
        <w:tc>
          <w:tcPr>
            <w:tcW w:w="1276" w:type="dxa"/>
          </w:tcPr>
          <w:p w14:paraId="2D26D3B4"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Medium</w:t>
            </w:r>
          </w:p>
        </w:tc>
        <w:tc>
          <w:tcPr>
            <w:tcW w:w="1274" w:type="dxa"/>
          </w:tcPr>
          <w:p w14:paraId="45945F41"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Moderate</w:t>
            </w:r>
          </w:p>
        </w:tc>
      </w:tr>
      <w:tr w:rsidR="0049158C" w:rsidRPr="00E35798" w14:paraId="586D444F" w14:textId="77777777" w:rsidTr="0049158C">
        <w:tc>
          <w:tcPr>
            <w:cnfStyle w:val="001000000000" w:firstRow="0" w:lastRow="0" w:firstColumn="1" w:lastColumn="0" w:oddVBand="0" w:evenVBand="0" w:oddHBand="0" w:evenHBand="0" w:firstRowFirstColumn="0" w:firstRowLastColumn="0" w:lastRowFirstColumn="0" w:lastRowLastColumn="0"/>
            <w:tcW w:w="3109" w:type="dxa"/>
          </w:tcPr>
          <w:p w14:paraId="0726D1D4" w14:textId="4D2CB7DF" w:rsidR="0049158C" w:rsidRPr="00367EC1" w:rsidRDefault="0049158C" w:rsidP="00367EC1">
            <w:pPr>
              <w:pStyle w:val="OikoTables03Content"/>
            </w:pPr>
            <w:r w:rsidRPr="00367EC1">
              <w:t>Earth-Sheltered/ Double hollow blocks with polystyrene Passive Solar</w:t>
            </w:r>
          </w:p>
        </w:tc>
        <w:tc>
          <w:tcPr>
            <w:tcW w:w="1286" w:type="dxa"/>
          </w:tcPr>
          <w:p w14:paraId="10E1EDC3" w14:textId="41D9C82B"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20 –55</w:t>
            </w:r>
          </w:p>
        </w:tc>
        <w:tc>
          <w:tcPr>
            <w:tcW w:w="1275" w:type="dxa"/>
          </w:tcPr>
          <w:p w14:paraId="466AF907"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15–20+ yrs</w:t>
            </w:r>
          </w:p>
        </w:tc>
        <w:tc>
          <w:tcPr>
            <w:tcW w:w="1418" w:type="dxa"/>
          </w:tcPr>
          <w:p w14:paraId="10E05B4F" w14:textId="0BF916F4"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2–4 months</w:t>
            </w:r>
          </w:p>
        </w:tc>
        <w:tc>
          <w:tcPr>
            <w:tcW w:w="1276" w:type="dxa"/>
          </w:tcPr>
          <w:p w14:paraId="0A1BB068"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None</w:t>
            </w:r>
          </w:p>
        </w:tc>
        <w:tc>
          <w:tcPr>
            <w:tcW w:w="1274" w:type="dxa"/>
          </w:tcPr>
          <w:p w14:paraId="634B3CED"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Good</w:t>
            </w:r>
          </w:p>
        </w:tc>
      </w:tr>
      <w:tr w:rsidR="0049158C" w:rsidRPr="00E35798" w14:paraId="72509A98" w14:textId="77777777" w:rsidTr="00491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596A2D12" w14:textId="6BB18046" w:rsidR="0049158C" w:rsidRPr="00367EC1" w:rsidRDefault="0049158C" w:rsidP="00367EC1">
            <w:pPr>
              <w:pStyle w:val="OikoTables03Content"/>
            </w:pPr>
            <w:r w:rsidRPr="00367EC1">
              <w:t>Polycarbonate Semi-Perm.</w:t>
            </w:r>
          </w:p>
        </w:tc>
        <w:tc>
          <w:tcPr>
            <w:tcW w:w="1286" w:type="dxa"/>
          </w:tcPr>
          <w:p w14:paraId="766243D2" w14:textId="1A30B3B0"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30–70</w:t>
            </w:r>
          </w:p>
        </w:tc>
        <w:tc>
          <w:tcPr>
            <w:tcW w:w="1275" w:type="dxa"/>
          </w:tcPr>
          <w:p w14:paraId="32D0D4BD"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10–15 yrs</w:t>
            </w:r>
          </w:p>
        </w:tc>
        <w:tc>
          <w:tcPr>
            <w:tcW w:w="1418" w:type="dxa"/>
          </w:tcPr>
          <w:p w14:paraId="107E1D78"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2–4 months</w:t>
            </w:r>
          </w:p>
        </w:tc>
        <w:tc>
          <w:tcPr>
            <w:tcW w:w="1276" w:type="dxa"/>
          </w:tcPr>
          <w:p w14:paraId="513D5105"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Low</w:t>
            </w:r>
          </w:p>
        </w:tc>
        <w:tc>
          <w:tcPr>
            <w:tcW w:w="1274" w:type="dxa"/>
          </w:tcPr>
          <w:p w14:paraId="385A1125"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Excellent</w:t>
            </w:r>
          </w:p>
        </w:tc>
      </w:tr>
      <w:tr w:rsidR="0049158C" w:rsidRPr="00E35798" w14:paraId="17E2A2C3" w14:textId="77777777" w:rsidTr="0049158C">
        <w:tc>
          <w:tcPr>
            <w:cnfStyle w:val="001000000000" w:firstRow="0" w:lastRow="0" w:firstColumn="1" w:lastColumn="0" w:oddVBand="0" w:evenVBand="0" w:oddHBand="0" w:evenHBand="0" w:firstRowFirstColumn="0" w:firstRowLastColumn="0" w:lastRowFirstColumn="0" w:lastRowLastColumn="0"/>
            <w:tcW w:w="3109" w:type="dxa"/>
          </w:tcPr>
          <w:p w14:paraId="3546001E" w14:textId="1392E642" w:rsidR="0049158C" w:rsidRPr="00367EC1" w:rsidRDefault="0049158C" w:rsidP="00367EC1">
            <w:pPr>
              <w:pStyle w:val="OikoTables03Content"/>
            </w:pPr>
            <w:r w:rsidRPr="00367EC1">
              <w:t>Venlo Commercial</w:t>
            </w:r>
          </w:p>
        </w:tc>
        <w:tc>
          <w:tcPr>
            <w:tcW w:w="1286" w:type="dxa"/>
          </w:tcPr>
          <w:p w14:paraId="6F567957" w14:textId="6C7A9228"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100–200</w:t>
            </w:r>
          </w:p>
        </w:tc>
        <w:tc>
          <w:tcPr>
            <w:tcW w:w="1275" w:type="dxa"/>
          </w:tcPr>
          <w:p w14:paraId="6379FD62"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20–30 yrs</w:t>
            </w:r>
          </w:p>
        </w:tc>
        <w:tc>
          <w:tcPr>
            <w:tcW w:w="1418" w:type="dxa"/>
          </w:tcPr>
          <w:p w14:paraId="59FA7F54"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Year-round</w:t>
            </w:r>
          </w:p>
        </w:tc>
        <w:tc>
          <w:tcPr>
            <w:tcW w:w="1276" w:type="dxa"/>
          </w:tcPr>
          <w:p w14:paraId="79F3947A"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High</w:t>
            </w:r>
          </w:p>
        </w:tc>
        <w:tc>
          <w:tcPr>
            <w:tcW w:w="1274" w:type="dxa"/>
          </w:tcPr>
          <w:p w14:paraId="1093F9CB" w14:textId="77777777" w:rsidR="0049158C" w:rsidRPr="00367EC1" w:rsidRDefault="0049158C"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Excellent</w:t>
            </w:r>
          </w:p>
        </w:tc>
      </w:tr>
      <w:tr w:rsidR="0049158C" w:rsidRPr="00E35798" w14:paraId="6145CF88" w14:textId="77777777" w:rsidTr="00491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674454BF" w14:textId="059829F4" w:rsidR="0049158C" w:rsidRPr="00367EC1" w:rsidRDefault="0049158C" w:rsidP="00367EC1">
            <w:pPr>
              <w:pStyle w:val="OikoTables03Content"/>
            </w:pPr>
            <w:r w:rsidRPr="00367EC1">
              <w:t>Agri-Photovoltaic</w:t>
            </w:r>
          </w:p>
        </w:tc>
        <w:tc>
          <w:tcPr>
            <w:tcW w:w="1286" w:type="dxa"/>
          </w:tcPr>
          <w:p w14:paraId="230C416B" w14:textId="1F0A3FF5"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150–300</w:t>
            </w:r>
          </w:p>
        </w:tc>
        <w:tc>
          <w:tcPr>
            <w:tcW w:w="1275" w:type="dxa"/>
          </w:tcPr>
          <w:p w14:paraId="28367020"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20+ yrs</w:t>
            </w:r>
          </w:p>
        </w:tc>
        <w:tc>
          <w:tcPr>
            <w:tcW w:w="1418" w:type="dxa"/>
          </w:tcPr>
          <w:p w14:paraId="4B7855B0"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Variable</w:t>
            </w:r>
          </w:p>
        </w:tc>
        <w:tc>
          <w:tcPr>
            <w:tcW w:w="1276" w:type="dxa"/>
          </w:tcPr>
          <w:p w14:paraId="627C2783"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Low</w:t>
            </w:r>
          </w:p>
        </w:tc>
        <w:tc>
          <w:tcPr>
            <w:tcW w:w="1274" w:type="dxa"/>
          </w:tcPr>
          <w:p w14:paraId="5004BFFB" w14:textId="77777777" w:rsidR="0049158C" w:rsidRPr="00367EC1" w:rsidRDefault="0049158C"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Good</w:t>
            </w:r>
          </w:p>
        </w:tc>
      </w:tr>
      <w:tr w:rsidR="00160F59" w:rsidRPr="00E35798" w14:paraId="7E60EEAF" w14:textId="77777777" w:rsidTr="007769A8">
        <w:tc>
          <w:tcPr>
            <w:cnfStyle w:val="001000000000" w:firstRow="0" w:lastRow="0" w:firstColumn="1" w:lastColumn="0" w:oddVBand="0" w:evenVBand="0" w:oddHBand="0" w:evenHBand="0" w:firstRowFirstColumn="0" w:firstRowLastColumn="0" w:lastRowFirstColumn="0" w:lastRowLastColumn="0"/>
            <w:tcW w:w="9638" w:type="dxa"/>
            <w:gridSpan w:val="6"/>
          </w:tcPr>
          <w:p w14:paraId="386E668D" w14:textId="0AF8157C" w:rsidR="00160F59" w:rsidRPr="00160F59" w:rsidRDefault="00160F59" w:rsidP="00367EC1">
            <w:pPr>
              <w:pStyle w:val="OikoTables03Content"/>
              <w:rPr>
                <w:b w:val="0"/>
                <w:bCs w:val="0"/>
                <w:i/>
                <w:iCs/>
              </w:rPr>
            </w:pPr>
            <w:r w:rsidRPr="00160F59">
              <w:rPr>
                <w:b w:val="0"/>
                <w:bCs w:val="0"/>
                <w:i/>
                <w:iCs/>
              </w:rPr>
              <w:t>Source: OIKO elaboration based on CTCN field mission observations in Dundgovi and Uvurkhangai, national greenhouse expert inputs, Mongolian greenhouse standards MNS 6636:2016, MNS 6637:2016 and MNS 7060:2024, and comparative review of greenhouse technologies.</w:t>
            </w:r>
          </w:p>
        </w:tc>
      </w:tr>
    </w:tbl>
    <w:p w14:paraId="42BDD088" w14:textId="77777777" w:rsidR="00653188" w:rsidRDefault="00653188" w:rsidP="00D16E24">
      <w:pPr>
        <w:spacing w:after="120" w:line="240" w:lineRule="auto"/>
        <w:contextualSpacing w:val="0"/>
        <w:rPr>
          <w:color w:val="000000"/>
        </w:rPr>
      </w:pPr>
    </w:p>
    <w:p w14:paraId="53C869CF" w14:textId="4A3A899B" w:rsidR="00013FC5" w:rsidRPr="00E35798" w:rsidRDefault="00013FC5" w:rsidP="00EB489E">
      <w:r>
        <w:lastRenderedPageBreak/>
        <w:t xml:space="preserve">Most systems in use across the target </w:t>
      </w:r>
      <w:proofErr w:type="spellStart"/>
      <w:r>
        <w:t>aimags</w:t>
      </w:r>
      <w:proofErr w:type="spellEnd"/>
      <w:r>
        <w:t xml:space="preserve"> rely on manual or semi-mechanized climate control, with minimal use of sensors or digital monitoring. Predominant types include low-cost plastic tunnels and semi-controlled greenhouses, with virtually no fully automated systems deployed at smallholder scale. </w:t>
      </w:r>
    </w:p>
    <w:p w14:paraId="60F0ABE2" w14:textId="77777777" w:rsidR="00A0653C" w:rsidRDefault="00A0653C" w:rsidP="00EB489E">
      <w:pPr>
        <w:rPr>
          <w:b/>
          <w:bCs/>
        </w:rPr>
      </w:pPr>
    </w:p>
    <w:p w14:paraId="0BD7A800" w14:textId="078052AF" w:rsidR="00B27E72" w:rsidRDefault="00653188" w:rsidP="00EB489E">
      <w:r>
        <w:rPr>
          <w:b/>
          <w:bCs/>
        </w:rPr>
        <w:t>Scoring logic.</w:t>
      </w:r>
      <w:r>
        <w:t xml:space="preserve"> The seven greenhouse configurations were scored against seven criteria on a scale from 1 to 5. </w:t>
      </w:r>
      <w:r>
        <w:rPr>
          <w:rFonts w:eastAsia="Times New Roman" w:cs="Times New Roman"/>
        </w:rPr>
        <w:t>Each agroforestry model is evaluated using a semi-quantitative scoring system from 1 to 5 (</w:t>
      </w:r>
      <w:r>
        <w:t>1 = very poor / disqualifying; 2 = poor / barely acceptable; 3 = acceptable but with significant caveats; 4 = good — appropriate for the Mongolian smallholder context; 5 = best-in-class for the criterion). Each criterion carries an explicit weight, and the weighted score (Σ) is the result of score × weight. The weights are set to reflect the project’s binding constraints. Among the criteria, water efficiency receives the highest single weight (0.25) because water is the binding biophysical constraint of the project. Affordability is intentionally constrained at 0.20 to prevent the cheapest option from automatically winning where it sacrifices climate resilience or insurability. Environmental and scalability are kept low (0.10 / 0.05) because they are enabling criteria.</w:t>
      </w:r>
    </w:p>
    <w:p w14:paraId="048CB356" w14:textId="77777777" w:rsidR="00C725BB" w:rsidRDefault="00C725BB" w:rsidP="00EB489E"/>
    <w:p w14:paraId="3C09CA41" w14:textId="7A83AF75" w:rsidR="001A733B" w:rsidRPr="0049158C" w:rsidRDefault="001A733B" w:rsidP="008F48A8">
      <w:pPr>
        <w:pStyle w:val="Caption"/>
        <w:framePr w:wrap="notBeside"/>
      </w:pPr>
      <w:r>
        <w:t>Table 30. Greenhouse multi-criteria analysis - definitions and weights of the assessment criteria</w:t>
      </w:r>
    </w:p>
    <w:tbl>
      <w:tblPr>
        <w:tblStyle w:val="PlainTable2"/>
        <w:tblW w:w="5000" w:type="pct"/>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1559"/>
        <w:gridCol w:w="3817"/>
        <w:gridCol w:w="862"/>
        <w:gridCol w:w="3400"/>
      </w:tblGrid>
      <w:tr w:rsidR="00695BC8" w:rsidRPr="00E35798" w14:paraId="01627C2A" w14:textId="77777777" w:rsidTr="00C725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bottom w:val="none" w:sz="0" w:space="0" w:color="auto"/>
            </w:tcBorders>
            <w:shd w:val="clear" w:color="auto" w:fill="E99E6D" w:themeFill="accent3"/>
          </w:tcPr>
          <w:p w14:paraId="2A91FD14" w14:textId="755EDD15" w:rsidR="00695BC8" w:rsidRPr="00E35798" w:rsidRDefault="00695BC8" w:rsidP="00D16E24">
            <w:pPr>
              <w:pStyle w:val="OikoTables02"/>
              <w:rPr>
                <w:b w:val="0"/>
                <w:lang w:val="en-GB"/>
              </w:rPr>
            </w:pPr>
            <w:r>
              <w:t>Criterion</w:t>
            </w:r>
          </w:p>
        </w:tc>
        <w:tc>
          <w:tcPr>
            <w:tcW w:w="1980" w:type="pct"/>
            <w:tcBorders>
              <w:bottom w:val="none" w:sz="0" w:space="0" w:color="auto"/>
            </w:tcBorders>
            <w:shd w:val="clear" w:color="auto" w:fill="E99E6D" w:themeFill="accent3"/>
          </w:tcPr>
          <w:p w14:paraId="3DA6C28E" w14:textId="5354737A" w:rsidR="00695BC8" w:rsidRPr="00E35798" w:rsidRDefault="00695BC8" w:rsidP="00D16E24">
            <w:pPr>
              <w:pStyle w:val="OikoTables02"/>
              <w:cnfStyle w:val="100000000000" w:firstRow="1" w:lastRow="0" w:firstColumn="0" w:lastColumn="0" w:oddVBand="0" w:evenVBand="0" w:oddHBand="0" w:evenHBand="0" w:firstRowFirstColumn="0" w:firstRowLastColumn="0" w:lastRowFirstColumn="0" w:lastRowLastColumn="0"/>
              <w:rPr>
                <w:b w:val="0"/>
                <w:lang w:val="en-GB"/>
              </w:rPr>
            </w:pPr>
            <w:r>
              <w:t xml:space="preserve">Description </w:t>
            </w:r>
          </w:p>
        </w:tc>
        <w:tc>
          <w:tcPr>
            <w:tcW w:w="447" w:type="pct"/>
            <w:tcBorders>
              <w:bottom w:val="none" w:sz="0" w:space="0" w:color="auto"/>
            </w:tcBorders>
            <w:shd w:val="clear" w:color="auto" w:fill="E99E6D" w:themeFill="accent3"/>
          </w:tcPr>
          <w:p w14:paraId="418296B4" w14:textId="69DF0209" w:rsidR="00695BC8" w:rsidRPr="00E35798" w:rsidRDefault="00695BC8" w:rsidP="00D16E24">
            <w:pPr>
              <w:pStyle w:val="OikoTables02"/>
              <w:cnfStyle w:val="100000000000" w:firstRow="1" w:lastRow="0" w:firstColumn="0" w:lastColumn="0" w:oddVBand="0" w:evenVBand="0" w:oddHBand="0" w:evenHBand="0" w:firstRowFirstColumn="0" w:firstRowLastColumn="0" w:lastRowFirstColumn="0" w:lastRowLastColumn="0"/>
              <w:rPr>
                <w:b w:val="0"/>
                <w:lang w:val="en-GB"/>
              </w:rPr>
            </w:pPr>
            <w:r>
              <w:t>Weight</w:t>
            </w:r>
          </w:p>
        </w:tc>
        <w:tc>
          <w:tcPr>
            <w:tcW w:w="1764" w:type="pct"/>
            <w:tcBorders>
              <w:bottom w:val="none" w:sz="0" w:space="0" w:color="auto"/>
            </w:tcBorders>
            <w:shd w:val="clear" w:color="auto" w:fill="E99E6D" w:themeFill="accent3"/>
          </w:tcPr>
          <w:p w14:paraId="49DC5E6B" w14:textId="2B5DF0A2" w:rsidR="00695BC8" w:rsidRPr="00E35798" w:rsidRDefault="00695BC8" w:rsidP="00D16E24">
            <w:pPr>
              <w:pStyle w:val="OikoTables02"/>
              <w:cnfStyle w:val="100000000000" w:firstRow="1" w:lastRow="0" w:firstColumn="0" w:lastColumn="0" w:oddVBand="0" w:evenVBand="0" w:oddHBand="0" w:evenHBand="0" w:firstRowFirstColumn="0" w:firstRowLastColumn="0" w:lastRowFirstColumn="0" w:lastRowLastColumn="0"/>
              <w:rPr>
                <w:b w:val="0"/>
                <w:lang w:val="en-GB"/>
              </w:rPr>
            </w:pPr>
            <w:r>
              <w:t>Justification (rationale for weighting)</w:t>
            </w:r>
          </w:p>
        </w:tc>
      </w:tr>
      <w:tr w:rsidR="00695BC8" w:rsidRPr="00E35798" w14:paraId="30C072EF" w14:textId="77777777" w:rsidTr="00C72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3A420258" w14:textId="132EDE35" w:rsidR="00695BC8" w:rsidRPr="00367EC1" w:rsidRDefault="00695BC8" w:rsidP="00367EC1">
            <w:pPr>
              <w:pStyle w:val="OikoTables03Content"/>
            </w:pPr>
            <w:r w:rsidRPr="00367EC1">
              <w:t>Water efficiency</w:t>
            </w:r>
          </w:p>
        </w:tc>
        <w:tc>
          <w:tcPr>
            <w:tcW w:w="1980" w:type="pct"/>
            <w:tcBorders>
              <w:top w:val="none" w:sz="0" w:space="0" w:color="auto"/>
              <w:bottom w:val="none" w:sz="0" w:space="0" w:color="auto"/>
            </w:tcBorders>
          </w:tcPr>
          <w:p w14:paraId="1160AE75" w14:textId="7A992543"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irrigation water demand per kg of marketable yield under controlled environment + drip irrigation.</w:t>
            </w:r>
          </w:p>
        </w:tc>
        <w:tc>
          <w:tcPr>
            <w:tcW w:w="447" w:type="pct"/>
            <w:tcBorders>
              <w:top w:val="none" w:sz="0" w:space="0" w:color="auto"/>
              <w:bottom w:val="none" w:sz="0" w:space="0" w:color="auto"/>
            </w:tcBorders>
          </w:tcPr>
          <w:p w14:paraId="45117E31" w14:textId="695776AD"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0.25</w:t>
            </w:r>
          </w:p>
        </w:tc>
        <w:tc>
          <w:tcPr>
            <w:tcW w:w="1764" w:type="pct"/>
            <w:tcBorders>
              <w:top w:val="none" w:sz="0" w:space="0" w:color="auto"/>
              <w:bottom w:val="none" w:sz="0" w:space="0" w:color="auto"/>
            </w:tcBorders>
          </w:tcPr>
          <w:p w14:paraId="4B2306C6" w14:textId="4BBA7DE8"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 xml:space="preserve">Highest weight: water scarcity is the binding constraint in both target </w:t>
            </w:r>
            <w:proofErr w:type="spellStart"/>
            <w:r w:rsidRPr="00367EC1">
              <w:t>aimags</w:t>
            </w:r>
            <w:proofErr w:type="spellEnd"/>
            <w:r w:rsidRPr="00367EC1">
              <w:t>.</w:t>
            </w:r>
          </w:p>
        </w:tc>
      </w:tr>
      <w:tr w:rsidR="00695BC8" w:rsidRPr="00E35798" w14:paraId="431CBE7D" w14:textId="77777777" w:rsidTr="00C725BB">
        <w:tc>
          <w:tcPr>
            <w:cnfStyle w:val="001000000000" w:firstRow="0" w:lastRow="0" w:firstColumn="1" w:lastColumn="0" w:oddVBand="0" w:evenVBand="0" w:oddHBand="0" w:evenHBand="0" w:firstRowFirstColumn="0" w:firstRowLastColumn="0" w:lastRowFirstColumn="0" w:lastRowLastColumn="0"/>
            <w:tcW w:w="809" w:type="pct"/>
          </w:tcPr>
          <w:p w14:paraId="62061676" w14:textId="0D423067" w:rsidR="00695BC8" w:rsidRPr="00367EC1" w:rsidRDefault="00695BC8" w:rsidP="00367EC1">
            <w:pPr>
              <w:pStyle w:val="OikoTables03Content"/>
            </w:pPr>
            <w:r w:rsidRPr="00367EC1">
              <w:t>Affordability</w:t>
            </w:r>
          </w:p>
        </w:tc>
        <w:tc>
          <w:tcPr>
            <w:tcW w:w="1980" w:type="pct"/>
          </w:tcPr>
          <w:p w14:paraId="1E988C54" w14:textId="2FB3799A"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Capital cost per m² of covered area, judged against smallholder financing capacity and the project budget.</w:t>
            </w:r>
          </w:p>
        </w:tc>
        <w:tc>
          <w:tcPr>
            <w:tcW w:w="447" w:type="pct"/>
          </w:tcPr>
          <w:p w14:paraId="5D4C35BA" w14:textId="39FD544B"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0.20</w:t>
            </w:r>
          </w:p>
        </w:tc>
        <w:tc>
          <w:tcPr>
            <w:tcW w:w="1764" w:type="pct"/>
          </w:tcPr>
          <w:p w14:paraId="4FB5F7C9" w14:textId="32FEA2E3"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Smallholder cash-flow constraint but capped so the cheapest option cannot win where it sacrifices climate resilience. The technology must be financeable at less than 2–3× annual farm income or carriable through a cooperative model.</w:t>
            </w:r>
          </w:p>
        </w:tc>
      </w:tr>
      <w:tr w:rsidR="00695BC8" w:rsidRPr="00E35798" w14:paraId="2C50F00F" w14:textId="77777777" w:rsidTr="00C72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40C48718" w14:textId="4E84902A" w:rsidR="00695BC8" w:rsidRPr="00367EC1" w:rsidRDefault="00695BC8" w:rsidP="00367EC1">
            <w:pPr>
              <w:pStyle w:val="OikoTables03Content"/>
            </w:pPr>
            <w:r w:rsidRPr="00367EC1">
              <w:t>Climate resilience</w:t>
            </w:r>
          </w:p>
        </w:tc>
        <w:tc>
          <w:tcPr>
            <w:tcW w:w="1980" w:type="pct"/>
            <w:tcBorders>
              <w:top w:val="none" w:sz="0" w:space="0" w:color="auto"/>
              <w:bottom w:val="none" w:sz="0" w:space="0" w:color="auto"/>
            </w:tcBorders>
          </w:tcPr>
          <w:p w14:paraId="4E7F7AB6" w14:textId="485D36C4"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 xml:space="preserve">Survivability under Mongolian climate stresses: −35 °C winter, </w:t>
            </w:r>
            <w:proofErr w:type="spellStart"/>
            <w:r w:rsidRPr="00367EC1">
              <w:t>dzud</w:t>
            </w:r>
            <w:proofErr w:type="spellEnd"/>
            <w:r w:rsidRPr="00367EC1">
              <w:t>, sandstorms, summer heat, hail, 80–120 km/h winds.</w:t>
            </w:r>
          </w:p>
        </w:tc>
        <w:tc>
          <w:tcPr>
            <w:tcW w:w="447" w:type="pct"/>
            <w:tcBorders>
              <w:top w:val="none" w:sz="0" w:space="0" w:color="auto"/>
              <w:bottom w:val="none" w:sz="0" w:space="0" w:color="auto"/>
            </w:tcBorders>
          </w:tcPr>
          <w:p w14:paraId="0B936D8A" w14:textId="3B0AC73C"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0.15</w:t>
            </w:r>
          </w:p>
        </w:tc>
        <w:tc>
          <w:tcPr>
            <w:tcW w:w="1764" w:type="pct"/>
            <w:tcBorders>
              <w:top w:val="none" w:sz="0" w:space="0" w:color="auto"/>
              <w:bottom w:val="none" w:sz="0" w:space="0" w:color="auto"/>
            </w:tcBorders>
          </w:tcPr>
          <w:p w14:paraId="31DDFD4F" w14:textId="41D03B6B"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Climate exposure is the central project rationale and directly relates to season extension. Insufficient resilience nullifies water- and yield-related benefits in season one.</w:t>
            </w:r>
          </w:p>
        </w:tc>
      </w:tr>
      <w:tr w:rsidR="00695BC8" w:rsidRPr="00E35798" w14:paraId="17BC5E08" w14:textId="77777777" w:rsidTr="00C725BB">
        <w:tc>
          <w:tcPr>
            <w:cnfStyle w:val="001000000000" w:firstRow="0" w:lastRow="0" w:firstColumn="1" w:lastColumn="0" w:oddVBand="0" w:evenVBand="0" w:oddHBand="0" w:evenHBand="0" w:firstRowFirstColumn="0" w:firstRowLastColumn="0" w:lastRowFirstColumn="0" w:lastRowLastColumn="0"/>
            <w:tcW w:w="809" w:type="pct"/>
          </w:tcPr>
          <w:p w14:paraId="3816470B" w14:textId="3DBFA80E" w:rsidR="00695BC8" w:rsidRPr="00367EC1" w:rsidRDefault="00695BC8" w:rsidP="00367EC1">
            <w:pPr>
              <w:pStyle w:val="OikoTables03Content"/>
            </w:pPr>
            <w:r w:rsidRPr="00367EC1">
              <w:t>Technical simplicity</w:t>
            </w:r>
          </w:p>
        </w:tc>
        <w:tc>
          <w:tcPr>
            <w:tcW w:w="1980" w:type="pct"/>
          </w:tcPr>
          <w:p w14:paraId="49B0316F" w14:textId="7F8EEC07"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Operability and maintainability by smallholder farmers and local cooperatives without specialist technicians or imported spares.</w:t>
            </w:r>
          </w:p>
        </w:tc>
        <w:tc>
          <w:tcPr>
            <w:tcW w:w="447" w:type="pct"/>
          </w:tcPr>
          <w:p w14:paraId="07655142" w14:textId="2901C8E6"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0.15</w:t>
            </w:r>
          </w:p>
        </w:tc>
        <w:tc>
          <w:tcPr>
            <w:tcW w:w="1764" w:type="pct"/>
          </w:tcPr>
          <w:p w14:paraId="54EB13F6" w14:textId="7559D1DE" w:rsidR="00695BC8" w:rsidRPr="00367EC1" w:rsidRDefault="001A733B"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Solutions must be manageable by smallholders since local service capacity is limited.</w:t>
            </w:r>
          </w:p>
        </w:tc>
      </w:tr>
      <w:tr w:rsidR="00695BC8" w:rsidRPr="00E35798" w14:paraId="4FBCB52C" w14:textId="77777777" w:rsidTr="00C72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3070178C" w14:textId="3780E17E" w:rsidR="00695BC8" w:rsidRPr="00367EC1" w:rsidRDefault="00695BC8" w:rsidP="00367EC1">
            <w:pPr>
              <w:pStyle w:val="OikoTables03Content"/>
            </w:pPr>
            <w:r w:rsidRPr="00367EC1">
              <w:t>Insurability</w:t>
            </w:r>
          </w:p>
        </w:tc>
        <w:tc>
          <w:tcPr>
            <w:tcW w:w="1980" w:type="pct"/>
            <w:tcBorders>
              <w:top w:val="none" w:sz="0" w:space="0" w:color="auto"/>
              <w:bottom w:val="none" w:sz="0" w:space="0" w:color="auto"/>
            </w:tcBorders>
          </w:tcPr>
          <w:p w14:paraId="57442A01" w14:textId="665769A0"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Compatibility with the Output 3 digital crop-insurance prototype: asset visibility, fixity, traceability, and a documentable yield baseline.</w:t>
            </w:r>
          </w:p>
        </w:tc>
        <w:tc>
          <w:tcPr>
            <w:tcW w:w="447" w:type="pct"/>
            <w:tcBorders>
              <w:top w:val="none" w:sz="0" w:space="0" w:color="auto"/>
              <w:bottom w:val="none" w:sz="0" w:space="0" w:color="auto"/>
            </w:tcBorders>
          </w:tcPr>
          <w:p w14:paraId="6D0C4187" w14:textId="427C0A93"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0.10</w:t>
            </w:r>
          </w:p>
        </w:tc>
        <w:tc>
          <w:tcPr>
            <w:tcW w:w="1764" w:type="pct"/>
            <w:tcBorders>
              <w:top w:val="none" w:sz="0" w:space="0" w:color="auto"/>
              <w:bottom w:val="none" w:sz="0" w:space="0" w:color="auto"/>
            </w:tcBorders>
          </w:tcPr>
          <w:p w14:paraId="0A3AB7BB" w14:textId="09738070"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Cross-output linkage with the digital insurance pillar (Output 3). Lower weight than feasibility criteria because it is an enabling criterion.</w:t>
            </w:r>
          </w:p>
        </w:tc>
      </w:tr>
      <w:tr w:rsidR="00695BC8" w:rsidRPr="00E35798" w14:paraId="1F9856BC" w14:textId="77777777" w:rsidTr="00C725BB">
        <w:tc>
          <w:tcPr>
            <w:cnfStyle w:val="001000000000" w:firstRow="0" w:lastRow="0" w:firstColumn="1" w:lastColumn="0" w:oddVBand="0" w:evenVBand="0" w:oddHBand="0" w:evenHBand="0" w:firstRowFirstColumn="0" w:firstRowLastColumn="0" w:lastRowFirstColumn="0" w:lastRowLastColumn="0"/>
            <w:tcW w:w="809" w:type="pct"/>
          </w:tcPr>
          <w:p w14:paraId="157F4050" w14:textId="5DE5961D" w:rsidR="00695BC8" w:rsidRPr="00367EC1" w:rsidRDefault="00695BC8" w:rsidP="00367EC1">
            <w:pPr>
              <w:pStyle w:val="OikoTables03Content"/>
            </w:pPr>
            <w:r w:rsidRPr="00367EC1">
              <w:t>Environmental</w:t>
            </w:r>
          </w:p>
        </w:tc>
        <w:tc>
          <w:tcPr>
            <w:tcW w:w="1980" w:type="pct"/>
          </w:tcPr>
          <w:p w14:paraId="4DD3030C" w14:textId="73041D53"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Lifecycle environmental footprint distinct from water use: embedded carbon, chemical input intensity, impact on soil and water, land disturbance.</w:t>
            </w:r>
          </w:p>
        </w:tc>
        <w:tc>
          <w:tcPr>
            <w:tcW w:w="447" w:type="pct"/>
          </w:tcPr>
          <w:p w14:paraId="3328AFDD" w14:textId="20BBA511" w:rsidR="00695BC8" w:rsidRPr="00367EC1" w:rsidRDefault="00695BC8"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0.10</w:t>
            </w:r>
          </w:p>
        </w:tc>
        <w:tc>
          <w:tcPr>
            <w:tcW w:w="1764" w:type="pct"/>
          </w:tcPr>
          <w:p w14:paraId="3AEF7638" w14:textId="6BBBF66D" w:rsidR="00695BC8" w:rsidRPr="00367EC1" w:rsidRDefault="001A733B" w:rsidP="00367EC1">
            <w:pPr>
              <w:pStyle w:val="OikoTables03Content"/>
              <w:cnfStyle w:val="000000000000" w:firstRow="0" w:lastRow="0" w:firstColumn="0" w:lastColumn="0" w:oddVBand="0" w:evenVBand="0" w:oddHBand="0" w:evenHBand="0" w:firstRowFirstColumn="0" w:firstRowLastColumn="0" w:lastRowFirstColumn="0" w:lastRowLastColumn="0"/>
            </w:pPr>
            <w:r w:rsidRPr="00367EC1">
              <w:t xml:space="preserve">Relates to the </w:t>
            </w:r>
            <w:proofErr w:type="spellStart"/>
            <w:r w:rsidRPr="00367EC1">
              <w:t>EbA</w:t>
            </w:r>
            <w:proofErr w:type="spellEnd"/>
            <w:r w:rsidRPr="00367EC1">
              <w:t xml:space="preserve"> mandate of the project. Secondary direct adaptation function dominates selection.</w:t>
            </w:r>
          </w:p>
        </w:tc>
      </w:tr>
      <w:tr w:rsidR="00695BC8" w:rsidRPr="00E35798" w14:paraId="27FC2DED" w14:textId="77777777" w:rsidTr="00C72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32443347" w14:textId="0C966CAB" w:rsidR="00695BC8" w:rsidRPr="00367EC1" w:rsidRDefault="00695BC8" w:rsidP="00367EC1">
            <w:pPr>
              <w:pStyle w:val="OikoTables03Content"/>
            </w:pPr>
            <w:r w:rsidRPr="00367EC1">
              <w:t>Scalability</w:t>
            </w:r>
          </w:p>
        </w:tc>
        <w:tc>
          <w:tcPr>
            <w:tcW w:w="1980" w:type="pct"/>
            <w:tcBorders>
              <w:top w:val="none" w:sz="0" w:space="0" w:color="auto"/>
              <w:bottom w:val="none" w:sz="0" w:space="0" w:color="auto"/>
            </w:tcBorders>
          </w:tcPr>
          <w:p w14:paraId="7D70017B" w14:textId="325C05A7"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 xml:space="preserve">Replicability beyond pilot to aimag and/or national level: </w:t>
            </w:r>
            <w:proofErr w:type="spellStart"/>
            <w:r w:rsidRPr="00367EC1">
              <w:t>standardisation</w:t>
            </w:r>
            <w:proofErr w:type="spellEnd"/>
            <w:r w:rsidRPr="00367EC1">
              <w:t>, supply-chain availability and cooperative-vs-individual fit.</w:t>
            </w:r>
          </w:p>
        </w:tc>
        <w:tc>
          <w:tcPr>
            <w:tcW w:w="447" w:type="pct"/>
            <w:tcBorders>
              <w:top w:val="none" w:sz="0" w:space="0" w:color="auto"/>
              <w:bottom w:val="none" w:sz="0" w:space="0" w:color="auto"/>
            </w:tcBorders>
          </w:tcPr>
          <w:p w14:paraId="4CF5D1F4" w14:textId="2C38B241" w:rsidR="00695BC8" w:rsidRPr="00367EC1" w:rsidRDefault="00695BC8"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0.05</w:t>
            </w:r>
          </w:p>
        </w:tc>
        <w:tc>
          <w:tcPr>
            <w:tcW w:w="1764" w:type="pct"/>
            <w:tcBorders>
              <w:top w:val="none" w:sz="0" w:space="0" w:color="auto"/>
              <w:bottom w:val="none" w:sz="0" w:space="0" w:color="auto"/>
            </w:tcBorders>
          </w:tcPr>
          <w:p w14:paraId="0D846AAA" w14:textId="2BC97702" w:rsidR="00695BC8" w:rsidRPr="00367EC1" w:rsidRDefault="001A733B" w:rsidP="00367EC1">
            <w:pPr>
              <w:pStyle w:val="OikoTables03Content"/>
              <w:cnfStyle w:val="000000100000" w:firstRow="0" w:lastRow="0" w:firstColumn="0" w:lastColumn="0" w:oddVBand="0" w:evenVBand="0" w:oddHBand="1" w:evenHBand="0" w:firstRowFirstColumn="0" w:firstRowLastColumn="0" w:lastRowFirstColumn="0" w:lastRowLastColumn="0"/>
            </w:pPr>
            <w:r w:rsidRPr="00367EC1">
              <w:t xml:space="preserve">Considered as an enabling and not a selection criterion. The recommendations resulting from this study are tailored to the two target </w:t>
            </w:r>
            <w:proofErr w:type="spellStart"/>
            <w:r w:rsidRPr="00367EC1">
              <w:t>aimags</w:t>
            </w:r>
            <w:proofErr w:type="spellEnd"/>
            <w:r w:rsidRPr="00367EC1">
              <w:t>.</w:t>
            </w:r>
          </w:p>
        </w:tc>
      </w:tr>
      <w:tr w:rsidR="00695BC8" w:rsidRPr="00E35798" w14:paraId="17853652" w14:textId="77777777" w:rsidTr="00C725BB">
        <w:tc>
          <w:tcPr>
            <w:cnfStyle w:val="001000000000" w:firstRow="0" w:lastRow="0" w:firstColumn="1" w:lastColumn="0" w:oddVBand="0" w:evenVBand="0" w:oddHBand="0" w:evenHBand="0" w:firstRowFirstColumn="0" w:firstRowLastColumn="0" w:lastRowFirstColumn="0" w:lastRowLastColumn="0"/>
            <w:tcW w:w="809" w:type="pct"/>
            <w:shd w:val="clear" w:color="auto" w:fill="FAEBE1" w:themeFill="accent3" w:themeFillTint="33"/>
          </w:tcPr>
          <w:p w14:paraId="107AAACD" w14:textId="2E99A898" w:rsidR="00695BC8" w:rsidRPr="00E35798" w:rsidRDefault="00695BC8" w:rsidP="00D16E24">
            <w:pPr>
              <w:pStyle w:val="OikoTables03Content"/>
              <w:spacing w:after="120" w:line="240" w:lineRule="auto"/>
              <w:rPr>
                <w:lang w:val="en-GB"/>
              </w:rPr>
            </w:pPr>
            <w:r>
              <w:t>TOTAL</w:t>
            </w:r>
          </w:p>
        </w:tc>
        <w:tc>
          <w:tcPr>
            <w:tcW w:w="1980" w:type="pct"/>
            <w:shd w:val="clear" w:color="auto" w:fill="FAEBE1" w:themeFill="accent3" w:themeFillTint="33"/>
          </w:tcPr>
          <w:p w14:paraId="4CF73BCF" w14:textId="790A73E9" w:rsidR="00695BC8" w:rsidRPr="00E35798" w:rsidRDefault="00695BC8"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447" w:type="pct"/>
            <w:shd w:val="clear" w:color="auto" w:fill="FAEBE1" w:themeFill="accent3" w:themeFillTint="33"/>
          </w:tcPr>
          <w:p w14:paraId="43BE5D06" w14:textId="57E591E7" w:rsidR="00695BC8" w:rsidRPr="00A209B2" w:rsidRDefault="00695BC8"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sidRPr="00A209B2">
              <w:rPr>
                <w:b/>
                <w:bCs/>
              </w:rPr>
              <w:t>1.00</w:t>
            </w:r>
          </w:p>
        </w:tc>
        <w:tc>
          <w:tcPr>
            <w:tcW w:w="1764" w:type="pct"/>
            <w:shd w:val="clear" w:color="auto" w:fill="FAEBE1" w:themeFill="accent3" w:themeFillTint="33"/>
          </w:tcPr>
          <w:p w14:paraId="79038D70" w14:textId="1E97E51C" w:rsidR="00695BC8" w:rsidRPr="00E35798" w:rsidRDefault="00695BC8"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p>
        </w:tc>
      </w:tr>
    </w:tbl>
    <w:p w14:paraId="6C819A37" w14:textId="012ED0FC" w:rsidR="00013FC5" w:rsidRDefault="00013FC5" w:rsidP="00EB489E"/>
    <w:p w14:paraId="7C13F5A3" w14:textId="29F939F6" w:rsidR="00CB4D67" w:rsidRDefault="00CB4D67" w:rsidP="00EB489E">
      <w:r>
        <w:t>The distinction between water efficiency and environmental deserves emphasis: the first measures how much irrigation water is needed per kilogram of produce (a productivity metric under the project’s water constraint), while the second captures the broader lifecycle footprint — embedded carbon in the structure, chemical-input intensity, and soil and land disturbance. They are complementary, not overlapping.</w:t>
      </w:r>
    </w:p>
    <w:p w14:paraId="66D632D1" w14:textId="77777777" w:rsidR="002F76AC" w:rsidRDefault="002F76AC" w:rsidP="00EB489E">
      <w:pPr>
        <w:rPr>
          <w:b/>
          <w:bCs/>
          <w:lang w:val="en-US"/>
        </w:rPr>
      </w:pPr>
    </w:p>
    <w:p w14:paraId="57FB3947" w14:textId="03016040" w:rsidR="0006389F" w:rsidRDefault="0006389F" w:rsidP="00EB489E">
      <w:pPr>
        <w:rPr>
          <w:lang w:val="en-US"/>
        </w:rPr>
      </w:pPr>
      <w:r>
        <w:rPr>
          <w:b/>
          <w:bCs/>
          <w:lang w:val="en-US"/>
        </w:rPr>
        <w:t xml:space="preserve">Result: </w:t>
      </w:r>
      <w:r>
        <w:rPr>
          <w:lang w:val="en-US"/>
        </w:rPr>
        <w:t xml:space="preserve">The earth-sheltered passive-solar greenhouse scores highest (4.25/5.00), driven by its excellent climate resilience, zero heating cost and strong affordability for Mongolian conditions. The polycarbonate semi-permanent greenhouse ranks second (3.78), offering greater wind resistance and durability at a higher cost. </w:t>
      </w:r>
    </w:p>
    <w:p w14:paraId="3A022E1C" w14:textId="00AFAF6F" w:rsidR="002F76AC" w:rsidRDefault="002F76AC">
      <w:pPr>
        <w:spacing w:after="160" w:line="259" w:lineRule="auto"/>
        <w:contextualSpacing w:val="0"/>
        <w:jc w:val="left"/>
        <w:rPr>
          <w:lang w:val="en-US"/>
        </w:rPr>
      </w:pPr>
      <w:r>
        <w:rPr>
          <w:lang w:val="en-US"/>
        </w:rPr>
        <w:br w:type="page"/>
      </w:r>
    </w:p>
    <w:p w14:paraId="6EE9DED5" w14:textId="77777777" w:rsidR="002F76AC" w:rsidRPr="00CB4D67" w:rsidRDefault="002F76AC" w:rsidP="00EB489E">
      <w:pPr>
        <w:rPr>
          <w:lang w:val="en-US"/>
        </w:rPr>
      </w:pPr>
    </w:p>
    <w:p w14:paraId="6B4252D3" w14:textId="5558FBC2" w:rsidR="00CB4D67" w:rsidRPr="00CB4D67" w:rsidRDefault="00CB4D67" w:rsidP="002F76AC">
      <w:pPr>
        <w:pStyle w:val="Caption"/>
        <w:framePr w:wrap="notBeside"/>
      </w:pPr>
      <w:r>
        <w:t>Table 31. Greenhouse MCA - weighted scores</w:t>
      </w:r>
    </w:p>
    <w:tbl>
      <w:tblPr>
        <w:tblStyle w:val="PlainTable2"/>
        <w:tblW w:w="9649" w:type="dxa"/>
        <w:tblLook w:val="04A0" w:firstRow="1" w:lastRow="0" w:firstColumn="1" w:lastColumn="0" w:noHBand="0" w:noVBand="1"/>
      </w:tblPr>
      <w:tblGrid>
        <w:gridCol w:w="1498"/>
        <w:gridCol w:w="986"/>
        <w:gridCol w:w="980"/>
        <w:gridCol w:w="988"/>
        <w:gridCol w:w="1085"/>
        <w:gridCol w:w="1101"/>
        <w:gridCol w:w="1310"/>
        <w:gridCol w:w="1701"/>
      </w:tblGrid>
      <w:tr w:rsidR="00DD3BAD" w:rsidRPr="00BA7414" w14:paraId="3404E4A3" w14:textId="77777777" w:rsidTr="355C2A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shd w:val="clear" w:color="auto" w:fill="E99E6D" w:themeFill="accent3"/>
          </w:tcPr>
          <w:p w14:paraId="78A6852B" w14:textId="77777777" w:rsidR="00DD3BAD" w:rsidRPr="00BA7414" w:rsidRDefault="00DD3BAD" w:rsidP="00D16E24">
            <w:pPr>
              <w:pStyle w:val="OikoTables02"/>
              <w:rPr>
                <w:b w:val="0"/>
              </w:rPr>
            </w:pPr>
            <w:r>
              <w:t>Criterion</w:t>
            </w:r>
          </w:p>
        </w:tc>
        <w:tc>
          <w:tcPr>
            <w:tcW w:w="986" w:type="dxa"/>
            <w:shd w:val="clear" w:color="auto" w:fill="E99E6D" w:themeFill="accent3"/>
          </w:tcPr>
          <w:p w14:paraId="274FB663" w14:textId="6443347F"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rPr>
            </w:pPr>
            <w:r>
              <w:t>Low tunnel</w:t>
            </w:r>
          </w:p>
        </w:tc>
        <w:tc>
          <w:tcPr>
            <w:tcW w:w="980" w:type="dxa"/>
            <w:shd w:val="clear" w:color="auto" w:fill="E99E6D" w:themeFill="accent3"/>
          </w:tcPr>
          <w:p w14:paraId="3814BFDE" w14:textId="548E2B65"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rPr>
            </w:pPr>
            <w:r>
              <w:t>Single film</w:t>
            </w:r>
          </w:p>
        </w:tc>
        <w:tc>
          <w:tcPr>
            <w:tcW w:w="988" w:type="dxa"/>
            <w:shd w:val="clear" w:color="auto" w:fill="E99E6D" w:themeFill="accent3"/>
          </w:tcPr>
          <w:p w14:paraId="0F118191" w14:textId="0BAD9B0D"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rPr>
            </w:pPr>
            <w:r>
              <w:t>Double film</w:t>
            </w:r>
          </w:p>
        </w:tc>
        <w:tc>
          <w:tcPr>
            <w:tcW w:w="1085" w:type="dxa"/>
            <w:shd w:val="clear" w:color="auto" w:fill="E99E6D" w:themeFill="accent3"/>
          </w:tcPr>
          <w:p w14:paraId="2DA449F4" w14:textId="1A355B44"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rPr>
            </w:pPr>
            <w:r>
              <w:t>Passive solar</w:t>
            </w:r>
          </w:p>
        </w:tc>
        <w:tc>
          <w:tcPr>
            <w:tcW w:w="1101" w:type="dxa"/>
            <w:shd w:val="clear" w:color="auto" w:fill="E99E6D" w:themeFill="accent3"/>
          </w:tcPr>
          <w:p w14:paraId="12B5EAEA" w14:textId="77777777"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bCs w:val="0"/>
                <w:lang w:val="en-GB"/>
              </w:rPr>
            </w:pPr>
            <w:proofErr w:type="spellStart"/>
            <w:r>
              <w:rPr>
                <w:lang w:val="en-GB"/>
              </w:rPr>
              <w:t>Polycarb</w:t>
            </w:r>
            <w:proofErr w:type="spellEnd"/>
            <w:r>
              <w:rPr>
                <w:lang w:val="en-GB"/>
              </w:rPr>
              <w:t>.</w:t>
            </w:r>
          </w:p>
        </w:tc>
        <w:tc>
          <w:tcPr>
            <w:tcW w:w="1310" w:type="dxa"/>
            <w:shd w:val="clear" w:color="auto" w:fill="E99E6D" w:themeFill="accent3"/>
          </w:tcPr>
          <w:p w14:paraId="6801BB3E" w14:textId="77777777"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rPr>
            </w:pPr>
            <w:r>
              <w:t>Venlo</w:t>
            </w:r>
          </w:p>
        </w:tc>
        <w:tc>
          <w:tcPr>
            <w:tcW w:w="1701" w:type="dxa"/>
            <w:shd w:val="clear" w:color="auto" w:fill="E99E6D" w:themeFill="accent3"/>
          </w:tcPr>
          <w:p w14:paraId="2579281F" w14:textId="77777777" w:rsidR="00DD3BAD" w:rsidRPr="00BA7414" w:rsidRDefault="00DD3BAD" w:rsidP="00D16E24">
            <w:pPr>
              <w:pStyle w:val="OikoTables02"/>
              <w:cnfStyle w:val="100000000000" w:firstRow="1" w:lastRow="0" w:firstColumn="0" w:lastColumn="0" w:oddVBand="0" w:evenVBand="0" w:oddHBand="0" w:evenHBand="0" w:firstRowFirstColumn="0" w:firstRowLastColumn="0" w:lastRowFirstColumn="0" w:lastRowLastColumn="0"/>
              <w:rPr>
                <w:b w:val="0"/>
              </w:rPr>
            </w:pPr>
            <w:r>
              <w:t>Agri-PV</w:t>
            </w:r>
          </w:p>
        </w:tc>
      </w:tr>
      <w:tr w:rsidR="00DD3BAD" w:rsidRPr="00BA7414" w14:paraId="1415A90E" w14:textId="77777777" w:rsidTr="355C2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14:paraId="3AC3FD9C" w14:textId="77777777" w:rsidR="00DD3BAD" w:rsidRPr="00FF1CE4" w:rsidRDefault="00DD3BAD" w:rsidP="00D16E24">
            <w:pPr>
              <w:pStyle w:val="OikoTables03Content"/>
              <w:spacing w:after="120" w:line="240" w:lineRule="auto"/>
              <w:rPr>
                <w:b w:val="0"/>
                <w:bCs w:val="0"/>
              </w:rPr>
            </w:pPr>
            <w:r>
              <w:rPr>
                <w:b w:val="0"/>
                <w:bCs w:val="0"/>
              </w:rPr>
              <w:t>Water Efficiency</w:t>
            </w:r>
          </w:p>
        </w:tc>
        <w:tc>
          <w:tcPr>
            <w:tcW w:w="986" w:type="dxa"/>
          </w:tcPr>
          <w:p w14:paraId="0BE50C96"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2.0</w:t>
            </w:r>
          </w:p>
        </w:tc>
        <w:tc>
          <w:tcPr>
            <w:tcW w:w="980" w:type="dxa"/>
          </w:tcPr>
          <w:p w14:paraId="6D2091D5"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3.0</w:t>
            </w:r>
          </w:p>
        </w:tc>
        <w:tc>
          <w:tcPr>
            <w:tcW w:w="988" w:type="dxa"/>
          </w:tcPr>
          <w:p w14:paraId="15879330"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3.5</w:t>
            </w:r>
          </w:p>
        </w:tc>
        <w:tc>
          <w:tcPr>
            <w:tcW w:w="1085" w:type="dxa"/>
          </w:tcPr>
          <w:p w14:paraId="0D266731"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4.5</w:t>
            </w:r>
          </w:p>
        </w:tc>
        <w:tc>
          <w:tcPr>
            <w:tcW w:w="1101" w:type="dxa"/>
          </w:tcPr>
          <w:p w14:paraId="1551729C"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4.5</w:t>
            </w:r>
          </w:p>
        </w:tc>
        <w:tc>
          <w:tcPr>
            <w:tcW w:w="1310" w:type="dxa"/>
          </w:tcPr>
          <w:p w14:paraId="70A679CD"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5.0</w:t>
            </w:r>
          </w:p>
        </w:tc>
        <w:tc>
          <w:tcPr>
            <w:tcW w:w="1701" w:type="dxa"/>
          </w:tcPr>
          <w:p w14:paraId="3D9B90FA"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4.5</w:t>
            </w:r>
          </w:p>
        </w:tc>
      </w:tr>
      <w:tr w:rsidR="00DD3BAD" w:rsidRPr="00BA7414" w14:paraId="0B3E9472" w14:textId="77777777" w:rsidTr="355C2ADB">
        <w:tc>
          <w:tcPr>
            <w:cnfStyle w:val="001000000000" w:firstRow="0" w:lastRow="0" w:firstColumn="1" w:lastColumn="0" w:oddVBand="0" w:evenVBand="0" w:oddHBand="0" w:evenHBand="0" w:firstRowFirstColumn="0" w:firstRowLastColumn="0" w:lastRowFirstColumn="0" w:lastRowLastColumn="0"/>
            <w:tcW w:w="1498" w:type="dxa"/>
          </w:tcPr>
          <w:p w14:paraId="1E033696" w14:textId="77777777" w:rsidR="00DD3BAD" w:rsidRPr="00FF1CE4" w:rsidRDefault="00DD3BAD" w:rsidP="00D16E24">
            <w:pPr>
              <w:pStyle w:val="OikoTables03Content"/>
              <w:spacing w:after="120" w:line="240" w:lineRule="auto"/>
              <w:rPr>
                <w:b w:val="0"/>
                <w:bCs w:val="0"/>
              </w:rPr>
            </w:pPr>
            <w:r>
              <w:rPr>
                <w:b w:val="0"/>
                <w:bCs w:val="0"/>
              </w:rPr>
              <w:t>Affordability</w:t>
            </w:r>
          </w:p>
        </w:tc>
        <w:tc>
          <w:tcPr>
            <w:tcW w:w="986" w:type="dxa"/>
          </w:tcPr>
          <w:p w14:paraId="7C51CA51"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5.0</w:t>
            </w:r>
          </w:p>
        </w:tc>
        <w:tc>
          <w:tcPr>
            <w:tcW w:w="980" w:type="dxa"/>
          </w:tcPr>
          <w:p w14:paraId="68CB7D9C"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4.5</w:t>
            </w:r>
          </w:p>
        </w:tc>
        <w:tc>
          <w:tcPr>
            <w:tcW w:w="988" w:type="dxa"/>
          </w:tcPr>
          <w:p w14:paraId="619EB0FF"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4.0</w:t>
            </w:r>
          </w:p>
        </w:tc>
        <w:tc>
          <w:tcPr>
            <w:tcW w:w="1085" w:type="dxa"/>
          </w:tcPr>
          <w:p w14:paraId="1FF912FC"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4.0</w:t>
            </w:r>
          </w:p>
        </w:tc>
        <w:tc>
          <w:tcPr>
            <w:tcW w:w="1101" w:type="dxa"/>
          </w:tcPr>
          <w:p w14:paraId="315A1A0D"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2.5</w:t>
            </w:r>
          </w:p>
        </w:tc>
        <w:tc>
          <w:tcPr>
            <w:tcW w:w="1310" w:type="dxa"/>
          </w:tcPr>
          <w:p w14:paraId="68A629A8"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1.0</w:t>
            </w:r>
          </w:p>
        </w:tc>
        <w:tc>
          <w:tcPr>
            <w:tcW w:w="1701" w:type="dxa"/>
          </w:tcPr>
          <w:p w14:paraId="4998F011"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1.0</w:t>
            </w:r>
          </w:p>
        </w:tc>
      </w:tr>
      <w:tr w:rsidR="00DD3BAD" w:rsidRPr="00BA7414" w14:paraId="3CE42EA5" w14:textId="77777777" w:rsidTr="355C2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14:paraId="7AD18BD6" w14:textId="3F40241D" w:rsidR="00DD3BAD" w:rsidRPr="00FF1CE4" w:rsidRDefault="00DD3BAD" w:rsidP="00D16E24">
            <w:pPr>
              <w:pStyle w:val="OikoTables03Content"/>
              <w:spacing w:after="120" w:line="240" w:lineRule="auto"/>
              <w:rPr>
                <w:b w:val="0"/>
                <w:bCs w:val="0"/>
              </w:rPr>
            </w:pPr>
            <w:r>
              <w:rPr>
                <w:b w:val="0"/>
                <w:bCs w:val="0"/>
              </w:rPr>
              <w:t>Climate resilience</w:t>
            </w:r>
          </w:p>
        </w:tc>
        <w:tc>
          <w:tcPr>
            <w:tcW w:w="986" w:type="dxa"/>
          </w:tcPr>
          <w:p w14:paraId="53EE9A4F"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1.0</w:t>
            </w:r>
          </w:p>
        </w:tc>
        <w:tc>
          <w:tcPr>
            <w:tcW w:w="980" w:type="dxa"/>
          </w:tcPr>
          <w:p w14:paraId="03A2B56D"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2.0</w:t>
            </w:r>
          </w:p>
        </w:tc>
        <w:tc>
          <w:tcPr>
            <w:tcW w:w="988" w:type="dxa"/>
          </w:tcPr>
          <w:p w14:paraId="1416B938"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3.0</w:t>
            </w:r>
          </w:p>
        </w:tc>
        <w:tc>
          <w:tcPr>
            <w:tcW w:w="1085" w:type="dxa"/>
          </w:tcPr>
          <w:p w14:paraId="46CC49AC"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5.0</w:t>
            </w:r>
          </w:p>
        </w:tc>
        <w:tc>
          <w:tcPr>
            <w:tcW w:w="1101" w:type="dxa"/>
          </w:tcPr>
          <w:p w14:paraId="26332B65"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4.0</w:t>
            </w:r>
          </w:p>
        </w:tc>
        <w:tc>
          <w:tcPr>
            <w:tcW w:w="1310" w:type="dxa"/>
          </w:tcPr>
          <w:p w14:paraId="1414885A"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4.5</w:t>
            </w:r>
          </w:p>
        </w:tc>
        <w:tc>
          <w:tcPr>
            <w:tcW w:w="1701" w:type="dxa"/>
          </w:tcPr>
          <w:p w14:paraId="72BFA32F"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3.5</w:t>
            </w:r>
          </w:p>
        </w:tc>
      </w:tr>
      <w:tr w:rsidR="00DD3BAD" w:rsidRPr="00BA7414" w14:paraId="36EFCADD" w14:textId="77777777" w:rsidTr="355C2ADB">
        <w:tc>
          <w:tcPr>
            <w:cnfStyle w:val="001000000000" w:firstRow="0" w:lastRow="0" w:firstColumn="1" w:lastColumn="0" w:oddVBand="0" w:evenVBand="0" w:oddHBand="0" w:evenHBand="0" w:firstRowFirstColumn="0" w:firstRowLastColumn="0" w:lastRowFirstColumn="0" w:lastRowLastColumn="0"/>
            <w:tcW w:w="1498" w:type="dxa"/>
          </w:tcPr>
          <w:p w14:paraId="18DE516D" w14:textId="6FF99F2F" w:rsidR="00DD3BAD" w:rsidRPr="00FF1CE4" w:rsidRDefault="00DD3BAD" w:rsidP="00D16E24">
            <w:pPr>
              <w:pStyle w:val="OikoTables03Content"/>
              <w:spacing w:after="120" w:line="240" w:lineRule="auto"/>
              <w:rPr>
                <w:b w:val="0"/>
                <w:bCs w:val="0"/>
              </w:rPr>
            </w:pPr>
            <w:r>
              <w:rPr>
                <w:b w:val="0"/>
                <w:bCs w:val="0"/>
              </w:rPr>
              <w:t>Technical simplicity</w:t>
            </w:r>
          </w:p>
        </w:tc>
        <w:tc>
          <w:tcPr>
            <w:tcW w:w="986" w:type="dxa"/>
          </w:tcPr>
          <w:p w14:paraId="23E68224"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5.0</w:t>
            </w:r>
          </w:p>
        </w:tc>
        <w:tc>
          <w:tcPr>
            <w:tcW w:w="980" w:type="dxa"/>
          </w:tcPr>
          <w:p w14:paraId="5D1B53C0"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4.5</w:t>
            </w:r>
          </w:p>
        </w:tc>
        <w:tc>
          <w:tcPr>
            <w:tcW w:w="988" w:type="dxa"/>
          </w:tcPr>
          <w:p w14:paraId="7C68E12F"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4.0</w:t>
            </w:r>
          </w:p>
        </w:tc>
        <w:tc>
          <w:tcPr>
            <w:tcW w:w="1085" w:type="dxa"/>
          </w:tcPr>
          <w:p w14:paraId="5E93D29D"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3.5</w:t>
            </w:r>
          </w:p>
        </w:tc>
        <w:tc>
          <w:tcPr>
            <w:tcW w:w="1101" w:type="dxa"/>
          </w:tcPr>
          <w:p w14:paraId="6803CBB1"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3.0</w:t>
            </w:r>
          </w:p>
        </w:tc>
        <w:tc>
          <w:tcPr>
            <w:tcW w:w="1310" w:type="dxa"/>
          </w:tcPr>
          <w:p w14:paraId="74AA2C66"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1.5</w:t>
            </w:r>
          </w:p>
        </w:tc>
        <w:tc>
          <w:tcPr>
            <w:tcW w:w="1701" w:type="dxa"/>
          </w:tcPr>
          <w:p w14:paraId="3F7642DC"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1.0</w:t>
            </w:r>
          </w:p>
        </w:tc>
      </w:tr>
      <w:tr w:rsidR="00DD3BAD" w:rsidRPr="00BA7414" w14:paraId="20CA6F14" w14:textId="77777777" w:rsidTr="355C2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14:paraId="28464B11" w14:textId="77777777" w:rsidR="00DD3BAD" w:rsidRPr="00FF1CE4" w:rsidRDefault="00DD3BAD" w:rsidP="00D16E24">
            <w:pPr>
              <w:pStyle w:val="OikoTables03Content"/>
              <w:spacing w:after="120" w:line="240" w:lineRule="auto"/>
              <w:rPr>
                <w:b w:val="0"/>
                <w:bCs w:val="0"/>
              </w:rPr>
            </w:pPr>
            <w:r>
              <w:rPr>
                <w:b w:val="0"/>
                <w:bCs w:val="0"/>
              </w:rPr>
              <w:t>Insurability</w:t>
            </w:r>
          </w:p>
        </w:tc>
        <w:tc>
          <w:tcPr>
            <w:tcW w:w="986" w:type="dxa"/>
          </w:tcPr>
          <w:p w14:paraId="2BBA894B"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1.0</w:t>
            </w:r>
          </w:p>
        </w:tc>
        <w:tc>
          <w:tcPr>
            <w:tcW w:w="980" w:type="dxa"/>
          </w:tcPr>
          <w:p w14:paraId="2E31CBFA"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2.0</w:t>
            </w:r>
          </w:p>
        </w:tc>
        <w:tc>
          <w:tcPr>
            <w:tcW w:w="988" w:type="dxa"/>
          </w:tcPr>
          <w:p w14:paraId="476B0578"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3.0</w:t>
            </w:r>
          </w:p>
        </w:tc>
        <w:tc>
          <w:tcPr>
            <w:tcW w:w="1085" w:type="dxa"/>
          </w:tcPr>
          <w:p w14:paraId="6FBDA9A7"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4.0</w:t>
            </w:r>
          </w:p>
        </w:tc>
        <w:tc>
          <w:tcPr>
            <w:tcW w:w="1101" w:type="dxa"/>
          </w:tcPr>
          <w:p w14:paraId="5A225C6F"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5.0</w:t>
            </w:r>
          </w:p>
        </w:tc>
        <w:tc>
          <w:tcPr>
            <w:tcW w:w="1310" w:type="dxa"/>
          </w:tcPr>
          <w:p w14:paraId="7340F666"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5.0</w:t>
            </w:r>
          </w:p>
        </w:tc>
        <w:tc>
          <w:tcPr>
            <w:tcW w:w="1701" w:type="dxa"/>
          </w:tcPr>
          <w:p w14:paraId="1E398C5C"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4.0</w:t>
            </w:r>
          </w:p>
        </w:tc>
      </w:tr>
      <w:tr w:rsidR="00DD3BAD" w:rsidRPr="00BA7414" w14:paraId="06DB9113" w14:textId="77777777" w:rsidTr="355C2ADB">
        <w:tc>
          <w:tcPr>
            <w:cnfStyle w:val="001000000000" w:firstRow="0" w:lastRow="0" w:firstColumn="1" w:lastColumn="0" w:oddVBand="0" w:evenVBand="0" w:oddHBand="0" w:evenHBand="0" w:firstRowFirstColumn="0" w:firstRowLastColumn="0" w:lastRowFirstColumn="0" w:lastRowLastColumn="0"/>
            <w:tcW w:w="1498" w:type="dxa"/>
          </w:tcPr>
          <w:p w14:paraId="11141AF3" w14:textId="77777777" w:rsidR="00DD3BAD" w:rsidRPr="00FF1CE4" w:rsidRDefault="00DD3BAD" w:rsidP="00D16E24">
            <w:pPr>
              <w:pStyle w:val="OikoTables03Content"/>
              <w:spacing w:after="120" w:line="240" w:lineRule="auto"/>
              <w:rPr>
                <w:b w:val="0"/>
                <w:bCs w:val="0"/>
              </w:rPr>
            </w:pPr>
            <w:r>
              <w:rPr>
                <w:b w:val="0"/>
                <w:bCs w:val="0"/>
              </w:rPr>
              <w:t>Environmental</w:t>
            </w:r>
          </w:p>
        </w:tc>
        <w:tc>
          <w:tcPr>
            <w:tcW w:w="986" w:type="dxa"/>
          </w:tcPr>
          <w:p w14:paraId="4B5A9718"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2.0</w:t>
            </w:r>
          </w:p>
        </w:tc>
        <w:tc>
          <w:tcPr>
            <w:tcW w:w="980" w:type="dxa"/>
          </w:tcPr>
          <w:p w14:paraId="6D63641C"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2.5</w:t>
            </w:r>
          </w:p>
        </w:tc>
        <w:tc>
          <w:tcPr>
            <w:tcW w:w="988" w:type="dxa"/>
          </w:tcPr>
          <w:p w14:paraId="190471B2"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3.0</w:t>
            </w:r>
          </w:p>
        </w:tc>
        <w:tc>
          <w:tcPr>
            <w:tcW w:w="1085" w:type="dxa"/>
          </w:tcPr>
          <w:p w14:paraId="5A8A8650"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5.0</w:t>
            </w:r>
          </w:p>
        </w:tc>
        <w:tc>
          <w:tcPr>
            <w:tcW w:w="1101" w:type="dxa"/>
          </w:tcPr>
          <w:p w14:paraId="0F4FA44D"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4.0</w:t>
            </w:r>
          </w:p>
        </w:tc>
        <w:tc>
          <w:tcPr>
            <w:tcW w:w="1310" w:type="dxa"/>
          </w:tcPr>
          <w:p w14:paraId="7D5ECD66"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3.0</w:t>
            </w:r>
          </w:p>
        </w:tc>
        <w:tc>
          <w:tcPr>
            <w:tcW w:w="1701" w:type="dxa"/>
          </w:tcPr>
          <w:p w14:paraId="38FAC16F"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5.0</w:t>
            </w:r>
          </w:p>
        </w:tc>
      </w:tr>
      <w:tr w:rsidR="00DD3BAD" w:rsidRPr="00BA7414" w14:paraId="1E756B3F" w14:textId="77777777" w:rsidTr="355C2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8" w:type="dxa"/>
          </w:tcPr>
          <w:p w14:paraId="30593FE6" w14:textId="77777777" w:rsidR="00DD3BAD" w:rsidRPr="00FF1CE4" w:rsidRDefault="00DD3BAD" w:rsidP="00D16E24">
            <w:pPr>
              <w:pStyle w:val="OikoTables03Content"/>
              <w:spacing w:after="120" w:line="240" w:lineRule="auto"/>
              <w:rPr>
                <w:b w:val="0"/>
                <w:bCs w:val="0"/>
              </w:rPr>
            </w:pPr>
            <w:r>
              <w:rPr>
                <w:b w:val="0"/>
                <w:bCs w:val="0"/>
              </w:rPr>
              <w:t>Scalability</w:t>
            </w:r>
          </w:p>
        </w:tc>
        <w:tc>
          <w:tcPr>
            <w:tcW w:w="986" w:type="dxa"/>
          </w:tcPr>
          <w:p w14:paraId="6AF524A8"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4.0</w:t>
            </w:r>
          </w:p>
        </w:tc>
        <w:tc>
          <w:tcPr>
            <w:tcW w:w="980" w:type="dxa"/>
          </w:tcPr>
          <w:p w14:paraId="598C3385"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4.5</w:t>
            </w:r>
          </w:p>
        </w:tc>
        <w:tc>
          <w:tcPr>
            <w:tcW w:w="988" w:type="dxa"/>
          </w:tcPr>
          <w:p w14:paraId="72A16422"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4.5</w:t>
            </w:r>
          </w:p>
        </w:tc>
        <w:tc>
          <w:tcPr>
            <w:tcW w:w="1085" w:type="dxa"/>
          </w:tcPr>
          <w:p w14:paraId="348B5EFE"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3.0</w:t>
            </w:r>
          </w:p>
        </w:tc>
        <w:tc>
          <w:tcPr>
            <w:tcW w:w="1101" w:type="dxa"/>
          </w:tcPr>
          <w:p w14:paraId="61C80CD0"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4.0</w:t>
            </w:r>
          </w:p>
        </w:tc>
        <w:tc>
          <w:tcPr>
            <w:tcW w:w="1310" w:type="dxa"/>
          </w:tcPr>
          <w:p w14:paraId="52A07FE6"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5.0</w:t>
            </w:r>
          </w:p>
        </w:tc>
        <w:tc>
          <w:tcPr>
            <w:tcW w:w="1701" w:type="dxa"/>
          </w:tcPr>
          <w:p w14:paraId="72576974" w14:textId="77777777" w:rsidR="00DD3BAD" w:rsidRPr="00BA7414" w:rsidRDefault="00DD3BA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pPr>
            <w:r>
              <w:t>3.0</w:t>
            </w:r>
          </w:p>
        </w:tc>
      </w:tr>
      <w:tr w:rsidR="00DD3BAD" w:rsidRPr="00BA7414" w14:paraId="39AD245E" w14:textId="77777777" w:rsidTr="355C2ADB">
        <w:tc>
          <w:tcPr>
            <w:cnfStyle w:val="001000000000" w:firstRow="0" w:lastRow="0" w:firstColumn="1" w:lastColumn="0" w:oddVBand="0" w:evenVBand="0" w:oddHBand="0" w:evenHBand="0" w:firstRowFirstColumn="0" w:firstRowLastColumn="0" w:lastRowFirstColumn="0" w:lastRowLastColumn="0"/>
            <w:tcW w:w="1498" w:type="dxa"/>
            <w:shd w:val="clear" w:color="auto" w:fill="FAEBE1" w:themeFill="accent3" w:themeFillTint="33"/>
          </w:tcPr>
          <w:p w14:paraId="19A01D24" w14:textId="77777777" w:rsidR="00DD3BAD" w:rsidRPr="00BA7414" w:rsidRDefault="00DD3BAD" w:rsidP="00D16E24">
            <w:pPr>
              <w:pStyle w:val="OikoTables03Content"/>
              <w:spacing w:after="120" w:line="240" w:lineRule="auto"/>
            </w:pPr>
            <w:r>
              <w:t>WEIGHTED SCORE</w:t>
            </w:r>
          </w:p>
        </w:tc>
        <w:tc>
          <w:tcPr>
            <w:tcW w:w="986" w:type="dxa"/>
            <w:shd w:val="clear" w:color="auto" w:fill="FAEBE1" w:themeFill="accent3" w:themeFillTint="33"/>
          </w:tcPr>
          <w:p w14:paraId="2E8AABF8" w14:textId="13EEF2B3"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2.90</w:t>
            </w:r>
          </w:p>
        </w:tc>
        <w:tc>
          <w:tcPr>
            <w:tcW w:w="980" w:type="dxa"/>
            <w:shd w:val="clear" w:color="auto" w:fill="FAEBE1" w:themeFill="accent3" w:themeFillTint="33"/>
          </w:tcPr>
          <w:p w14:paraId="18F42449" w14:textId="6751F8BD"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3.30</w:t>
            </w:r>
          </w:p>
        </w:tc>
        <w:tc>
          <w:tcPr>
            <w:tcW w:w="988" w:type="dxa"/>
            <w:shd w:val="clear" w:color="auto" w:fill="FAEBE1" w:themeFill="accent3" w:themeFillTint="33"/>
          </w:tcPr>
          <w:p w14:paraId="6920BA2A" w14:textId="77777777" w:rsidR="00DD3BAD" w:rsidRPr="00BA7414"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3.55</w:t>
            </w:r>
          </w:p>
        </w:tc>
        <w:tc>
          <w:tcPr>
            <w:tcW w:w="1085" w:type="dxa"/>
            <w:shd w:val="clear" w:color="auto" w:fill="FAEBE1" w:themeFill="accent3" w:themeFillTint="33"/>
          </w:tcPr>
          <w:p w14:paraId="2792DF8F" w14:textId="43AB962B" w:rsidR="00DD3BAD" w:rsidRPr="00311452"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rPr>
            </w:pPr>
            <w:r>
              <w:rPr>
                <w:b/>
                <w:bCs/>
              </w:rPr>
              <w:t>4.25</w:t>
            </w:r>
          </w:p>
        </w:tc>
        <w:tc>
          <w:tcPr>
            <w:tcW w:w="1101" w:type="dxa"/>
            <w:shd w:val="clear" w:color="auto" w:fill="FAEBE1" w:themeFill="accent3" w:themeFillTint="33"/>
          </w:tcPr>
          <w:p w14:paraId="489745EB" w14:textId="189EE8CF" w:rsidR="00DD3BAD" w:rsidRPr="00311452" w:rsidRDefault="00DD3BAD"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rPr>
            </w:pPr>
            <w:r>
              <w:rPr>
                <w:b/>
                <w:bCs/>
              </w:rPr>
              <w:t>3.78</w:t>
            </w:r>
          </w:p>
        </w:tc>
        <w:tc>
          <w:tcPr>
            <w:tcW w:w="1310" w:type="dxa"/>
            <w:shd w:val="clear" w:color="auto" w:fill="FAEBE1" w:themeFill="accent3" w:themeFillTint="33"/>
          </w:tcPr>
          <w:p w14:paraId="6E622175" w14:textId="13721A06" w:rsidR="00DD3BAD" w:rsidRPr="00BA7414" w:rsidRDefault="00FF1CE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3.40</w:t>
            </w:r>
          </w:p>
        </w:tc>
        <w:tc>
          <w:tcPr>
            <w:tcW w:w="1701" w:type="dxa"/>
            <w:shd w:val="clear" w:color="auto" w:fill="FAEBE1" w:themeFill="accent3" w:themeFillTint="33"/>
          </w:tcPr>
          <w:p w14:paraId="45AA8495" w14:textId="3EEB10A6" w:rsidR="00DD3BAD" w:rsidRPr="00BA7414" w:rsidRDefault="00FF1CE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pPr>
            <w:r>
              <w:t>3.05</w:t>
            </w:r>
          </w:p>
        </w:tc>
      </w:tr>
    </w:tbl>
    <w:p w14:paraId="613A0976" w14:textId="77777777" w:rsidR="00717832" w:rsidRDefault="00717832" w:rsidP="00EB489E"/>
    <w:p w14:paraId="5B1ADECB" w14:textId="16BE9F5F" w:rsidR="00013FC5" w:rsidRPr="00E35798" w:rsidRDefault="1E4F047E" w:rsidP="00583859">
      <w:pPr>
        <w:pStyle w:val="Heading3"/>
      </w:pPr>
      <w:bookmarkStart w:id="133" w:name="_Toc233981339"/>
      <w:r>
        <w:t>Province-specific rankings and recommended specifications</w:t>
      </w:r>
      <w:bookmarkEnd w:id="133"/>
      <w:r>
        <w:t xml:space="preserve"> </w:t>
      </w:r>
    </w:p>
    <w:p w14:paraId="4B36E22F" w14:textId="349849FA" w:rsidR="00CB4D67" w:rsidRPr="00CB4D67" w:rsidRDefault="00CB4D67" w:rsidP="00CB4D67">
      <w:pPr>
        <w:pStyle w:val="FirstParagraph"/>
        <w:spacing w:before="120" w:after="120"/>
        <w:jc w:val="both"/>
      </w:pPr>
      <w:r>
        <w:t xml:space="preserve">The same criteria apply in both provinces, but the </w:t>
      </w:r>
      <w:r>
        <w:rPr>
          <w:i/>
          <w:iCs/>
        </w:rPr>
        <w:t>weights</w:t>
      </w:r>
      <w:r>
        <w:t xml:space="preserve"> are tuned to each context — </w:t>
      </w:r>
      <w:proofErr w:type="spellStart"/>
      <w:r>
        <w:t>Uvurkhangai’s</w:t>
      </w:r>
      <w:proofErr w:type="spellEnd"/>
      <w:r>
        <w:t xml:space="preserve"> cold, better-watered forest-steppe versus </w:t>
      </w:r>
      <w:proofErr w:type="spellStart"/>
      <w:r>
        <w:t>Dundgovi’s</w:t>
      </w:r>
      <w:proofErr w:type="spellEnd"/>
      <w:r>
        <w:t xml:space="preserve"> semi-desert aridity and extreme wind — which shifts the province-level ranking.</w:t>
      </w:r>
    </w:p>
    <w:p w14:paraId="6950A60C" w14:textId="4DF4DE97" w:rsidR="00013FC5" w:rsidRPr="00E35798" w:rsidRDefault="00A61AAC" w:rsidP="00A61AAC">
      <w:pPr>
        <w:pStyle w:val="Caption"/>
        <w:framePr w:wrap="notBeside"/>
      </w:pPr>
      <w:r>
        <w:t xml:space="preserve">Table 31. </w:t>
      </w:r>
      <w:r w:rsidR="000B0B96">
        <w:t>Uvurkhangai (cold-climate weighting)</w:t>
      </w:r>
    </w:p>
    <w:tbl>
      <w:tblPr>
        <w:tblStyle w:val="PlainTable2"/>
        <w:tblW w:w="5000" w:type="pct"/>
        <w:tblLook w:val="04A0" w:firstRow="1" w:lastRow="0" w:firstColumn="1" w:lastColumn="0" w:noHBand="0" w:noVBand="1"/>
      </w:tblPr>
      <w:tblGrid>
        <w:gridCol w:w="2696"/>
        <w:gridCol w:w="1274"/>
        <w:gridCol w:w="850"/>
        <w:gridCol w:w="1583"/>
        <w:gridCol w:w="3235"/>
      </w:tblGrid>
      <w:tr w:rsidR="00013FC5" w:rsidRPr="00E35798" w14:paraId="0BBEA7A5" w14:textId="77777777" w:rsidTr="00CB4D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shd w:val="clear" w:color="auto" w:fill="E99E6D" w:themeFill="accent3"/>
          </w:tcPr>
          <w:p w14:paraId="55FEFA44" w14:textId="4EF96CBD" w:rsidR="00013FC5" w:rsidRPr="00E35798" w:rsidRDefault="00013FC5" w:rsidP="00D16E24">
            <w:pPr>
              <w:pStyle w:val="OikoTables03Content"/>
              <w:spacing w:after="120" w:line="240" w:lineRule="auto"/>
              <w:rPr>
                <w:lang w:val="en-GB"/>
              </w:rPr>
            </w:pPr>
            <w:r>
              <w:rPr>
                <w:lang w:val="en-GB"/>
              </w:rPr>
              <w:t>Greenhouse type</w:t>
            </w:r>
          </w:p>
        </w:tc>
        <w:tc>
          <w:tcPr>
            <w:tcW w:w="661" w:type="pct"/>
            <w:shd w:val="clear" w:color="auto" w:fill="E99E6D" w:themeFill="accent3"/>
          </w:tcPr>
          <w:p w14:paraId="31D3EFBA" w14:textId="10800DC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MCA Score</w:t>
            </w:r>
          </w:p>
        </w:tc>
        <w:tc>
          <w:tcPr>
            <w:tcW w:w="441" w:type="pct"/>
            <w:shd w:val="clear" w:color="auto" w:fill="E99E6D" w:themeFill="accent3"/>
          </w:tcPr>
          <w:p w14:paraId="2AA07110"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Rank</w:t>
            </w:r>
          </w:p>
        </w:tc>
        <w:tc>
          <w:tcPr>
            <w:tcW w:w="821" w:type="pct"/>
            <w:shd w:val="clear" w:color="auto" w:fill="E99E6D" w:themeFill="accent3"/>
          </w:tcPr>
          <w:p w14:paraId="681E3905"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Capital Cost</w:t>
            </w:r>
          </w:p>
        </w:tc>
        <w:tc>
          <w:tcPr>
            <w:tcW w:w="1679" w:type="pct"/>
            <w:shd w:val="clear" w:color="auto" w:fill="E99E6D" w:themeFill="accent3"/>
          </w:tcPr>
          <w:p w14:paraId="6A7E5639"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Recommendation</w:t>
            </w:r>
          </w:p>
        </w:tc>
      </w:tr>
      <w:tr w:rsidR="00013FC5" w:rsidRPr="00E35798" w14:paraId="69C1B26B" w14:textId="77777777" w:rsidTr="00CB4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tcPr>
          <w:p w14:paraId="2C321DBD" w14:textId="1827FE4F" w:rsidR="00013FC5" w:rsidRPr="00CB4D67" w:rsidRDefault="7E9C5226" w:rsidP="00D16E24">
            <w:pPr>
              <w:pStyle w:val="OikoTables03Content"/>
              <w:spacing w:after="120" w:line="240" w:lineRule="auto"/>
              <w:rPr>
                <w:b w:val="0"/>
                <w:bCs w:val="0"/>
                <w:lang w:val="en-GB"/>
              </w:rPr>
            </w:pPr>
            <w:r>
              <w:rPr>
                <w:b w:val="0"/>
                <w:bCs w:val="0"/>
                <w:lang w:val="en-GB"/>
              </w:rPr>
              <w:t>Double hollow block-sheltered passive solar</w:t>
            </w:r>
          </w:p>
        </w:tc>
        <w:tc>
          <w:tcPr>
            <w:tcW w:w="661" w:type="pct"/>
          </w:tcPr>
          <w:p w14:paraId="19ABA95D"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4.45</w:t>
            </w:r>
          </w:p>
        </w:tc>
        <w:tc>
          <w:tcPr>
            <w:tcW w:w="441" w:type="pct"/>
          </w:tcPr>
          <w:p w14:paraId="698D161F"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1st</w:t>
            </w:r>
          </w:p>
        </w:tc>
        <w:tc>
          <w:tcPr>
            <w:tcW w:w="821" w:type="pct"/>
          </w:tcPr>
          <w:p w14:paraId="64968C16" w14:textId="66C7573C" w:rsidR="00013FC5" w:rsidRPr="00E35798" w:rsidRDefault="0E33697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20 – 55/m²</w:t>
            </w:r>
          </w:p>
        </w:tc>
        <w:tc>
          <w:tcPr>
            <w:tcW w:w="1679" w:type="pct"/>
          </w:tcPr>
          <w:p w14:paraId="7E890640" w14:textId="45A6F798" w:rsidR="00013FC5" w:rsidRPr="00E35798" w:rsidRDefault="00CB4D67"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Primary</w:t>
            </w:r>
          </w:p>
        </w:tc>
      </w:tr>
      <w:tr w:rsidR="00013FC5" w:rsidRPr="00E35798" w14:paraId="1F412C40" w14:textId="77777777" w:rsidTr="00CB4D67">
        <w:tc>
          <w:tcPr>
            <w:cnfStyle w:val="001000000000" w:firstRow="0" w:lastRow="0" w:firstColumn="1" w:lastColumn="0" w:oddVBand="0" w:evenVBand="0" w:oddHBand="0" w:evenHBand="0" w:firstRowFirstColumn="0" w:firstRowLastColumn="0" w:lastRowFirstColumn="0" w:lastRowLastColumn="0"/>
            <w:tcW w:w="1399" w:type="pct"/>
          </w:tcPr>
          <w:p w14:paraId="46E6A5BC" w14:textId="39BAF364" w:rsidR="00013FC5" w:rsidRPr="00CB4D67" w:rsidRDefault="00013FC5" w:rsidP="00D16E24">
            <w:pPr>
              <w:pStyle w:val="OikoTables03Content"/>
              <w:spacing w:after="120" w:line="240" w:lineRule="auto"/>
              <w:rPr>
                <w:b w:val="0"/>
                <w:bCs w:val="0"/>
                <w:lang w:val="en-GB"/>
              </w:rPr>
            </w:pPr>
            <w:r>
              <w:rPr>
                <w:b w:val="0"/>
                <w:bCs w:val="0"/>
                <w:lang w:val="en-GB"/>
              </w:rPr>
              <w:t>Double-layer polytunnel</w:t>
            </w:r>
          </w:p>
        </w:tc>
        <w:tc>
          <w:tcPr>
            <w:tcW w:w="661" w:type="pct"/>
          </w:tcPr>
          <w:p w14:paraId="19710899"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3.65</w:t>
            </w:r>
          </w:p>
        </w:tc>
        <w:tc>
          <w:tcPr>
            <w:tcW w:w="441" w:type="pct"/>
          </w:tcPr>
          <w:p w14:paraId="20638D42"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2nd</w:t>
            </w:r>
          </w:p>
        </w:tc>
        <w:tc>
          <w:tcPr>
            <w:tcW w:w="821" w:type="pct"/>
          </w:tcPr>
          <w:p w14:paraId="262ECEE1"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USD 12–18/m²</w:t>
            </w:r>
          </w:p>
        </w:tc>
        <w:tc>
          <w:tcPr>
            <w:tcW w:w="1679" w:type="pct"/>
          </w:tcPr>
          <w:p w14:paraId="6CC36687" w14:textId="31F85AE7" w:rsidR="00013FC5" w:rsidRPr="00E35798" w:rsidRDefault="00CB4D67"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Secondary</w:t>
            </w:r>
          </w:p>
        </w:tc>
      </w:tr>
      <w:tr w:rsidR="00013FC5" w:rsidRPr="00E35798" w14:paraId="7612E39F" w14:textId="77777777" w:rsidTr="00CB4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tcPr>
          <w:p w14:paraId="224B599C" w14:textId="0699EA1B" w:rsidR="00013FC5" w:rsidRPr="00CB4D67" w:rsidRDefault="00013FC5" w:rsidP="00D16E24">
            <w:pPr>
              <w:pStyle w:val="OikoTables03Content"/>
              <w:spacing w:after="120" w:line="240" w:lineRule="auto"/>
              <w:rPr>
                <w:b w:val="0"/>
                <w:bCs w:val="0"/>
                <w:lang w:val="en-GB"/>
              </w:rPr>
            </w:pPr>
            <w:r>
              <w:rPr>
                <w:b w:val="0"/>
                <w:bCs w:val="0"/>
                <w:lang w:val="en-GB"/>
              </w:rPr>
              <w:t>Polycarbonate semi-permanent</w:t>
            </w:r>
          </w:p>
        </w:tc>
        <w:tc>
          <w:tcPr>
            <w:tcW w:w="661" w:type="pct"/>
          </w:tcPr>
          <w:p w14:paraId="3FB97EA7"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3.60</w:t>
            </w:r>
          </w:p>
        </w:tc>
        <w:tc>
          <w:tcPr>
            <w:tcW w:w="441" w:type="pct"/>
          </w:tcPr>
          <w:p w14:paraId="4A3CA35C"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3rd</w:t>
            </w:r>
          </w:p>
        </w:tc>
        <w:tc>
          <w:tcPr>
            <w:tcW w:w="821" w:type="pct"/>
          </w:tcPr>
          <w:p w14:paraId="1353E055"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30–70/m²</w:t>
            </w:r>
          </w:p>
        </w:tc>
        <w:tc>
          <w:tcPr>
            <w:tcW w:w="1679" w:type="pct"/>
          </w:tcPr>
          <w:p w14:paraId="13D1E38A"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Cooperative</w:t>
            </w:r>
          </w:p>
        </w:tc>
      </w:tr>
    </w:tbl>
    <w:p w14:paraId="4DB33755" w14:textId="77777777" w:rsidR="00013FC5" w:rsidRPr="00E35798" w:rsidRDefault="00013FC5" w:rsidP="00EB489E"/>
    <w:p w14:paraId="6F5E995C" w14:textId="20602738" w:rsidR="00013FC5" w:rsidRPr="00E35798" w:rsidRDefault="00A61AAC" w:rsidP="00A61AAC">
      <w:pPr>
        <w:pStyle w:val="Caption"/>
        <w:framePr w:wrap="notBeside"/>
      </w:pPr>
      <w:r>
        <w:t xml:space="preserve">Table 32. </w:t>
      </w:r>
      <w:r w:rsidR="00013FC5">
        <w:t>Dundgovi (water scarcity and wind weighting)</w:t>
      </w:r>
    </w:p>
    <w:tbl>
      <w:tblPr>
        <w:tblStyle w:val="PlainTable2"/>
        <w:tblW w:w="5000" w:type="pct"/>
        <w:tblLook w:val="04A0" w:firstRow="1" w:lastRow="0" w:firstColumn="1" w:lastColumn="0" w:noHBand="0" w:noVBand="1"/>
      </w:tblPr>
      <w:tblGrid>
        <w:gridCol w:w="2723"/>
        <w:gridCol w:w="1247"/>
        <w:gridCol w:w="850"/>
        <w:gridCol w:w="1558"/>
        <w:gridCol w:w="3260"/>
      </w:tblGrid>
      <w:tr w:rsidR="00013FC5" w:rsidRPr="00E35798" w14:paraId="415432D7" w14:textId="77777777" w:rsidTr="00CB4D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pct"/>
            <w:shd w:val="clear" w:color="auto" w:fill="E99E6D" w:themeFill="accent3"/>
          </w:tcPr>
          <w:p w14:paraId="1B2E4454" w14:textId="4E7F9B92" w:rsidR="00013FC5" w:rsidRPr="00E35798" w:rsidRDefault="00013FC5" w:rsidP="00D16E24">
            <w:pPr>
              <w:pStyle w:val="OikoTables03Content"/>
              <w:spacing w:after="120" w:line="240" w:lineRule="auto"/>
              <w:rPr>
                <w:lang w:val="en-GB"/>
              </w:rPr>
            </w:pPr>
            <w:r>
              <w:rPr>
                <w:lang w:val="en-GB"/>
              </w:rPr>
              <w:t>Greenhouse type</w:t>
            </w:r>
          </w:p>
        </w:tc>
        <w:tc>
          <w:tcPr>
            <w:tcW w:w="647" w:type="pct"/>
            <w:shd w:val="clear" w:color="auto" w:fill="E99E6D" w:themeFill="accent3"/>
          </w:tcPr>
          <w:p w14:paraId="58FFFF30" w14:textId="1B9D47B0"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MCA Score</w:t>
            </w:r>
          </w:p>
        </w:tc>
        <w:tc>
          <w:tcPr>
            <w:tcW w:w="441" w:type="pct"/>
            <w:shd w:val="clear" w:color="auto" w:fill="E99E6D" w:themeFill="accent3"/>
          </w:tcPr>
          <w:p w14:paraId="6FEDC8E0"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Rank</w:t>
            </w:r>
          </w:p>
        </w:tc>
        <w:tc>
          <w:tcPr>
            <w:tcW w:w="808" w:type="pct"/>
            <w:shd w:val="clear" w:color="auto" w:fill="E99E6D" w:themeFill="accent3"/>
          </w:tcPr>
          <w:p w14:paraId="10401D8F"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Capital Cost</w:t>
            </w:r>
          </w:p>
        </w:tc>
        <w:tc>
          <w:tcPr>
            <w:tcW w:w="1691" w:type="pct"/>
            <w:shd w:val="clear" w:color="auto" w:fill="E99E6D" w:themeFill="accent3"/>
          </w:tcPr>
          <w:p w14:paraId="06BAA4E2"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Recommendation</w:t>
            </w:r>
          </w:p>
        </w:tc>
      </w:tr>
      <w:tr w:rsidR="00FF1CE4" w:rsidRPr="00E35798" w14:paraId="54799D4B" w14:textId="77777777" w:rsidTr="00BC4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pct"/>
          </w:tcPr>
          <w:p w14:paraId="507158D0" w14:textId="77777777" w:rsidR="00FF1CE4" w:rsidRPr="00CB4D67" w:rsidRDefault="00FF1CE4" w:rsidP="00BC467C">
            <w:pPr>
              <w:pStyle w:val="OikoTables03Content"/>
              <w:spacing w:after="120" w:line="240" w:lineRule="auto"/>
              <w:rPr>
                <w:b w:val="0"/>
                <w:bCs w:val="0"/>
                <w:lang w:val="en-GB"/>
              </w:rPr>
            </w:pPr>
            <w:r>
              <w:rPr>
                <w:b w:val="0"/>
                <w:bCs w:val="0"/>
                <w:lang w:val="en-GB"/>
              </w:rPr>
              <w:t>Earth-Sheltered Passive Solar</w:t>
            </w:r>
          </w:p>
        </w:tc>
        <w:tc>
          <w:tcPr>
            <w:tcW w:w="647" w:type="pct"/>
          </w:tcPr>
          <w:p w14:paraId="27690845" w14:textId="3220B1B5" w:rsidR="00FF1CE4" w:rsidRPr="00E35798" w:rsidRDefault="00FF1CE4" w:rsidP="00BC467C">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4.30</w:t>
            </w:r>
          </w:p>
        </w:tc>
        <w:tc>
          <w:tcPr>
            <w:tcW w:w="441" w:type="pct"/>
          </w:tcPr>
          <w:p w14:paraId="036EF757" w14:textId="38AD923E" w:rsidR="00FF1CE4" w:rsidRPr="00E35798" w:rsidRDefault="00FF1CE4" w:rsidP="00BC467C">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1st </w:t>
            </w:r>
          </w:p>
        </w:tc>
        <w:tc>
          <w:tcPr>
            <w:tcW w:w="808" w:type="pct"/>
          </w:tcPr>
          <w:p w14:paraId="531387E4" w14:textId="77777777" w:rsidR="00FF1CE4" w:rsidRPr="00E35798" w:rsidRDefault="00FF1CE4" w:rsidP="00BC467C">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15–25/m²</w:t>
            </w:r>
          </w:p>
        </w:tc>
        <w:tc>
          <w:tcPr>
            <w:tcW w:w="1691" w:type="pct"/>
          </w:tcPr>
          <w:p w14:paraId="2F511404" w14:textId="77777777" w:rsidR="00FF1CE4" w:rsidRPr="00E35798" w:rsidRDefault="00FF1CE4" w:rsidP="00BC467C">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Primary</w:t>
            </w:r>
          </w:p>
        </w:tc>
      </w:tr>
      <w:tr w:rsidR="00013FC5" w:rsidRPr="00E35798" w14:paraId="691638ED" w14:textId="77777777" w:rsidTr="00CB4D67">
        <w:tc>
          <w:tcPr>
            <w:cnfStyle w:val="001000000000" w:firstRow="0" w:lastRow="0" w:firstColumn="1" w:lastColumn="0" w:oddVBand="0" w:evenVBand="0" w:oddHBand="0" w:evenHBand="0" w:firstRowFirstColumn="0" w:firstRowLastColumn="0" w:lastRowFirstColumn="0" w:lastRowLastColumn="0"/>
            <w:tcW w:w="1413" w:type="pct"/>
          </w:tcPr>
          <w:p w14:paraId="562F398C" w14:textId="77777777" w:rsidR="00013FC5" w:rsidRPr="00CB4D67" w:rsidRDefault="00013FC5" w:rsidP="00D16E24">
            <w:pPr>
              <w:pStyle w:val="OikoTables03Content"/>
              <w:spacing w:after="120" w:line="240" w:lineRule="auto"/>
              <w:rPr>
                <w:b w:val="0"/>
                <w:bCs w:val="0"/>
                <w:lang w:val="en-GB"/>
              </w:rPr>
            </w:pPr>
            <w:r>
              <w:rPr>
                <w:b w:val="0"/>
                <w:bCs w:val="0"/>
                <w:lang w:val="en-GB"/>
              </w:rPr>
              <w:t>Polycarbonate Semi-Permanent</w:t>
            </w:r>
          </w:p>
        </w:tc>
        <w:tc>
          <w:tcPr>
            <w:tcW w:w="647" w:type="pct"/>
          </w:tcPr>
          <w:p w14:paraId="6CBF88B9" w14:textId="797968F8"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4.25</w:t>
            </w:r>
          </w:p>
        </w:tc>
        <w:tc>
          <w:tcPr>
            <w:tcW w:w="441" w:type="pct"/>
          </w:tcPr>
          <w:p w14:paraId="0AED0B62" w14:textId="4DC080C5" w:rsidR="00013FC5" w:rsidRPr="00E35798" w:rsidRDefault="00FF1CE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w:t>
            </w:r>
            <w:r>
              <w:rPr>
                <w:vertAlign w:val="superscript"/>
                <w:lang w:val="en-GB"/>
              </w:rPr>
              <w:t>nd</w:t>
            </w:r>
          </w:p>
        </w:tc>
        <w:tc>
          <w:tcPr>
            <w:tcW w:w="808" w:type="pct"/>
          </w:tcPr>
          <w:p w14:paraId="42DA70EA"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USD 35–55/m²</w:t>
            </w:r>
          </w:p>
        </w:tc>
        <w:tc>
          <w:tcPr>
            <w:tcW w:w="1691" w:type="pct"/>
          </w:tcPr>
          <w:p w14:paraId="512A9155" w14:textId="4EA7D06D" w:rsidR="00013FC5" w:rsidRPr="00E35798" w:rsidRDefault="00CB4D67"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Co-financed upgrade</w:t>
            </w:r>
          </w:p>
        </w:tc>
      </w:tr>
      <w:tr w:rsidR="00013FC5" w:rsidRPr="00E35798" w14:paraId="6ED2029B" w14:textId="77777777" w:rsidTr="00CB4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pct"/>
          </w:tcPr>
          <w:p w14:paraId="72D83E92" w14:textId="77777777" w:rsidR="00013FC5" w:rsidRPr="00CB4D67" w:rsidRDefault="00013FC5" w:rsidP="00D16E24">
            <w:pPr>
              <w:pStyle w:val="OikoTables03Content"/>
              <w:spacing w:after="120" w:line="240" w:lineRule="auto"/>
              <w:rPr>
                <w:b w:val="0"/>
                <w:bCs w:val="0"/>
                <w:lang w:val="en-GB"/>
              </w:rPr>
            </w:pPr>
            <w:r>
              <w:rPr>
                <w:b w:val="0"/>
                <w:bCs w:val="0"/>
                <w:lang w:val="en-GB"/>
              </w:rPr>
              <w:t>Double-Layer Polytunnel</w:t>
            </w:r>
          </w:p>
        </w:tc>
        <w:tc>
          <w:tcPr>
            <w:tcW w:w="647" w:type="pct"/>
          </w:tcPr>
          <w:p w14:paraId="6CE55841"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3.50</w:t>
            </w:r>
          </w:p>
        </w:tc>
        <w:tc>
          <w:tcPr>
            <w:tcW w:w="441" w:type="pct"/>
          </w:tcPr>
          <w:p w14:paraId="3577A123"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w:t>
            </w:r>
            <w:r>
              <w:rPr>
                <w:vertAlign w:val="superscript"/>
                <w:lang w:val="en-GB"/>
              </w:rPr>
              <w:t>rd</w:t>
            </w:r>
          </w:p>
        </w:tc>
        <w:tc>
          <w:tcPr>
            <w:tcW w:w="808" w:type="pct"/>
          </w:tcPr>
          <w:p w14:paraId="496D885E"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12–18/m²</w:t>
            </w:r>
          </w:p>
        </w:tc>
        <w:tc>
          <w:tcPr>
            <w:tcW w:w="1691" w:type="pct"/>
          </w:tcPr>
          <w:p w14:paraId="0A155106"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Budget option</w:t>
            </w:r>
          </w:p>
        </w:tc>
      </w:tr>
    </w:tbl>
    <w:p w14:paraId="09BAF3B1" w14:textId="154F8A56" w:rsidR="00013FC5" w:rsidRDefault="00013FC5" w:rsidP="00EB489E"/>
    <w:p w14:paraId="277ABAAB" w14:textId="58F42459" w:rsidR="00CB4D67" w:rsidRDefault="00FF1CE4" w:rsidP="00EB489E">
      <w:r>
        <w:t xml:space="preserve">The two provinces are differentiated through this weighting rather than through different criteria. In Dundgovi, the earth-sheltered passive-solar greenhouse ranks first: under the province’s wind- and aridity-weighted criteria, its superior climate resilience gives it the edge over the polycarbonate structure. The polycarbonate frame and rigid glazing withstand extreme wind better, but at USD 35–55/m² they make the Dundgovi package financially unviable, whereas the low-cost passive-solar design (USD 15–25/m²) makes it viable, as the companion cost-benefit analysis shows. Because the recommended shelterbelts (Section 7.3) supply the wind protection, the lower-cost passive-solar greenhouse is technically adequate and is therefore the recommended primary choice for Dundgovi; the polycarbonate greenhouse is retained as a higher-specification option to be </w:t>
      </w:r>
      <w:r>
        <w:lastRenderedPageBreak/>
        <w:t>taken up where public co-financing is available. In Uvurkhangai, where the passive-solar design already ranks first on both technical and cost grounds, no such trade-off arises.</w:t>
      </w:r>
    </w:p>
    <w:p w14:paraId="2D9547FD" w14:textId="77777777" w:rsidR="00126C1F" w:rsidRDefault="00126C1F" w:rsidP="00126C1F">
      <w:pPr>
        <w:rPr>
          <w:b/>
          <w:bCs/>
        </w:rPr>
      </w:pPr>
    </w:p>
    <w:p w14:paraId="642378AF" w14:textId="0908B1AF" w:rsidR="00013FC5" w:rsidRPr="00CB4D67" w:rsidRDefault="00013FC5" w:rsidP="00126C1F">
      <w:pPr>
        <w:rPr>
          <w:sz w:val="21"/>
          <w:szCs w:val="21"/>
        </w:rPr>
      </w:pPr>
      <w:r>
        <w:rPr>
          <w:b/>
          <w:bCs/>
        </w:rPr>
        <w:t xml:space="preserve">Recommended greenhouse specifications: </w:t>
      </w:r>
      <w:r>
        <w:t xml:space="preserve">For both </w:t>
      </w:r>
      <w:proofErr w:type="spellStart"/>
      <w:r>
        <w:t>aimags</w:t>
      </w:r>
      <w:proofErr w:type="spellEnd"/>
      <w:r>
        <w:t>, the earth-sheltered passive-solar greenhouse is recommended as the primary viable option. For Dundgovi, however, the same passive-solar design should be protected by shelterbelts, and a wind-resistant polycarbonate specification is additionally recommended as a co-financed upgrade.</w:t>
      </w:r>
    </w:p>
    <w:p w14:paraId="5ADD7CBD" w14:textId="77777777" w:rsidR="00555DAB" w:rsidRDefault="00555DAB" w:rsidP="00D16E24">
      <w:pPr>
        <w:spacing w:after="120" w:line="240" w:lineRule="auto"/>
        <w:contextualSpacing w:val="0"/>
        <w:rPr>
          <w:b/>
          <w:bCs/>
        </w:rPr>
      </w:pPr>
    </w:p>
    <w:p w14:paraId="1D8BE7EE" w14:textId="276485A8" w:rsidR="00013FC5" w:rsidRPr="00E35798" w:rsidRDefault="00E02DE9" w:rsidP="00E02DE9">
      <w:pPr>
        <w:pStyle w:val="Caption"/>
        <w:framePr w:wrap="notBeside"/>
      </w:pPr>
      <w:r>
        <w:t xml:space="preserve">Table 33. </w:t>
      </w:r>
      <w:r w:rsidR="00316823">
        <w:t xml:space="preserve">Both </w:t>
      </w:r>
      <w:proofErr w:type="spellStart"/>
      <w:r w:rsidR="00316823">
        <w:t>aimags</w:t>
      </w:r>
      <w:proofErr w:type="spellEnd"/>
      <w:r w:rsidR="00316823">
        <w:t>: Earth-sheltered passive solar greenhouse</w:t>
      </w:r>
    </w:p>
    <w:tbl>
      <w:tblPr>
        <w:tblStyle w:val="ListTable4-Accent3"/>
        <w:tblW w:w="5000" w:type="pct"/>
        <w:tblLook w:val="04A0" w:firstRow="1" w:lastRow="0" w:firstColumn="1" w:lastColumn="0" w:noHBand="0" w:noVBand="1"/>
      </w:tblPr>
      <w:tblGrid>
        <w:gridCol w:w="3243"/>
        <w:gridCol w:w="6385"/>
      </w:tblGrid>
      <w:tr w:rsidR="00F159AF" w:rsidRPr="00E35798" w14:paraId="27EA1757" w14:textId="77777777" w:rsidTr="000B4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Pr>
          <w:p w14:paraId="1B4D6197" w14:textId="77777777" w:rsidR="00013FC5" w:rsidRPr="00E35798" w:rsidRDefault="00013FC5" w:rsidP="00D16E24">
            <w:pPr>
              <w:pStyle w:val="OikoTables03Content"/>
              <w:spacing w:after="120" w:line="240" w:lineRule="auto"/>
              <w:rPr>
                <w:color w:val="auto"/>
                <w:lang w:val="en-GB"/>
              </w:rPr>
            </w:pPr>
            <w:r>
              <w:rPr>
                <w:color w:val="auto"/>
                <w:lang w:val="en-GB"/>
              </w:rPr>
              <w:t>Parameter</w:t>
            </w:r>
          </w:p>
        </w:tc>
        <w:tc>
          <w:tcPr>
            <w:tcW w:w="3316" w:type="pct"/>
          </w:tcPr>
          <w:p w14:paraId="02A5A651"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Specification</w:t>
            </w:r>
          </w:p>
        </w:tc>
      </w:tr>
      <w:tr w:rsidR="00F159AF" w:rsidRPr="00E35798" w14:paraId="77772FB4"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E99E6D" w:themeColor="accent3"/>
              <w:left w:val="nil"/>
              <w:bottom w:val="single" w:sz="4" w:space="0" w:color="BCBCBC" w:themeColor="background1"/>
            </w:tcBorders>
            <w:shd w:val="clear" w:color="auto" w:fill="auto"/>
          </w:tcPr>
          <w:p w14:paraId="5A8E3B00" w14:textId="77777777" w:rsidR="00013FC5" w:rsidRPr="00E35798" w:rsidRDefault="00013FC5" w:rsidP="00D16E24">
            <w:pPr>
              <w:pStyle w:val="OikoTables03Content"/>
              <w:spacing w:after="120" w:line="240" w:lineRule="auto"/>
              <w:rPr>
                <w:lang w:val="en-GB"/>
              </w:rPr>
            </w:pPr>
            <w:r>
              <w:rPr>
                <w:lang w:val="en-GB"/>
              </w:rPr>
              <w:t>Dimensions</w:t>
            </w:r>
          </w:p>
        </w:tc>
        <w:tc>
          <w:tcPr>
            <w:tcW w:w="3316" w:type="pct"/>
            <w:tcBorders>
              <w:top w:val="single" w:sz="4" w:space="0" w:color="E99E6D" w:themeColor="accent3"/>
              <w:bottom w:val="single" w:sz="4" w:space="0" w:color="BCBCBC" w:themeColor="background1"/>
              <w:right w:val="nil"/>
            </w:tcBorders>
            <w:shd w:val="clear" w:color="auto" w:fill="auto"/>
          </w:tcPr>
          <w:p w14:paraId="1D7A4A0A"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6–8 m width × 20–50 m length (smallholder); up to 100 m (cooperative)</w:t>
            </w:r>
          </w:p>
        </w:tc>
      </w:tr>
      <w:tr w:rsidR="00F159AF" w:rsidRPr="00E35798" w14:paraId="7CE89CFF"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326E16EF" w14:textId="77777777" w:rsidR="00013FC5" w:rsidRPr="00E35798" w:rsidRDefault="00013FC5" w:rsidP="00D16E24">
            <w:pPr>
              <w:pStyle w:val="OikoTables03Content"/>
              <w:spacing w:after="120" w:line="240" w:lineRule="auto"/>
              <w:rPr>
                <w:lang w:val="en-GB"/>
              </w:rPr>
            </w:pPr>
            <w:r>
              <w:rPr>
                <w:lang w:val="en-GB"/>
              </w:rPr>
              <w:t>Excavation</w:t>
            </w:r>
          </w:p>
        </w:tc>
        <w:tc>
          <w:tcPr>
            <w:tcW w:w="3316" w:type="pct"/>
            <w:tcBorders>
              <w:top w:val="single" w:sz="4" w:space="0" w:color="BCBCBC" w:themeColor="background1"/>
              <w:bottom w:val="single" w:sz="4" w:space="0" w:color="BCBCBC" w:themeColor="background1"/>
              <w:right w:val="nil"/>
            </w:tcBorders>
          </w:tcPr>
          <w:p w14:paraId="4472A31E"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0.5–1.0 m below grade for thermal mass</w:t>
            </w:r>
          </w:p>
        </w:tc>
      </w:tr>
      <w:tr w:rsidR="00F159AF" w:rsidRPr="00E35798" w14:paraId="1391060F"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02DBE072" w14:textId="77777777" w:rsidR="00013FC5" w:rsidRPr="00E35798" w:rsidRDefault="00013FC5" w:rsidP="00D16E24">
            <w:pPr>
              <w:pStyle w:val="OikoTables03Content"/>
              <w:spacing w:after="120" w:line="240" w:lineRule="auto"/>
              <w:rPr>
                <w:lang w:val="en-GB"/>
              </w:rPr>
            </w:pPr>
            <w:r>
              <w:rPr>
                <w:lang w:val="en-GB"/>
              </w:rPr>
              <w:t>North/East/West Walls</w:t>
            </w:r>
          </w:p>
        </w:tc>
        <w:tc>
          <w:tcPr>
            <w:tcW w:w="3316" w:type="pct"/>
            <w:tcBorders>
              <w:top w:val="single" w:sz="4" w:space="0" w:color="BCBCBC" w:themeColor="background1"/>
              <w:bottom w:val="single" w:sz="4" w:space="0" w:color="BCBCBC" w:themeColor="background1"/>
              <w:right w:val="nil"/>
            </w:tcBorders>
            <w:shd w:val="clear" w:color="auto" w:fill="auto"/>
          </w:tcPr>
          <w:p w14:paraId="483E27FE"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Rammed earth or mud-straw, 0.4–0.6 m thickness</w:t>
            </w:r>
          </w:p>
        </w:tc>
      </w:tr>
      <w:tr w:rsidR="00F159AF" w:rsidRPr="00E35798" w14:paraId="7AEE50D7"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3DA21C34" w14:textId="77777777" w:rsidR="00013FC5" w:rsidRPr="00E35798" w:rsidRDefault="00013FC5" w:rsidP="00D16E24">
            <w:pPr>
              <w:pStyle w:val="OikoTables03Content"/>
              <w:spacing w:after="120" w:line="240" w:lineRule="auto"/>
              <w:rPr>
                <w:lang w:val="en-GB"/>
              </w:rPr>
            </w:pPr>
            <w:r>
              <w:rPr>
                <w:lang w:val="en-GB"/>
              </w:rPr>
              <w:t>South Roof</w:t>
            </w:r>
          </w:p>
        </w:tc>
        <w:tc>
          <w:tcPr>
            <w:tcW w:w="3316" w:type="pct"/>
            <w:tcBorders>
              <w:top w:val="single" w:sz="4" w:space="0" w:color="BCBCBC" w:themeColor="background1"/>
              <w:bottom w:val="single" w:sz="4" w:space="0" w:color="BCBCBC" w:themeColor="background1"/>
              <w:right w:val="nil"/>
            </w:tcBorders>
          </w:tcPr>
          <w:p w14:paraId="0F20DDEC"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Twin-wall polycarbonate 6–10 mm or tempered glass, 35–45° angle</w:t>
            </w:r>
          </w:p>
        </w:tc>
      </w:tr>
      <w:tr w:rsidR="00F159AF" w:rsidRPr="00E35798" w14:paraId="3990E52E"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23A04B75" w14:textId="77777777" w:rsidR="00013FC5" w:rsidRPr="00E35798" w:rsidRDefault="00013FC5" w:rsidP="00D16E24">
            <w:pPr>
              <w:pStyle w:val="OikoTables03Content"/>
              <w:spacing w:after="120" w:line="240" w:lineRule="auto"/>
              <w:rPr>
                <w:lang w:val="en-GB"/>
              </w:rPr>
            </w:pPr>
            <w:r>
              <w:rPr>
                <w:lang w:val="en-GB"/>
              </w:rPr>
              <w:t>North Roof</w:t>
            </w:r>
          </w:p>
        </w:tc>
        <w:tc>
          <w:tcPr>
            <w:tcW w:w="3316" w:type="pct"/>
            <w:tcBorders>
              <w:top w:val="single" w:sz="4" w:space="0" w:color="BCBCBC" w:themeColor="background1"/>
              <w:bottom w:val="single" w:sz="4" w:space="0" w:color="BCBCBC" w:themeColor="background1"/>
              <w:right w:val="nil"/>
            </w:tcBorders>
            <w:shd w:val="clear" w:color="auto" w:fill="auto"/>
          </w:tcPr>
          <w:p w14:paraId="577B8B03"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Opaque, insulated (straw + earthen plaster or rigid foam)</w:t>
            </w:r>
          </w:p>
        </w:tc>
      </w:tr>
      <w:tr w:rsidR="00F159AF" w:rsidRPr="00E35798" w14:paraId="29F2BB95"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06B4EF8E" w14:textId="77777777" w:rsidR="00013FC5" w:rsidRPr="00E35798" w:rsidRDefault="00013FC5" w:rsidP="00D16E24">
            <w:pPr>
              <w:pStyle w:val="OikoTables03Content"/>
              <w:spacing w:after="120" w:line="240" w:lineRule="auto"/>
              <w:rPr>
                <w:lang w:val="en-GB"/>
              </w:rPr>
            </w:pPr>
            <w:r>
              <w:rPr>
                <w:lang w:val="en-GB"/>
              </w:rPr>
              <w:t>Thermal Performance</w:t>
            </w:r>
          </w:p>
        </w:tc>
        <w:tc>
          <w:tcPr>
            <w:tcW w:w="3316" w:type="pct"/>
            <w:tcBorders>
              <w:top w:val="single" w:sz="4" w:space="0" w:color="BCBCBC" w:themeColor="background1"/>
              <w:bottom w:val="single" w:sz="4" w:space="0" w:color="BCBCBC" w:themeColor="background1"/>
              <w:right w:val="nil"/>
            </w:tcBorders>
          </w:tcPr>
          <w:p w14:paraId="6656C5E4" w14:textId="77AA909C"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+12°C interior at −15°C external; no heating between February and November</w:t>
            </w:r>
          </w:p>
        </w:tc>
      </w:tr>
      <w:tr w:rsidR="00F159AF" w:rsidRPr="00E35798" w14:paraId="119F468B"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6013115A" w14:textId="77777777" w:rsidR="00013FC5" w:rsidRPr="00E35798" w:rsidRDefault="00013FC5" w:rsidP="00D16E24">
            <w:pPr>
              <w:pStyle w:val="OikoTables03Content"/>
              <w:spacing w:after="120" w:line="240" w:lineRule="auto"/>
              <w:rPr>
                <w:lang w:val="en-GB"/>
              </w:rPr>
            </w:pPr>
            <w:r>
              <w:rPr>
                <w:lang w:val="en-GB"/>
              </w:rPr>
              <w:t>Capital Cost</w:t>
            </w:r>
          </w:p>
        </w:tc>
        <w:tc>
          <w:tcPr>
            <w:tcW w:w="3316" w:type="pct"/>
            <w:tcBorders>
              <w:top w:val="single" w:sz="4" w:space="0" w:color="BCBCBC" w:themeColor="background1"/>
              <w:bottom w:val="single" w:sz="4" w:space="0" w:color="BCBCBC" w:themeColor="background1"/>
              <w:right w:val="nil"/>
            </w:tcBorders>
            <w:shd w:val="clear" w:color="auto" w:fill="auto"/>
          </w:tcPr>
          <w:p w14:paraId="568D9BCF"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15–25/m² (USD 3,000–7,500 for 200–300 m²)</w:t>
            </w:r>
          </w:p>
        </w:tc>
      </w:tr>
      <w:tr w:rsidR="00F159AF" w:rsidRPr="00E35798" w14:paraId="2AF9641A"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2661FD04" w14:textId="77777777" w:rsidR="00013FC5" w:rsidRPr="00E35798" w:rsidRDefault="00013FC5" w:rsidP="00D16E24">
            <w:pPr>
              <w:pStyle w:val="OikoTables03Content"/>
              <w:spacing w:after="120" w:line="240" w:lineRule="auto"/>
              <w:rPr>
                <w:lang w:val="en-GB"/>
              </w:rPr>
            </w:pPr>
            <w:r>
              <w:rPr>
                <w:lang w:val="en-GB"/>
              </w:rPr>
              <w:t>Annual O&amp;M</w:t>
            </w:r>
          </w:p>
        </w:tc>
        <w:tc>
          <w:tcPr>
            <w:tcW w:w="3316" w:type="pct"/>
            <w:tcBorders>
              <w:top w:val="single" w:sz="4" w:space="0" w:color="BCBCBC" w:themeColor="background1"/>
              <w:bottom w:val="single" w:sz="4" w:space="0" w:color="BCBCBC" w:themeColor="background1"/>
              <w:right w:val="nil"/>
            </w:tcBorders>
          </w:tcPr>
          <w:p w14:paraId="183456FA"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USD 1–2/m² (USD 200–600 for 200–300 m²)</w:t>
            </w:r>
          </w:p>
        </w:tc>
      </w:tr>
      <w:tr w:rsidR="00F159AF" w:rsidRPr="00E35798" w14:paraId="547A19BB"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3C820486" w14:textId="77777777" w:rsidR="00013FC5" w:rsidRPr="00E35798" w:rsidRDefault="00013FC5" w:rsidP="00D16E24">
            <w:pPr>
              <w:pStyle w:val="OikoTables03Content"/>
              <w:spacing w:after="120" w:line="240" w:lineRule="auto"/>
              <w:rPr>
                <w:lang w:val="en-GB"/>
              </w:rPr>
            </w:pPr>
            <w:r>
              <w:rPr>
                <w:lang w:val="en-GB"/>
              </w:rPr>
              <w:t>Lifespan</w:t>
            </w:r>
          </w:p>
        </w:tc>
        <w:tc>
          <w:tcPr>
            <w:tcW w:w="3316" w:type="pct"/>
            <w:tcBorders>
              <w:top w:val="single" w:sz="4" w:space="0" w:color="BCBCBC" w:themeColor="background1"/>
              <w:bottom w:val="single" w:sz="4" w:space="0" w:color="BCBCBC" w:themeColor="background1"/>
              <w:right w:val="nil"/>
            </w:tcBorders>
            <w:shd w:val="clear" w:color="auto" w:fill="auto"/>
          </w:tcPr>
          <w:p w14:paraId="62F462AB"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15–20+ years (structure); glazing replacement at 10–15 years</w:t>
            </w:r>
          </w:p>
        </w:tc>
      </w:tr>
      <w:tr w:rsidR="00322DC5" w:rsidRPr="00E35798" w14:paraId="66CC036B" w14:textId="77777777" w:rsidTr="00322DC5">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CBCBC" w:themeColor="background1"/>
              <w:left w:val="nil"/>
              <w:bottom w:val="single" w:sz="4" w:space="0" w:color="BCBCBC" w:themeColor="background1"/>
            </w:tcBorders>
          </w:tcPr>
          <w:p w14:paraId="6DE78AFD" w14:textId="58C78C10" w:rsidR="00322DC5" w:rsidRPr="00AC7FB2" w:rsidRDefault="00AC7FB2" w:rsidP="00D16E24">
            <w:pPr>
              <w:pStyle w:val="OikoTables03Content"/>
              <w:spacing w:after="120" w:line="240" w:lineRule="auto"/>
              <w:rPr>
                <w:b w:val="0"/>
                <w:bCs w:val="0"/>
                <w:i/>
                <w:iCs/>
                <w:lang w:val="en-GB"/>
              </w:rPr>
            </w:pPr>
            <w:r w:rsidRPr="00AC7FB2">
              <w:rPr>
                <w:b w:val="0"/>
                <w:bCs w:val="0"/>
                <w:i/>
                <w:iCs/>
                <w:lang w:val="en-GB"/>
              </w:rPr>
              <w:t>Source: OIKO elaboration based on CTCN field mission observations in Dundgovi and Uvurkhangai, national greenhouse expert inputs, and expert contribution to the CTCN Mongolia feasibility study, 2026</w:t>
            </w:r>
          </w:p>
        </w:tc>
      </w:tr>
    </w:tbl>
    <w:p w14:paraId="6B39EC14" w14:textId="77777777" w:rsidR="00013FC5" w:rsidRPr="00E35798" w:rsidRDefault="00013FC5" w:rsidP="00EB489E"/>
    <w:p w14:paraId="2822B09B" w14:textId="5F835284" w:rsidR="00013FC5" w:rsidRPr="00E35798" w:rsidRDefault="00E02DE9" w:rsidP="00C414AA">
      <w:pPr>
        <w:pStyle w:val="Caption"/>
        <w:framePr w:wrap="notBeside"/>
      </w:pPr>
      <w:r>
        <w:t xml:space="preserve">Table </w:t>
      </w:r>
      <w:r w:rsidR="00C414AA">
        <w:t xml:space="preserve">34. </w:t>
      </w:r>
      <w:r w:rsidR="00013FC5">
        <w:t>Dundgovi: Polycarbonate semi-permanent greenhouse (as a wind-resistant and co-financed upgrade)</w:t>
      </w:r>
    </w:p>
    <w:tbl>
      <w:tblPr>
        <w:tblStyle w:val="ListTable4-Accent3"/>
        <w:tblW w:w="5000" w:type="pct"/>
        <w:tblLook w:val="04A0" w:firstRow="1" w:lastRow="0" w:firstColumn="1" w:lastColumn="0" w:noHBand="0" w:noVBand="1"/>
      </w:tblPr>
      <w:tblGrid>
        <w:gridCol w:w="3243"/>
        <w:gridCol w:w="6385"/>
      </w:tblGrid>
      <w:tr w:rsidR="00F159AF" w:rsidRPr="00E35798" w14:paraId="638C0B52" w14:textId="77777777" w:rsidTr="000B4B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Pr>
          <w:p w14:paraId="55DDEF2B" w14:textId="77777777" w:rsidR="00013FC5" w:rsidRPr="00E35798" w:rsidRDefault="00013FC5" w:rsidP="00D16E24">
            <w:pPr>
              <w:pStyle w:val="OikoTables03Content"/>
              <w:spacing w:after="120" w:line="240" w:lineRule="auto"/>
              <w:rPr>
                <w:color w:val="auto"/>
                <w:lang w:val="en-GB"/>
              </w:rPr>
            </w:pPr>
            <w:r>
              <w:rPr>
                <w:color w:val="auto"/>
                <w:lang w:val="en-GB"/>
              </w:rPr>
              <w:t>Parameter</w:t>
            </w:r>
          </w:p>
        </w:tc>
        <w:tc>
          <w:tcPr>
            <w:tcW w:w="3316" w:type="pct"/>
          </w:tcPr>
          <w:p w14:paraId="3E2D1BB0" w14:textId="77777777" w:rsidR="00013FC5" w:rsidRPr="00E35798" w:rsidRDefault="00013FC5"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Specification</w:t>
            </w:r>
          </w:p>
        </w:tc>
      </w:tr>
      <w:tr w:rsidR="00F159AF" w:rsidRPr="00E35798" w14:paraId="2EEC8662"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E99E6D" w:themeColor="accent3"/>
              <w:left w:val="nil"/>
              <w:bottom w:val="single" w:sz="4" w:space="0" w:color="BCBCBC" w:themeColor="background1"/>
            </w:tcBorders>
            <w:shd w:val="clear" w:color="auto" w:fill="auto"/>
          </w:tcPr>
          <w:p w14:paraId="0E9B4792" w14:textId="77777777" w:rsidR="00013FC5" w:rsidRPr="00E35798" w:rsidRDefault="00013FC5" w:rsidP="00D16E24">
            <w:pPr>
              <w:pStyle w:val="OikoTables03Content"/>
              <w:spacing w:after="120" w:line="240" w:lineRule="auto"/>
              <w:rPr>
                <w:lang w:val="en-GB"/>
              </w:rPr>
            </w:pPr>
            <w:r>
              <w:rPr>
                <w:lang w:val="en-GB"/>
              </w:rPr>
              <w:t>Dimensions</w:t>
            </w:r>
          </w:p>
        </w:tc>
        <w:tc>
          <w:tcPr>
            <w:tcW w:w="3316" w:type="pct"/>
            <w:tcBorders>
              <w:top w:val="single" w:sz="4" w:space="0" w:color="E99E6D" w:themeColor="accent3"/>
              <w:bottom w:val="single" w:sz="4" w:space="0" w:color="BCBCBC" w:themeColor="background1"/>
              <w:right w:val="nil"/>
            </w:tcBorders>
            <w:shd w:val="clear" w:color="auto" w:fill="auto"/>
          </w:tcPr>
          <w:p w14:paraId="76156C66" w14:textId="6CA3020D" w:rsidR="00013FC5" w:rsidRPr="00E35798" w:rsidRDefault="0E33697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8–10 m width × 10–30 m length</w:t>
            </w:r>
          </w:p>
        </w:tc>
      </w:tr>
      <w:tr w:rsidR="00F159AF" w:rsidRPr="00E35798" w14:paraId="0452ECB7"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42EC24DC" w14:textId="77777777" w:rsidR="00013FC5" w:rsidRPr="00E35798" w:rsidRDefault="00013FC5" w:rsidP="00D16E24">
            <w:pPr>
              <w:pStyle w:val="OikoTables03Content"/>
              <w:spacing w:after="120" w:line="240" w:lineRule="auto"/>
              <w:rPr>
                <w:lang w:val="en-GB"/>
              </w:rPr>
            </w:pPr>
            <w:r>
              <w:rPr>
                <w:lang w:val="en-GB"/>
              </w:rPr>
              <w:t>Frame</w:t>
            </w:r>
          </w:p>
        </w:tc>
        <w:tc>
          <w:tcPr>
            <w:tcW w:w="3316" w:type="pct"/>
            <w:tcBorders>
              <w:top w:val="single" w:sz="4" w:space="0" w:color="BCBCBC" w:themeColor="background1"/>
              <w:bottom w:val="single" w:sz="4" w:space="0" w:color="BCBCBC" w:themeColor="background1"/>
              <w:right w:val="nil"/>
            </w:tcBorders>
          </w:tcPr>
          <w:p w14:paraId="784EDBCB"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Hot-dip galvanized steel 2.5–3.0 mm, reinforced trusses</w:t>
            </w:r>
          </w:p>
        </w:tc>
      </w:tr>
      <w:tr w:rsidR="00F159AF" w:rsidRPr="00E35798" w14:paraId="75C5DDB5"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7C4FE698" w14:textId="77777777" w:rsidR="00013FC5" w:rsidRPr="00E35798" w:rsidRDefault="00013FC5" w:rsidP="00D16E24">
            <w:pPr>
              <w:pStyle w:val="OikoTables03Content"/>
              <w:spacing w:after="120" w:line="240" w:lineRule="auto"/>
              <w:rPr>
                <w:lang w:val="en-GB"/>
              </w:rPr>
            </w:pPr>
            <w:r>
              <w:rPr>
                <w:lang w:val="en-GB"/>
              </w:rPr>
              <w:t>Glazing</w:t>
            </w:r>
          </w:p>
        </w:tc>
        <w:tc>
          <w:tcPr>
            <w:tcW w:w="3316" w:type="pct"/>
            <w:tcBorders>
              <w:top w:val="single" w:sz="4" w:space="0" w:color="BCBCBC" w:themeColor="background1"/>
              <w:bottom w:val="single" w:sz="4" w:space="0" w:color="BCBCBC" w:themeColor="background1"/>
              <w:right w:val="nil"/>
            </w:tcBorders>
            <w:shd w:val="clear" w:color="auto" w:fill="auto"/>
          </w:tcPr>
          <w:p w14:paraId="204E4550"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Twin-wall polycarbonate 8–10 mm with UV coating; sealed gasket system</w:t>
            </w:r>
          </w:p>
        </w:tc>
      </w:tr>
      <w:tr w:rsidR="00F159AF" w:rsidRPr="00E35798" w14:paraId="77175F46"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42D76C2E" w14:textId="77777777" w:rsidR="00013FC5" w:rsidRPr="00E35798" w:rsidRDefault="00013FC5" w:rsidP="00D16E24">
            <w:pPr>
              <w:pStyle w:val="OikoTables03Content"/>
              <w:spacing w:after="120" w:line="240" w:lineRule="auto"/>
              <w:rPr>
                <w:lang w:val="en-GB"/>
              </w:rPr>
            </w:pPr>
            <w:r>
              <w:rPr>
                <w:lang w:val="en-GB"/>
              </w:rPr>
              <w:t>Foundation</w:t>
            </w:r>
          </w:p>
        </w:tc>
        <w:tc>
          <w:tcPr>
            <w:tcW w:w="3316" w:type="pct"/>
            <w:tcBorders>
              <w:top w:val="single" w:sz="4" w:space="0" w:color="BCBCBC" w:themeColor="background1"/>
              <w:bottom w:val="single" w:sz="4" w:space="0" w:color="BCBCBC" w:themeColor="background1"/>
              <w:right w:val="nil"/>
            </w:tcBorders>
          </w:tcPr>
          <w:p w14:paraId="5D5DEB43"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Concrete strip 0.4 m × 0.8 m with steel anchors for 120 km/h wind</w:t>
            </w:r>
          </w:p>
        </w:tc>
      </w:tr>
      <w:tr w:rsidR="00F159AF" w:rsidRPr="00E35798" w14:paraId="31D3D768"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56AEFCE2" w14:textId="77777777" w:rsidR="00013FC5" w:rsidRPr="00E35798" w:rsidRDefault="00013FC5" w:rsidP="00D16E24">
            <w:pPr>
              <w:pStyle w:val="OikoTables03Content"/>
              <w:spacing w:after="120" w:line="240" w:lineRule="auto"/>
              <w:rPr>
                <w:lang w:val="en-GB"/>
              </w:rPr>
            </w:pPr>
            <w:r>
              <w:rPr>
                <w:lang w:val="en-GB"/>
              </w:rPr>
              <w:t>Dust Management</w:t>
            </w:r>
          </w:p>
        </w:tc>
        <w:tc>
          <w:tcPr>
            <w:tcW w:w="3316" w:type="pct"/>
            <w:tcBorders>
              <w:top w:val="single" w:sz="4" w:space="0" w:color="BCBCBC" w:themeColor="background1"/>
              <w:bottom w:val="single" w:sz="4" w:space="0" w:color="BCBCBC" w:themeColor="background1"/>
              <w:right w:val="nil"/>
            </w:tcBorders>
            <w:shd w:val="clear" w:color="auto" w:fill="auto"/>
          </w:tcPr>
          <w:p w14:paraId="12285F11"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Positive pressure ventilation; air wash at entrance</w:t>
            </w:r>
          </w:p>
        </w:tc>
      </w:tr>
      <w:tr w:rsidR="00F159AF" w:rsidRPr="00E35798" w14:paraId="149A4908"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26FB8E85" w14:textId="77777777" w:rsidR="00013FC5" w:rsidRPr="00E35798" w:rsidRDefault="00013FC5" w:rsidP="00D16E24">
            <w:pPr>
              <w:pStyle w:val="OikoTables03Content"/>
              <w:spacing w:after="120" w:line="240" w:lineRule="auto"/>
              <w:rPr>
                <w:lang w:val="en-GB"/>
              </w:rPr>
            </w:pPr>
            <w:r>
              <w:rPr>
                <w:lang w:val="en-GB"/>
              </w:rPr>
              <w:t>Capital Cost</w:t>
            </w:r>
          </w:p>
        </w:tc>
        <w:tc>
          <w:tcPr>
            <w:tcW w:w="3316" w:type="pct"/>
            <w:tcBorders>
              <w:top w:val="single" w:sz="4" w:space="0" w:color="BCBCBC" w:themeColor="background1"/>
              <w:bottom w:val="single" w:sz="4" w:space="0" w:color="BCBCBC" w:themeColor="background1"/>
              <w:right w:val="nil"/>
            </w:tcBorders>
          </w:tcPr>
          <w:p w14:paraId="1B9740B6"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USD 35–55/m² (USD 10,500–16,500 for 300 m²)</w:t>
            </w:r>
          </w:p>
        </w:tc>
      </w:tr>
      <w:tr w:rsidR="00F159AF" w:rsidRPr="00E35798" w14:paraId="79DFA569" w14:textId="77777777" w:rsidTr="000B4B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shd w:val="clear" w:color="auto" w:fill="auto"/>
          </w:tcPr>
          <w:p w14:paraId="7DF0733F" w14:textId="77777777" w:rsidR="00013FC5" w:rsidRPr="00E35798" w:rsidRDefault="00013FC5" w:rsidP="00D16E24">
            <w:pPr>
              <w:pStyle w:val="OikoTables03Content"/>
              <w:spacing w:after="120" w:line="240" w:lineRule="auto"/>
              <w:rPr>
                <w:lang w:val="en-GB"/>
              </w:rPr>
            </w:pPr>
            <w:r>
              <w:rPr>
                <w:lang w:val="en-GB"/>
              </w:rPr>
              <w:t>Annual O&amp;M</w:t>
            </w:r>
          </w:p>
        </w:tc>
        <w:tc>
          <w:tcPr>
            <w:tcW w:w="3316" w:type="pct"/>
            <w:tcBorders>
              <w:top w:val="single" w:sz="4" w:space="0" w:color="BCBCBC" w:themeColor="background1"/>
              <w:bottom w:val="single" w:sz="4" w:space="0" w:color="BCBCBC" w:themeColor="background1"/>
              <w:right w:val="nil"/>
            </w:tcBorders>
            <w:shd w:val="clear" w:color="auto" w:fill="auto"/>
          </w:tcPr>
          <w:p w14:paraId="0C8232B3" w14:textId="77777777" w:rsidR="00013FC5" w:rsidRPr="00E35798" w:rsidRDefault="00013FC5"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2–3/m² (USD 600–900 for 300 m²)</w:t>
            </w:r>
          </w:p>
        </w:tc>
      </w:tr>
      <w:tr w:rsidR="00F159AF" w:rsidRPr="00E35798" w14:paraId="17AAD7DB" w14:textId="77777777" w:rsidTr="000B4B55">
        <w:tc>
          <w:tcPr>
            <w:cnfStyle w:val="001000000000" w:firstRow="0" w:lastRow="0" w:firstColumn="1" w:lastColumn="0" w:oddVBand="0" w:evenVBand="0" w:oddHBand="0" w:evenHBand="0" w:firstRowFirstColumn="0" w:firstRowLastColumn="0" w:lastRowFirstColumn="0" w:lastRowLastColumn="0"/>
            <w:tcW w:w="1684" w:type="pct"/>
            <w:tcBorders>
              <w:top w:val="single" w:sz="4" w:space="0" w:color="BCBCBC" w:themeColor="background1"/>
              <w:left w:val="nil"/>
              <w:bottom w:val="single" w:sz="4" w:space="0" w:color="BCBCBC" w:themeColor="background1"/>
            </w:tcBorders>
          </w:tcPr>
          <w:p w14:paraId="13D9A9AE" w14:textId="77777777" w:rsidR="00013FC5" w:rsidRPr="00E35798" w:rsidRDefault="00013FC5" w:rsidP="00D16E24">
            <w:pPr>
              <w:pStyle w:val="OikoTables03Content"/>
              <w:spacing w:after="120" w:line="240" w:lineRule="auto"/>
              <w:rPr>
                <w:lang w:val="en-GB"/>
              </w:rPr>
            </w:pPr>
            <w:r>
              <w:rPr>
                <w:lang w:val="en-GB"/>
              </w:rPr>
              <w:t>Lifespan</w:t>
            </w:r>
          </w:p>
        </w:tc>
        <w:tc>
          <w:tcPr>
            <w:tcW w:w="3316" w:type="pct"/>
            <w:tcBorders>
              <w:top w:val="single" w:sz="4" w:space="0" w:color="BCBCBC" w:themeColor="background1"/>
              <w:bottom w:val="single" w:sz="4" w:space="0" w:color="BCBCBC" w:themeColor="background1"/>
              <w:right w:val="nil"/>
            </w:tcBorders>
          </w:tcPr>
          <w:p w14:paraId="204F277E" w14:textId="77777777" w:rsidR="00013FC5" w:rsidRPr="00E35798" w:rsidRDefault="00013FC5"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10–15 yr (glazing) / 20+ yr (frame)</w:t>
            </w:r>
          </w:p>
        </w:tc>
      </w:tr>
      <w:tr w:rsidR="00AC7FB2" w:rsidRPr="00E35798" w14:paraId="68BDFAF0" w14:textId="77777777" w:rsidTr="00AC7F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CBCBC" w:themeColor="background1"/>
              <w:left w:val="nil"/>
              <w:bottom w:val="single" w:sz="4" w:space="0" w:color="BCBCBC" w:themeColor="background1"/>
            </w:tcBorders>
            <w:shd w:val="clear" w:color="auto" w:fill="auto"/>
          </w:tcPr>
          <w:p w14:paraId="390AA739" w14:textId="43D3D987" w:rsidR="00AC7FB2" w:rsidRDefault="00AC7FB2" w:rsidP="00D16E24">
            <w:pPr>
              <w:pStyle w:val="OikoTables03Content"/>
              <w:spacing w:after="120" w:line="240" w:lineRule="auto"/>
              <w:rPr>
                <w:lang w:val="en-GB"/>
              </w:rPr>
            </w:pPr>
            <w:r w:rsidRPr="00AC7FB2">
              <w:rPr>
                <w:b w:val="0"/>
                <w:bCs w:val="0"/>
                <w:i/>
                <w:iCs/>
                <w:lang w:val="en-GB"/>
              </w:rPr>
              <w:t>Source: OIKO elaboration based on CTCN field mission observations in Dundgovi and Uvurkhangai, national greenhouse expert inputs, and expert contribution to the CTCN Mongolia feasibility study, 2026</w:t>
            </w:r>
          </w:p>
        </w:tc>
      </w:tr>
    </w:tbl>
    <w:p w14:paraId="7E236229" w14:textId="5276E542" w:rsidR="7FC6ACD8" w:rsidRPr="00316823" w:rsidRDefault="29A49D9F" w:rsidP="00316823">
      <w:pPr>
        <w:pStyle w:val="NormalWeb"/>
        <w:spacing w:after="120" w:afterAutospacing="0"/>
        <w:jc w:val="both"/>
        <w:rPr>
          <w:sz w:val="22"/>
          <w:szCs w:val="22"/>
        </w:rPr>
      </w:pPr>
      <w:r>
        <w:rPr>
          <w:rFonts w:eastAsiaTheme="minorEastAsia"/>
          <w:b/>
          <w:bCs/>
          <w:sz w:val="22"/>
          <w:szCs w:val="22"/>
        </w:rPr>
        <w:t xml:space="preserve">Planning considerations for passive-solar greenhouses: </w:t>
      </w:r>
      <w:r>
        <w:rPr>
          <w:sz w:val="22"/>
          <w:szCs w:val="22"/>
        </w:rPr>
        <w:t>For smaller, non-commercial, or semi-commercial greenhouse projects, solutions are often tailored to individual preferences, with simple double-film or passive solar greenhouses being popular choices. Even though there is flexibility in this area, a clear and structured plan is essential. The goal should always be to achieve the highest possible number of harvests—ideally at least two. An increasingly commercial approach is becoming a crucial factor for greenhouse operations to ensure consistent performance, efficiency, and profitability throughout the year.</w:t>
      </w:r>
    </w:p>
    <w:p w14:paraId="493F56F9" w14:textId="1D6E2BBE" w:rsidR="00B7489F" w:rsidRPr="00E35798" w:rsidRDefault="0A758EAB" w:rsidP="00583859">
      <w:pPr>
        <w:pStyle w:val="Heading3"/>
      </w:pPr>
      <w:bookmarkStart w:id="134" w:name="_Toc233981340"/>
      <w:r>
        <w:lastRenderedPageBreak/>
        <w:t>Preliminary conclusions on greenhouse technologies</w:t>
      </w:r>
      <w:bookmarkEnd w:id="134"/>
    </w:p>
    <w:p w14:paraId="0DCE2EE5" w14:textId="345A1FF2" w:rsidR="00CC5349" w:rsidRPr="00E35798" w:rsidRDefault="00CC5349" w:rsidP="00EB489E">
      <w:r>
        <w:t xml:space="preserve">As highlighted in the MCA and the companion CBA, </w:t>
      </w:r>
      <w:r w:rsidRPr="0071226F">
        <w:rPr>
          <w:b/>
          <w:bCs/>
        </w:rPr>
        <w:t>earth-sheltered passive solar greenhouses offer the best combination of performance</w:t>
      </w:r>
      <w:r w:rsidRPr="00E11021">
        <w:rPr>
          <w:b/>
          <w:bCs/>
        </w:rPr>
        <w:t>, resilience and affordability</w:t>
      </w:r>
      <w:r>
        <w:t xml:space="preserve"> under Mongolia’s harsh conditions. This finding is consistent with experience gained in similar climatically disadvantaged regions in northern China and Central Asian countries over the last 30 years. They are well suited to smallholder farmers and larger communities with access to a market for the additional produce. Ultimately, the market determines demand and thus the viability of greenhouse farming. If market conditions are not optimal, combination of greenhouse deployment with reforestation initiatives such as the 'Billion Tree’ movement can provide farmers with an additional, complementary income stream.</w:t>
      </w:r>
    </w:p>
    <w:p w14:paraId="1D700FBE" w14:textId="77777777" w:rsidR="00C414AA" w:rsidRDefault="00C414AA" w:rsidP="00EB489E"/>
    <w:p w14:paraId="0CC7A24A" w14:textId="446979BD" w:rsidR="00CC5349" w:rsidRPr="00E35798" w:rsidRDefault="00C71E5F" w:rsidP="00EB489E">
      <w:r>
        <w:t>Two qualifications follow. First, low-cost films and mulching systems are relevant, but as a complement to the passive-solar greenhouse - as another form of 'seasonal extension technique' to extend the growing season as much as possible rather than as the sole form of support. The goal should be to achieve two harvests. Second, expensive greenhouse types (Venlo, fully automated) are not recommended because the investment costs are far too high at over US$50,000 for 300 m², the market to absorb their output does not exist in the project provinces, and these types of greenhouses are geared towards commercial agribusiness SMEs. They are not suitable for small-scale household farming.</w:t>
      </w:r>
    </w:p>
    <w:p w14:paraId="359CFBD2" w14:textId="40BD1AD1" w:rsidR="007D65FC" w:rsidRPr="00E35798" w:rsidRDefault="007D65FC" w:rsidP="00C71E5F">
      <w:pPr>
        <w:pStyle w:val="Heading2"/>
        <w:spacing w:before="360" w:line="240" w:lineRule="auto"/>
        <w:contextualSpacing w:val="0"/>
      </w:pPr>
      <w:bookmarkStart w:id="135" w:name="_Ref227589427"/>
      <w:bookmarkStart w:id="136" w:name="_Toc233981341"/>
      <w:r>
        <w:t>Irrigation technology</w:t>
      </w:r>
      <w:bookmarkEnd w:id="135"/>
      <w:bookmarkEnd w:id="136"/>
    </w:p>
    <w:p w14:paraId="1125808E" w14:textId="382F2229" w:rsidR="00583859" w:rsidRPr="00E35798" w:rsidRDefault="00583859" w:rsidP="00583859">
      <w:pPr>
        <w:pStyle w:val="Heading3"/>
        <w:spacing w:before="240"/>
      </w:pPr>
      <w:bookmarkStart w:id="137" w:name="_Toc233981342"/>
      <w:r>
        <w:t>Irrigation systems assessed</w:t>
      </w:r>
      <w:bookmarkEnd w:id="137"/>
    </w:p>
    <w:p w14:paraId="09795775" w14:textId="5A8A6721" w:rsidR="00142DD9" w:rsidRDefault="005C22B7" w:rsidP="00EB489E">
      <w:r>
        <w:t xml:space="preserve">Irrigation is the principal lever for water efficiency, yield stability and climate resilience in both target provinces. Five irrigation systems were assessed, covering the full efficiency spectrum relevant to smallholder vegetable production. For each option, the description states what the system is, how it works, its main advantages and its main constraints in the target provinces (see </w:t>
      </w:r>
      <w:r w:rsidRPr="00C208FB">
        <w:t xml:space="preserve">Table </w:t>
      </w:r>
      <w:r w:rsidR="00C208FB" w:rsidRPr="00C208FB">
        <w:t>46</w:t>
      </w:r>
      <w:r w:rsidRPr="00C208FB">
        <w:t xml:space="preserve"> for summary).</w:t>
      </w:r>
    </w:p>
    <w:p w14:paraId="719288CB" w14:textId="77777777" w:rsidR="00E16F82" w:rsidRDefault="00E16F82" w:rsidP="00EB489E"/>
    <w:p w14:paraId="5AC07EAA" w14:textId="07928F14" w:rsidR="002C77C4" w:rsidRPr="00E35798" w:rsidRDefault="002C77C4" w:rsidP="00583859">
      <w:pPr>
        <w:spacing w:before="40" w:after="120" w:line="240" w:lineRule="auto"/>
        <w:contextualSpacing w:val="0"/>
      </w:pPr>
      <w:r>
        <w:rPr>
          <w:b/>
          <w:bCs/>
        </w:rPr>
        <w:t>1. Traditional surface irrigation (flood / furrow / basin)</w:t>
      </w:r>
    </w:p>
    <w:p w14:paraId="25C820B8" w14:textId="77777777" w:rsidR="002C77C4" w:rsidRPr="00583859" w:rsidRDefault="002C77C4" w:rsidP="00262F9E">
      <w:pPr>
        <w:pStyle w:val="ListBullet4"/>
      </w:pPr>
      <w:r>
        <w:rPr>
          <w:i/>
          <w:iCs/>
        </w:rPr>
        <w:t>What it is</w:t>
      </w:r>
      <w:r>
        <w:t>: water distribution by gravity across the soil surface using basins, furrows or border strips.</w:t>
      </w:r>
    </w:p>
    <w:p w14:paraId="099BE7F9" w14:textId="77777777" w:rsidR="002C77C4" w:rsidRPr="00583859" w:rsidRDefault="002C77C4" w:rsidP="00262F9E">
      <w:pPr>
        <w:pStyle w:val="ListBullet4"/>
      </w:pPr>
      <w:r>
        <w:t>How it works: water flows from a canal or gravity-fed source across a graded surface and infiltrates into the root zone.</w:t>
      </w:r>
    </w:p>
    <w:p w14:paraId="3D1EE69E" w14:textId="77777777" w:rsidR="002C77C4" w:rsidRPr="00583859" w:rsidRDefault="002C77C4" w:rsidP="00262F9E">
      <w:pPr>
        <w:pStyle w:val="ListBullet4"/>
      </w:pPr>
      <w:r>
        <w:rPr>
          <w:i/>
          <w:iCs/>
        </w:rPr>
        <w:t>Advantages</w:t>
      </w:r>
      <w:r>
        <w:t>: very low capital cost; no pressurisation or energy; traditional knowledge widely available.</w:t>
      </w:r>
    </w:p>
    <w:p w14:paraId="658206D9" w14:textId="77777777" w:rsidR="002C77C4" w:rsidRPr="00E35798" w:rsidRDefault="002C77C4" w:rsidP="00262F9E">
      <w:pPr>
        <w:pStyle w:val="ListBullet4"/>
      </w:pPr>
      <w:r>
        <w:rPr>
          <w:i/>
          <w:iCs/>
        </w:rPr>
        <w:t>Constraints</w:t>
      </w:r>
      <w:r>
        <w:t>: water efficiency only 25–40 %; very high evaporation in arid windy conditions (Dundgovi); uneven root-zone distribution; salinisation and waterlogging risks; no insurability advantage; materially incompatible with the water-scarcity objectives of the project.</w:t>
      </w:r>
    </w:p>
    <w:p w14:paraId="484DAFAA" w14:textId="1C6F6A5E" w:rsidR="002C77C4" w:rsidRPr="00E35798" w:rsidRDefault="002C77C4" w:rsidP="00583859">
      <w:pPr>
        <w:spacing w:before="120" w:after="120" w:line="240" w:lineRule="auto"/>
        <w:contextualSpacing w:val="0"/>
      </w:pPr>
      <w:r>
        <w:rPr>
          <w:b/>
          <w:bCs/>
        </w:rPr>
        <w:t>2. Sprinkler irrigation</w:t>
      </w:r>
    </w:p>
    <w:p w14:paraId="6758D7C2" w14:textId="77777777" w:rsidR="002C77C4" w:rsidRPr="00583859" w:rsidRDefault="002C77C4" w:rsidP="00025141">
      <w:pPr>
        <w:pStyle w:val="ListBullet4"/>
      </w:pPr>
      <w:r>
        <w:rPr>
          <w:i/>
          <w:iCs/>
        </w:rPr>
        <w:t>What it is</w:t>
      </w:r>
      <w:r>
        <w:t>: pressurised system that applies water through rotating or fixed sprinkler heads, simulating rainfall.</w:t>
      </w:r>
    </w:p>
    <w:p w14:paraId="565A26DC" w14:textId="406DA9CF" w:rsidR="002C77C4" w:rsidRPr="00583859" w:rsidRDefault="002C77C4" w:rsidP="00025141">
      <w:pPr>
        <w:pStyle w:val="ListBullet4"/>
      </w:pPr>
      <w:r>
        <w:rPr>
          <w:i/>
          <w:iCs/>
        </w:rPr>
        <w:t>How it works</w:t>
      </w:r>
      <w:r>
        <w:t xml:space="preserve">: pumped water is delivered via main and lateral pipes to sprinklers that spray over the crop canopy. </w:t>
      </w:r>
      <w:r w:rsidRPr="00025141">
        <w:t xml:space="preserve">There exists </w:t>
      </w:r>
      <w:proofErr w:type="gramStart"/>
      <w:r w:rsidRPr="00025141">
        <w:t xml:space="preserve">as well </w:t>
      </w:r>
      <w:proofErr w:type="spellStart"/>
      <w:r w:rsidRPr="00025141">
        <w:t>a</w:t>
      </w:r>
      <w:proofErr w:type="spellEnd"/>
      <w:r w:rsidRPr="00025141">
        <w:t xml:space="preserve"> micro sprinkler system</w:t>
      </w:r>
      <w:proofErr w:type="gramEnd"/>
      <w:r w:rsidRPr="00025141">
        <w:t>, operated like drip irrigation by help of gravity.</w:t>
      </w:r>
    </w:p>
    <w:p w14:paraId="5B91A9A6" w14:textId="77777777" w:rsidR="002C77C4" w:rsidRPr="00583859" w:rsidRDefault="002C77C4" w:rsidP="00025141">
      <w:pPr>
        <w:pStyle w:val="ListBullet4"/>
      </w:pPr>
      <w:r>
        <w:rPr>
          <w:i/>
          <w:iCs/>
        </w:rPr>
        <w:t>Advantages</w:t>
      </w:r>
      <w:r>
        <w:t>: moderate water efficiency (60–75 %); can be used for frost protection; tolerant of uneven terrain.</w:t>
      </w:r>
    </w:p>
    <w:p w14:paraId="7E263C70" w14:textId="77777777" w:rsidR="002C77C4" w:rsidRPr="00E35798" w:rsidRDefault="002C77C4" w:rsidP="00025141">
      <w:pPr>
        <w:pStyle w:val="ListBullet4"/>
      </w:pPr>
      <w:r>
        <w:rPr>
          <w:i/>
          <w:iCs/>
        </w:rPr>
        <w:t>Constraints</w:t>
      </w:r>
      <w:r>
        <w:t>: high wind-drift and evaporation losses under Mongolian conditions; wets foliage, raising disease risk inside greenhouses; requires continuous pressurised supply; moderate insurability.</w:t>
      </w:r>
    </w:p>
    <w:p w14:paraId="1BE98D8D" w14:textId="61E5227D" w:rsidR="002C77C4" w:rsidRPr="00E35798" w:rsidRDefault="002C77C4" w:rsidP="00583859">
      <w:pPr>
        <w:spacing w:before="120" w:after="120" w:line="240" w:lineRule="auto"/>
        <w:contextualSpacing w:val="0"/>
      </w:pPr>
      <w:r>
        <w:rPr>
          <w:b/>
          <w:bCs/>
        </w:rPr>
        <w:t>3. Drip irrigation — gravity-fed</w:t>
      </w:r>
    </w:p>
    <w:p w14:paraId="69E80D3F" w14:textId="77777777" w:rsidR="002C77C4" w:rsidRPr="00583859" w:rsidRDefault="002C77C4" w:rsidP="00262F9E">
      <w:pPr>
        <w:pStyle w:val="ListBullet4"/>
      </w:pPr>
      <w:r>
        <w:rPr>
          <w:i/>
          <w:iCs/>
        </w:rPr>
        <w:t>What it is</w:t>
      </w:r>
      <w:r>
        <w:t>: low-pressure drip system in which water is delivered directly to the root zone through inline emitters, powered by an elevated header tank rather than by a pump.</w:t>
      </w:r>
    </w:p>
    <w:p w14:paraId="06511E7B" w14:textId="77777777" w:rsidR="002C77C4" w:rsidRPr="00583859" w:rsidRDefault="002C77C4" w:rsidP="00262F9E">
      <w:pPr>
        <w:pStyle w:val="ListBullet4"/>
      </w:pPr>
      <w:r>
        <w:rPr>
          <w:i/>
          <w:iCs/>
        </w:rPr>
        <w:t>How it works</w:t>
      </w:r>
      <w:r>
        <w:t>: a raised tank (2–10 m head) provides enough pressure to drive pressure-compensating or turbulent-flow emitters delivering 1–4 L/h per dripper.</w:t>
      </w:r>
    </w:p>
    <w:p w14:paraId="710AFA12" w14:textId="14A025BB" w:rsidR="002C77C4" w:rsidRPr="00583859" w:rsidRDefault="002C77C4" w:rsidP="00262F9E">
      <w:pPr>
        <w:pStyle w:val="ListBullet4"/>
      </w:pPr>
      <w:r>
        <w:rPr>
          <w:i/>
          <w:iCs/>
        </w:rPr>
        <w:lastRenderedPageBreak/>
        <w:t>Advantages</w:t>
      </w:r>
      <w:r>
        <w:t xml:space="preserve">: high water efficiency (85–90 %); no electricity; mechanically simple; long lifespan with good filtration; good insurability; well matched to shallow-well </w:t>
      </w:r>
      <w:proofErr w:type="gramStart"/>
      <w:r>
        <w:t>Uvurkhangai  sites</w:t>
      </w:r>
      <w:proofErr w:type="gramEnd"/>
      <w:r>
        <w:t xml:space="preserve"> where a header tank is physically feasible.</w:t>
      </w:r>
    </w:p>
    <w:p w14:paraId="4D2876E1" w14:textId="77777777" w:rsidR="002C77C4" w:rsidRPr="00E35798" w:rsidRDefault="002C77C4" w:rsidP="00262F9E">
      <w:pPr>
        <w:pStyle w:val="ListBullet4"/>
      </w:pPr>
      <w:r>
        <w:rPr>
          <w:i/>
          <w:iCs/>
        </w:rPr>
        <w:t>Constraints</w:t>
      </w:r>
      <w:r>
        <w:t>: requires elevation for gravity head; filtration is mandatory to prevent emitter clogging; some initial investment in tank and infrastructure; limited dynamic pressure range.</w:t>
      </w:r>
    </w:p>
    <w:p w14:paraId="246576C6" w14:textId="14A5808D" w:rsidR="002C77C4" w:rsidRPr="00262F9E" w:rsidRDefault="002C77C4" w:rsidP="00EB489E">
      <w:pPr>
        <w:rPr>
          <w:b/>
          <w:bCs/>
        </w:rPr>
      </w:pPr>
      <w:r w:rsidRPr="00262F9E">
        <w:rPr>
          <w:b/>
          <w:bCs/>
        </w:rPr>
        <w:t>4. Drip irrigation — solar-powered</w:t>
      </w:r>
    </w:p>
    <w:p w14:paraId="638A4605" w14:textId="77777777" w:rsidR="002C77C4" w:rsidRPr="00583859" w:rsidRDefault="002C77C4" w:rsidP="00262F9E">
      <w:pPr>
        <w:pStyle w:val="ListBullet4"/>
      </w:pPr>
      <w:r>
        <w:rPr>
          <w:i/>
          <w:iCs/>
        </w:rPr>
        <w:t>What it is</w:t>
      </w:r>
      <w:r>
        <w:t>: drip irrigation coupled with a photovoltaic-powered pump drawing from a well or borehole into a pressurised distribution network, with or without battery or tank buffering.</w:t>
      </w:r>
    </w:p>
    <w:p w14:paraId="4AAD2195" w14:textId="6A1FF5F5" w:rsidR="002C77C4" w:rsidRPr="00583859" w:rsidRDefault="002C77C4" w:rsidP="00262F9E">
      <w:pPr>
        <w:pStyle w:val="ListBullet4"/>
      </w:pPr>
      <w:r>
        <w:rPr>
          <w:i/>
          <w:iCs/>
        </w:rPr>
        <w:t>How it works</w:t>
      </w:r>
      <w:r>
        <w:t xml:space="preserve">: a PV array (sized for 7–8 effective pumping hours per day, not total daylight) powers a DC or AC-inverter pump. In Uvurkhangai, direct-coupled (no battery) configurations are usually adequate; in Dundgovi, </w:t>
      </w:r>
      <w:proofErr w:type="spellStart"/>
      <w:r>
        <w:t>LiFePO</w:t>
      </w:r>
      <w:proofErr w:type="spellEnd"/>
      <w:r>
        <w:t>₄ battery storage (10–15 kWh) is mandatory to match the deeper well and lower insolation consistency.</w:t>
      </w:r>
    </w:p>
    <w:p w14:paraId="6EEE1CF4" w14:textId="77777777" w:rsidR="002C77C4" w:rsidRPr="00583859" w:rsidRDefault="002C77C4" w:rsidP="00262F9E">
      <w:pPr>
        <w:pStyle w:val="ListBullet4"/>
      </w:pPr>
      <w:r>
        <w:rPr>
          <w:i/>
          <w:iCs/>
        </w:rPr>
        <w:t>Advantages</w:t>
      </w:r>
      <w:r>
        <w:t>: highest water efficiency among pumped systems (90–95 %); zero fuel cost; modular and scalable; excellent insurability (assets are visible, fixed, and valuable); fully compatible with both greenhouse and open-field plots; aligns with the project’s energy-source MCA (solar PV ranked 1st).</w:t>
      </w:r>
    </w:p>
    <w:p w14:paraId="3FD9B5F3" w14:textId="3ED57CDA" w:rsidR="002C77C4" w:rsidRPr="00583859" w:rsidRDefault="002C77C4" w:rsidP="00262F9E">
      <w:pPr>
        <w:pStyle w:val="ListBullet4"/>
      </w:pPr>
      <w:r>
        <w:rPr>
          <w:i/>
          <w:iCs/>
        </w:rPr>
        <w:t>Constraints</w:t>
      </w:r>
      <w:r>
        <w:t>: capital cost USD 1,500–3,000 for shallow-well Uvurkhangai and USD 5,500–12,000 for deep-borehole Dundgovi (including battery); requires correct hydraulic and solar sizing; theft risk of PV modules requires perimeter security.</w:t>
      </w:r>
    </w:p>
    <w:p w14:paraId="1E26081E" w14:textId="0F77C4D5" w:rsidR="002C77C4" w:rsidRPr="00E35798" w:rsidRDefault="002C77C4" w:rsidP="00583859">
      <w:pPr>
        <w:spacing w:before="120" w:after="120" w:line="240" w:lineRule="auto"/>
        <w:contextualSpacing w:val="0"/>
      </w:pPr>
      <w:r>
        <w:rPr>
          <w:b/>
          <w:bCs/>
        </w:rPr>
        <w:t>5. Subsurface drip irrigation (SDI)</w:t>
      </w:r>
    </w:p>
    <w:p w14:paraId="34121C66" w14:textId="77777777" w:rsidR="002C77C4" w:rsidRPr="00583859" w:rsidRDefault="002C77C4" w:rsidP="000B4B55">
      <w:pPr>
        <w:pStyle w:val="ListBullet4"/>
      </w:pPr>
      <w:r>
        <w:rPr>
          <w:i/>
          <w:iCs/>
        </w:rPr>
        <w:t>What it is</w:t>
      </w:r>
      <w:r>
        <w:t>: drip laterals buried 10–40 cm below the soil surface delivering water directly to the root zone.</w:t>
      </w:r>
    </w:p>
    <w:p w14:paraId="35D8430E" w14:textId="77777777" w:rsidR="002C77C4" w:rsidRPr="00583859" w:rsidRDefault="002C77C4" w:rsidP="000B4B55">
      <w:pPr>
        <w:pStyle w:val="ListBullet4"/>
      </w:pPr>
      <w:r>
        <w:rPr>
          <w:i/>
          <w:iCs/>
        </w:rPr>
        <w:t>How it works</w:t>
      </w:r>
      <w:r>
        <w:t>: buried emitters release water directly into the root zone, eliminating surface wetting, evaporation and weed germination.</w:t>
      </w:r>
    </w:p>
    <w:p w14:paraId="44914D4C" w14:textId="77777777" w:rsidR="002C77C4" w:rsidRPr="00583859" w:rsidRDefault="002C77C4" w:rsidP="000B4B55">
      <w:pPr>
        <w:pStyle w:val="ListBullet4"/>
      </w:pPr>
      <w:r>
        <w:rPr>
          <w:i/>
          <w:iCs/>
        </w:rPr>
        <w:t>Advantages</w:t>
      </w:r>
      <w:r>
        <w:t>: highest water efficiency (95–98 %); minimal evaporation; strong weed suppression; compatible with solar pumping.</w:t>
      </w:r>
    </w:p>
    <w:p w14:paraId="635837D8" w14:textId="38E4C94B" w:rsidR="00583859" w:rsidRDefault="002C77C4" w:rsidP="00EB489E">
      <w:r>
        <w:rPr>
          <w:i/>
          <w:iCs/>
        </w:rPr>
        <w:t>Constraints</w:t>
      </w:r>
      <w:r>
        <w:t>: very high capital cost; root-intrusion and clogging risks are hard to diagnose when buried; poor fit with smallholder vegetable rotations (annual bed turnover damages laterals); not prioritised.</w:t>
      </w:r>
    </w:p>
    <w:p w14:paraId="443C568E" w14:textId="77777777" w:rsidR="000B4B55" w:rsidRDefault="000B4B55" w:rsidP="00EB489E"/>
    <w:p w14:paraId="0EAEA479" w14:textId="5E383011" w:rsidR="002C77C4" w:rsidRPr="00E35798" w:rsidRDefault="002C77C4" w:rsidP="00D16E24">
      <w:pPr>
        <w:pStyle w:val="Caption"/>
        <w:keepNext/>
        <w:framePr w:wrap="notBeside"/>
        <w:spacing w:after="120"/>
        <w:contextualSpacing w:val="0"/>
      </w:pPr>
      <w:r>
        <w:t>Table 3</w:t>
      </w:r>
      <w:r w:rsidR="000F5A2A">
        <w:t>5</w:t>
      </w:r>
      <w:r>
        <w:t>. Summary of irrigation technology options</w:t>
      </w:r>
    </w:p>
    <w:tbl>
      <w:tblPr>
        <w:tblStyle w:val="ListTable4-Accent3"/>
        <w:tblW w:w="5000" w:type="pct"/>
        <w:tblBorders>
          <w:top w:val="single" w:sz="4" w:space="0" w:color="E99E6D" w:themeColor="accent3"/>
          <w:left w:val="none" w:sz="0" w:space="0" w:color="auto"/>
          <w:bottom w:val="single" w:sz="4" w:space="0" w:color="BCBCBC" w:themeColor="background1"/>
          <w:right w:val="none" w:sz="0" w:space="0" w:color="auto"/>
          <w:insideH w:val="single" w:sz="4" w:space="0" w:color="BCBCBC" w:themeColor="background1"/>
        </w:tblBorders>
        <w:tblLook w:val="04A0" w:firstRow="1" w:lastRow="0" w:firstColumn="1" w:lastColumn="0" w:noHBand="0" w:noVBand="1"/>
      </w:tblPr>
      <w:tblGrid>
        <w:gridCol w:w="2267"/>
        <w:gridCol w:w="1361"/>
        <w:gridCol w:w="1361"/>
        <w:gridCol w:w="1588"/>
        <w:gridCol w:w="1475"/>
        <w:gridCol w:w="1586"/>
      </w:tblGrid>
      <w:tr w:rsidR="002C77C4" w:rsidRPr="00E35798" w14:paraId="23622694" w14:textId="77777777" w:rsidTr="00280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tcBorders>
              <w:top w:val="none" w:sz="0" w:space="0" w:color="auto"/>
              <w:left w:val="none" w:sz="0" w:space="0" w:color="auto"/>
              <w:bottom w:val="none" w:sz="0" w:space="0" w:color="auto"/>
            </w:tcBorders>
          </w:tcPr>
          <w:p w14:paraId="012CD55D" w14:textId="77777777" w:rsidR="002C77C4" w:rsidRPr="00E35798" w:rsidRDefault="002C77C4" w:rsidP="00D16E24">
            <w:pPr>
              <w:pStyle w:val="OikoTables02"/>
              <w:rPr>
                <w:color w:val="auto"/>
                <w:lang w:val="en-GB"/>
              </w:rPr>
            </w:pPr>
            <w:r>
              <w:rPr>
                <w:color w:val="auto"/>
                <w:lang w:val="en-GB"/>
              </w:rPr>
              <w:t>Method</w:t>
            </w:r>
          </w:p>
        </w:tc>
        <w:tc>
          <w:tcPr>
            <w:tcW w:w="706" w:type="pct"/>
            <w:tcBorders>
              <w:top w:val="none" w:sz="0" w:space="0" w:color="auto"/>
              <w:bottom w:val="none" w:sz="0" w:space="0" w:color="auto"/>
            </w:tcBorders>
          </w:tcPr>
          <w:p w14:paraId="30021319" w14:textId="77777777" w:rsidR="002C77C4" w:rsidRPr="00E35798" w:rsidRDefault="002C77C4" w:rsidP="00D16E24">
            <w:pPr>
              <w:pStyle w:val="OikoTables02"/>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Efficiency</w:t>
            </w:r>
          </w:p>
        </w:tc>
        <w:tc>
          <w:tcPr>
            <w:tcW w:w="706" w:type="pct"/>
            <w:tcBorders>
              <w:top w:val="none" w:sz="0" w:space="0" w:color="auto"/>
              <w:bottom w:val="none" w:sz="0" w:space="0" w:color="auto"/>
            </w:tcBorders>
          </w:tcPr>
          <w:p w14:paraId="5AA37668" w14:textId="77777777" w:rsidR="002C77C4" w:rsidRPr="00E35798" w:rsidRDefault="002C77C4" w:rsidP="00D16E24">
            <w:pPr>
              <w:pStyle w:val="OikoTables02"/>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Capital Cost</w:t>
            </w:r>
          </w:p>
        </w:tc>
        <w:tc>
          <w:tcPr>
            <w:tcW w:w="824" w:type="pct"/>
            <w:tcBorders>
              <w:top w:val="none" w:sz="0" w:space="0" w:color="auto"/>
              <w:bottom w:val="none" w:sz="0" w:space="0" w:color="auto"/>
            </w:tcBorders>
          </w:tcPr>
          <w:p w14:paraId="4C024E55" w14:textId="77777777" w:rsidR="002C77C4" w:rsidRPr="00E35798" w:rsidRDefault="002C77C4" w:rsidP="00D16E24">
            <w:pPr>
              <w:pStyle w:val="OikoTables02"/>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Water Saving</w:t>
            </w:r>
          </w:p>
        </w:tc>
        <w:tc>
          <w:tcPr>
            <w:tcW w:w="765" w:type="pct"/>
            <w:tcBorders>
              <w:top w:val="none" w:sz="0" w:space="0" w:color="auto"/>
              <w:bottom w:val="none" w:sz="0" w:space="0" w:color="auto"/>
            </w:tcBorders>
          </w:tcPr>
          <w:p w14:paraId="0F83ED3F" w14:textId="77777777" w:rsidR="002C77C4" w:rsidRPr="00E35798" w:rsidRDefault="002C77C4" w:rsidP="00D16E24">
            <w:pPr>
              <w:pStyle w:val="OikoTables02"/>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Technical Req.</w:t>
            </w:r>
          </w:p>
        </w:tc>
        <w:tc>
          <w:tcPr>
            <w:tcW w:w="823" w:type="pct"/>
            <w:tcBorders>
              <w:top w:val="none" w:sz="0" w:space="0" w:color="auto"/>
              <w:bottom w:val="none" w:sz="0" w:space="0" w:color="auto"/>
              <w:right w:val="none" w:sz="0" w:space="0" w:color="auto"/>
            </w:tcBorders>
          </w:tcPr>
          <w:p w14:paraId="53313F9C" w14:textId="77777777" w:rsidR="002C77C4" w:rsidRPr="00E35798" w:rsidRDefault="002C77C4" w:rsidP="00D16E24">
            <w:pPr>
              <w:pStyle w:val="OikoTables02"/>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Insurability</w:t>
            </w:r>
          </w:p>
        </w:tc>
      </w:tr>
      <w:tr w:rsidR="002C77C4" w:rsidRPr="00E35798" w14:paraId="3F00C1D9" w14:textId="77777777" w:rsidTr="00280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shd w:val="clear" w:color="auto" w:fill="auto"/>
          </w:tcPr>
          <w:p w14:paraId="076ECC9E" w14:textId="30E0542E" w:rsidR="002C77C4" w:rsidRPr="00E35798" w:rsidRDefault="002C77C4" w:rsidP="00D16E24">
            <w:pPr>
              <w:pStyle w:val="OikoTables03Content"/>
              <w:spacing w:after="120" w:line="240" w:lineRule="auto"/>
              <w:rPr>
                <w:lang w:val="en-GB"/>
              </w:rPr>
            </w:pPr>
            <w:r>
              <w:rPr>
                <w:lang w:val="en-GB"/>
              </w:rPr>
              <w:t>Traditional Surface</w:t>
            </w:r>
          </w:p>
        </w:tc>
        <w:tc>
          <w:tcPr>
            <w:tcW w:w="706" w:type="pct"/>
            <w:shd w:val="clear" w:color="auto" w:fill="auto"/>
          </w:tcPr>
          <w:p w14:paraId="40AC7C80"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25–40%</w:t>
            </w:r>
          </w:p>
        </w:tc>
        <w:tc>
          <w:tcPr>
            <w:tcW w:w="706" w:type="pct"/>
            <w:shd w:val="clear" w:color="auto" w:fill="auto"/>
          </w:tcPr>
          <w:p w14:paraId="34310FB2"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Low</w:t>
            </w:r>
          </w:p>
        </w:tc>
        <w:tc>
          <w:tcPr>
            <w:tcW w:w="824" w:type="pct"/>
            <w:shd w:val="clear" w:color="auto" w:fill="auto"/>
          </w:tcPr>
          <w:p w14:paraId="5933E74B"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Baseline</w:t>
            </w:r>
          </w:p>
        </w:tc>
        <w:tc>
          <w:tcPr>
            <w:tcW w:w="765" w:type="pct"/>
            <w:shd w:val="clear" w:color="auto" w:fill="auto"/>
          </w:tcPr>
          <w:p w14:paraId="373D1AF6"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None</w:t>
            </w:r>
          </w:p>
        </w:tc>
        <w:tc>
          <w:tcPr>
            <w:tcW w:w="823" w:type="pct"/>
            <w:shd w:val="clear" w:color="auto" w:fill="auto"/>
          </w:tcPr>
          <w:p w14:paraId="3E402CBA"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None</w:t>
            </w:r>
          </w:p>
        </w:tc>
      </w:tr>
      <w:tr w:rsidR="002C77C4" w:rsidRPr="00E35798" w14:paraId="6EA49740" w14:textId="77777777" w:rsidTr="0028081C">
        <w:tc>
          <w:tcPr>
            <w:cnfStyle w:val="001000000000" w:firstRow="0" w:lastRow="0" w:firstColumn="1" w:lastColumn="0" w:oddVBand="0" w:evenVBand="0" w:oddHBand="0" w:evenHBand="0" w:firstRowFirstColumn="0" w:firstRowLastColumn="0" w:lastRowFirstColumn="0" w:lastRowLastColumn="0"/>
            <w:tcW w:w="1176" w:type="pct"/>
          </w:tcPr>
          <w:p w14:paraId="1B19795A" w14:textId="290A2E65" w:rsidR="002C77C4" w:rsidRPr="00E35798" w:rsidRDefault="002C77C4" w:rsidP="00D16E24">
            <w:pPr>
              <w:pStyle w:val="OikoTables03Content"/>
              <w:spacing w:after="120" w:line="240" w:lineRule="auto"/>
              <w:rPr>
                <w:lang w:val="en-GB"/>
              </w:rPr>
            </w:pPr>
            <w:r>
              <w:rPr>
                <w:lang w:val="en-GB"/>
              </w:rPr>
              <w:t>Sprinkler</w:t>
            </w:r>
          </w:p>
        </w:tc>
        <w:tc>
          <w:tcPr>
            <w:tcW w:w="706" w:type="pct"/>
          </w:tcPr>
          <w:p w14:paraId="3B512B2A"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60–75%</w:t>
            </w:r>
          </w:p>
        </w:tc>
        <w:tc>
          <w:tcPr>
            <w:tcW w:w="706" w:type="pct"/>
          </w:tcPr>
          <w:p w14:paraId="33F1D050"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Medium</w:t>
            </w:r>
          </w:p>
        </w:tc>
        <w:tc>
          <w:tcPr>
            <w:tcW w:w="824" w:type="pct"/>
          </w:tcPr>
          <w:p w14:paraId="5ED14FAC"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 surface</w:t>
            </w:r>
          </w:p>
        </w:tc>
        <w:tc>
          <w:tcPr>
            <w:tcW w:w="765" w:type="pct"/>
          </w:tcPr>
          <w:p w14:paraId="1EEA65AF"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Moderate</w:t>
            </w:r>
          </w:p>
        </w:tc>
        <w:tc>
          <w:tcPr>
            <w:tcW w:w="823" w:type="pct"/>
          </w:tcPr>
          <w:p w14:paraId="214BA924"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Moderate</w:t>
            </w:r>
          </w:p>
        </w:tc>
      </w:tr>
      <w:tr w:rsidR="002C77C4" w:rsidRPr="00E35798" w14:paraId="0F943F97" w14:textId="77777777" w:rsidTr="00280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shd w:val="clear" w:color="auto" w:fill="auto"/>
          </w:tcPr>
          <w:p w14:paraId="3B4B75E6" w14:textId="06A2AFB0" w:rsidR="002C77C4" w:rsidRPr="00E35798" w:rsidRDefault="002C77C4" w:rsidP="00D16E24">
            <w:pPr>
              <w:pStyle w:val="OikoTables03Content"/>
              <w:spacing w:after="120" w:line="240" w:lineRule="auto"/>
              <w:rPr>
                <w:lang w:val="en-GB"/>
              </w:rPr>
            </w:pPr>
            <w:r>
              <w:rPr>
                <w:lang w:val="en-GB"/>
              </w:rPr>
              <w:t>Drip (Gravity-Fed)</w:t>
            </w:r>
          </w:p>
        </w:tc>
        <w:tc>
          <w:tcPr>
            <w:tcW w:w="706" w:type="pct"/>
            <w:shd w:val="clear" w:color="auto" w:fill="auto"/>
          </w:tcPr>
          <w:p w14:paraId="58F6D7F0"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85–90%</w:t>
            </w:r>
          </w:p>
        </w:tc>
        <w:tc>
          <w:tcPr>
            <w:tcW w:w="706" w:type="pct"/>
            <w:shd w:val="clear" w:color="auto" w:fill="auto"/>
          </w:tcPr>
          <w:p w14:paraId="10C6F4CC"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Medium</w:t>
            </w:r>
          </w:p>
        </w:tc>
        <w:tc>
          <w:tcPr>
            <w:tcW w:w="824" w:type="pct"/>
            <w:shd w:val="clear" w:color="auto" w:fill="auto"/>
          </w:tcPr>
          <w:p w14:paraId="3BA9EB16"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 surface</w:t>
            </w:r>
          </w:p>
        </w:tc>
        <w:tc>
          <w:tcPr>
            <w:tcW w:w="765" w:type="pct"/>
            <w:shd w:val="clear" w:color="auto" w:fill="auto"/>
          </w:tcPr>
          <w:p w14:paraId="00AC6E95"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Low-Mod</w:t>
            </w:r>
          </w:p>
        </w:tc>
        <w:tc>
          <w:tcPr>
            <w:tcW w:w="823" w:type="pct"/>
            <w:shd w:val="clear" w:color="auto" w:fill="auto"/>
          </w:tcPr>
          <w:p w14:paraId="721AF775"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Good</w:t>
            </w:r>
          </w:p>
        </w:tc>
      </w:tr>
      <w:tr w:rsidR="002C77C4" w:rsidRPr="00E35798" w14:paraId="239C0745" w14:textId="77777777" w:rsidTr="0028081C">
        <w:tc>
          <w:tcPr>
            <w:cnfStyle w:val="001000000000" w:firstRow="0" w:lastRow="0" w:firstColumn="1" w:lastColumn="0" w:oddVBand="0" w:evenVBand="0" w:oddHBand="0" w:evenHBand="0" w:firstRowFirstColumn="0" w:firstRowLastColumn="0" w:lastRowFirstColumn="0" w:lastRowLastColumn="0"/>
            <w:tcW w:w="1176" w:type="pct"/>
          </w:tcPr>
          <w:p w14:paraId="45583B14" w14:textId="2A3AA1FE" w:rsidR="002C77C4" w:rsidRPr="00E35798" w:rsidRDefault="002C77C4" w:rsidP="00D16E24">
            <w:pPr>
              <w:pStyle w:val="OikoTables03Content"/>
              <w:spacing w:after="120" w:line="240" w:lineRule="auto"/>
              <w:rPr>
                <w:lang w:val="en-GB"/>
              </w:rPr>
            </w:pPr>
            <w:r>
              <w:rPr>
                <w:lang w:val="en-GB"/>
              </w:rPr>
              <w:t>Drip (Solar-Powered)</w:t>
            </w:r>
          </w:p>
        </w:tc>
        <w:tc>
          <w:tcPr>
            <w:tcW w:w="706" w:type="pct"/>
          </w:tcPr>
          <w:p w14:paraId="64DF4315"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90–95%</w:t>
            </w:r>
          </w:p>
        </w:tc>
        <w:tc>
          <w:tcPr>
            <w:tcW w:w="706" w:type="pct"/>
          </w:tcPr>
          <w:p w14:paraId="641D6E25"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High</w:t>
            </w:r>
          </w:p>
        </w:tc>
        <w:tc>
          <w:tcPr>
            <w:tcW w:w="824" w:type="pct"/>
          </w:tcPr>
          <w:p w14:paraId="58176266"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3–4× surface</w:t>
            </w:r>
          </w:p>
        </w:tc>
        <w:tc>
          <w:tcPr>
            <w:tcW w:w="765" w:type="pct"/>
          </w:tcPr>
          <w:p w14:paraId="1426BE8C"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Moderate</w:t>
            </w:r>
          </w:p>
        </w:tc>
        <w:tc>
          <w:tcPr>
            <w:tcW w:w="823" w:type="pct"/>
          </w:tcPr>
          <w:p w14:paraId="2D68AC05" w14:textId="77777777" w:rsidR="002C77C4" w:rsidRPr="00E35798" w:rsidRDefault="002C77C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Excellent</w:t>
            </w:r>
          </w:p>
        </w:tc>
      </w:tr>
      <w:tr w:rsidR="002C77C4" w:rsidRPr="00E35798" w14:paraId="60AB1AF3" w14:textId="77777777" w:rsidTr="00280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shd w:val="clear" w:color="auto" w:fill="auto"/>
          </w:tcPr>
          <w:p w14:paraId="33CFB889" w14:textId="266569D0" w:rsidR="002C77C4" w:rsidRPr="00E35798" w:rsidRDefault="002C77C4" w:rsidP="00D16E24">
            <w:pPr>
              <w:pStyle w:val="OikoTables03Content"/>
              <w:spacing w:after="120" w:line="240" w:lineRule="auto"/>
              <w:rPr>
                <w:lang w:val="en-GB"/>
              </w:rPr>
            </w:pPr>
            <w:r>
              <w:rPr>
                <w:lang w:val="en-GB"/>
              </w:rPr>
              <w:t>Subsurface Drip</w:t>
            </w:r>
          </w:p>
        </w:tc>
        <w:tc>
          <w:tcPr>
            <w:tcW w:w="706" w:type="pct"/>
            <w:shd w:val="clear" w:color="auto" w:fill="auto"/>
          </w:tcPr>
          <w:p w14:paraId="42E72AC6"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95–98%</w:t>
            </w:r>
          </w:p>
        </w:tc>
        <w:tc>
          <w:tcPr>
            <w:tcW w:w="706" w:type="pct"/>
            <w:shd w:val="clear" w:color="auto" w:fill="auto"/>
          </w:tcPr>
          <w:p w14:paraId="3960C0F3"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Very High</w:t>
            </w:r>
          </w:p>
        </w:tc>
        <w:tc>
          <w:tcPr>
            <w:tcW w:w="824" w:type="pct"/>
            <w:shd w:val="clear" w:color="auto" w:fill="auto"/>
          </w:tcPr>
          <w:p w14:paraId="4FD70E02"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 surface</w:t>
            </w:r>
          </w:p>
        </w:tc>
        <w:tc>
          <w:tcPr>
            <w:tcW w:w="765" w:type="pct"/>
            <w:shd w:val="clear" w:color="auto" w:fill="auto"/>
          </w:tcPr>
          <w:p w14:paraId="08413381"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High</w:t>
            </w:r>
          </w:p>
        </w:tc>
        <w:tc>
          <w:tcPr>
            <w:tcW w:w="823" w:type="pct"/>
            <w:shd w:val="clear" w:color="auto" w:fill="auto"/>
          </w:tcPr>
          <w:p w14:paraId="486187FF" w14:textId="77777777" w:rsidR="002C77C4" w:rsidRPr="00E35798" w:rsidRDefault="002C77C4"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Good</w:t>
            </w:r>
          </w:p>
        </w:tc>
      </w:tr>
      <w:tr w:rsidR="00B85D16" w:rsidRPr="00E35798" w14:paraId="0ACA7112" w14:textId="77777777" w:rsidTr="00B85D16">
        <w:tc>
          <w:tcPr>
            <w:cnfStyle w:val="001000000000" w:firstRow="0" w:lastRow="0" w:firstColumn="1" w:lastColumn="0" w:oddVBand="0" w:evenVBand="0" w:oddHBand="0" w:evenHBand="0" w:firstRowFirstColumn="0" w:firstRowLastColumn="0" w:lastRowFirstColumn="0" w:lastRowLastColumn="0"/>
            <w:tcW w:w="5000" w:type="pct"/>
            <w:gridSpan w:val="6"/>
          </w:tcPr>
          <w:p w14:paraId="7170ADDA" w14:textId="23503337" w:rsidR="00B85D16" w:rsidRPr="00B85D16" w:rsidRDefault="00B85D16" w:rsidP="00D16E24">
            <w:pPr>
              <w:pStyle w:val="OikoTables03Content"/>
              <w:spacing w:after="120" w:line="240" w:lineRule="auto"/>
              <w:rPr>
                <w:b w:val="0"/>
                <w:bCs w:val="0"/>
                <w:i/>
                <w:iCs/>
                <w:lang w:val="en-GB"/>
              </w:rPr>
            </w:pPr>
            <w:r w:rsidRPr="00B85D16">
              <w:rPr>
                <w:b w:val="0"/>
                <w:bCs w:val="0"/>
                <w:i/>
                <w:iCs/>
                <w:lang w:val="en-GB"/>
              </w:rPr>
              <w:t>Source: OIKO elaboration based on CTCN field mission observations, national irrigation expert inputs, and groundwater conditions reviewed in Section</w:t>
            </w:r>
          </w:p>
        </w:tc>
      </w:tr>
    </w:tbl>
    <w:p w14:paraId="486A1C45" w14:textId="77777777" w:rsidR="00213DBE" w:rsidRPr="00E35798" w:rsidRDefault="00213DBE" w:rsidP="00EB489E"/>
    <w:p w14:paraId="4C343BC0" w14:textId="717CADA4" w:rsidR="00103FE3" w:rsidRPr="00E35798" w:rsidRDefault="00583859" w:rsidP="00D16E24">
      <w:pPr>
        <w:pStyle w:val="Heading3"/>
        <w:spacing w:line="240" w:lineRule="auto"/>
        <w:contextualSpacing w:val="0"/>
      </w:pPr>
      <w:bookmarkStart w:id="138" w:name="_Toc233981343"/>
      <w:r>
        <w:t>Multi-criteria analysis</w:t>
      </w:r>
      <w:bookmarkEnd w:id="138"/>
    </w:p>
    <w:p w14:paraId="0AE522E6" w14:textId="4E2DCDEF" w:rsidR="00103FE3" w:rsidRDefault="00555DAB" w:rsidP="00EB489E">
      <w:r>
        <w:t>The five irrigation systems were scored against five criteria. The same criteria and weights - apply to both target provinces. Province differentiation is handled through the engineered configuration of the same core technology — for example battery-buffered solar pumping in Dundgovi versus direct-coupled or gravity-fed systems in Uvurkhangai — rather than through different technologies or re-weighting of criteria. Water efficiency measures irrigation water per kilogram of marketable yield (a productivity metric</w:t>
      </w:r>
      <w:proofErr w:type="gramStart"/>
      <w:r>
        <w:t>), and</w:t>
      </w:r>
      <w:proofErr w:type="gramEnd"/>
      <w:r>
        <w:t xml:space="preserve"> is weighted most heavily because water is the binding constraint; affordability, technical simplicity, insurability/finance compatibility and scalability complete the set.</w:t>
      </w:r>
    </w:p>
    <w:p w14:paraId="7C1F56BF" w14:textId="4162AEB1" w:rsidR="00681002" w:rsidRDefault="00681002">
      <w:pPr>
        <w:spacing w:after="160" w:line="259" w:lineRule="auto"/>
        <w:contextualSpacing w:val="0"/>
        <w:jc w:val="left"/>
      </w:pPr>
      <w:r>
        <w:br w:type="page"/>
      </w:r>
    </w:p>
    <w:p w14:paraId="01D49672" w14:textId="77777777" w:rsidR="00205BD0" w:rsidRDefault="00205BD0" w:rsidP="00EB489E"/>
    <w:p w14:paraId="15F7F89C" w14:textId="66703393" w:rsidR="00A10345" w:rsidRDefault="00555DAB" w:rsidP="00AB7D88">
      <w:pPr>
        <w:pStyle w:val="Caption"/>
        <w:framePr w:wrap="notBeside"/>
      </w:pPr>
      <w:r>
        <w:t>Table 3</w:t>
      </w:r>
      <w:r w:rsidR="00AB7D88">
        <w:t>6</w:t>
      </w:r>
      <w:r>
        <w:t>. Irrigation MCA - definitions and weights of the assessment criteria</w:t>
      </w:r>
    </w:p>
    <w:tbl>
      <w:tblPr>
        <w:tblStyle w:val="PlainTable2"/>
        <w:tblW w:w="5000" w:type="pct"/>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1559"/>
        <w:gridCol w:w="3817"/>
        <w:gridCol w:w="862"/>
        <w:gridCol w:w="3400"/>
      </w:tblGrid>
      <w:tr w:rsidR="003B3F6B" w:rsidRPr="00E35798" w14:paraId="6994599B" w14:textId="77777777" w:rsidTr="000F5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bottom w:val="none" w:sz="0" w:space="0" w:color="auto"/>
            </w:tcBorders>
            <w:shd w:val="clear" w:color="auto" w:fill="E99E6D" w:themeFill="accent3"/>
          </w:tcPr>
          <w:p w14:paraId="4822F3CC" w14:textId="77777777" w:rsidR="003B3F6B" w:rsidRPr="00E35798" w:rsidRDefault="003B3F6B" w:rsidP="00D16E24">
            <w:pPr>
              <w:pStyle w:val="OikoTables02"/>
              <w:rPr>
                <w:b w:val="0"/>
                <w:lang w:val="en-GB"/>
              </w:rPr>
            </w:pPr>
            <w:r>
              <w:t>Criterion</w:t>
            </w:r>
          </w:p>
        </w:tc>
        <w:tc>
          <w:tcPr>
            <w:tcW w:w="1980" w:type="pct"/>
            <w:tcBorders>
              <w:bottom w:val="none" w:sz="0" w:space="0" w:color="auto"/>
            </w:tcBorders>
            <w:shd w:val="clear" w:color="auto" w:fill="E99E6D" w:themeFill="accent3"/>
          </w:tcPr>
          <w:p w14:paraId="7FEFA9CE" w14:textId="77777777" w:rsidR="003B3F6B" w:rsidRPr="00E35798" w:rsidRDefault="003B3F6B" w:rsidP="00D16E24">
            <w:pPr>
              <w:pStyle w:val="OikoTables02"/>
              <w:cnfStyle w:val="100000000000" w:firstRow="1" w:lastRow="0" w:firstColumn="0" w:lastColumn="0" w:oddVBand="0" w:evenVBand="0" w:oddHBand="0" w:evenHBand="0" w:firstRowFirstColumn="0" w:firstRowLastColumn="0" w:lastRowFirstColumn="0" w:lastRowLastColumn="0"/>
              <w:rPr>
                <w:b w:val="0"/>
                <w:lang w:val="en-GB"/>
              </w:rPr>
            </w:pPr>
            <w:r>
              <w:t xml:space="preserve">Description </w:t>
            </w:r>
          </w:p>
        </w:tc>
        <w:tc>
          <w:tcPr>
            <w:tcW w:w="447" w:type="pct"/>
            <w:tcBorders>
              <w:bottom w:val="none" w:sz="0" w:space="0" w:color="auto"/>
            </w:tcBorders>
            <w:shd w:val="clear" w:color="auto" w:fill="E99E6D" w:themeFill="accent3"/>
          </w:tcPr>
          <w:p w14:paraId="285235BB" w14:textId="77777777" w:rsidR="003B3F6B" w:rsidRPr="00E35798" w:rsidRDefault="003B3F6B" w:rsidP="00D16E24">
            <w:pPr>
              <w:pStyle w:val="OikoTables02"/>
              <w:cnfStyle w:val="100000000000" w:firstRow="1" w:lastRow="0" w:firstColumn="0" w:lastColumn="0" w:oddVBand="0" w:evenVBand="0" w:oddHBand="0" w:evenHBand="0" w:firstRowFirstColumn="0" w:firstRowLastColumn="0" w:lastRowFirstColumn="0" w:lastRowLastColumn="0"/>
              <w:rPr>
                <w:b w:val="0"/>
                <w:lang w:val="en-GB"/>
              </w:rPr>
            </w:pPr>
            <w:r>
              <w:t>Weight</w:t>
            </w:r>
          </w:p>
        </w:tc>
        <w:tc>
          <w:tcPr>
            <w:tcW w:w="1764" w:type="pct"/>
            <w:tcBorders>
              <w:bottom w:val="none" w:sz="0" w:space="0" w:color="auto"/>
            </w:tcBorders>
            <w:shd w:val="clear" w:color="auto" w:fill="E99E6D" w:themeFill="accent3"/>
          </w:tcPr>
          <w:p w14:paraId="74E3FE01" w14:textId="77777777" w:rsidR="003B3F6B" w:rsidRPr="00E35798" w:rsidRDefault="003B3F6B" w:rsidP="00D16E24">
            <w:pPr>
              <w:pStyle w:val="OikoTables02"/>
              <w:cnfStyle w:val="100000000000" w:firstRow="1" w:lastRow="0" w:firstColumn="0" w:lastColumn="0" w:oddVBand="0" w:evenVBand="0" w:oddHBand="0" w:evenHBand="0" w:firstRowFirstColumn="0" w:firstRowLastColumn="0" w:lastRowFirstColumn="0" w:lastRowLastColumn="0"/>
              <w:rPr>
                <w:b w:val="0"/>
                <w:lang w:val="en-GB"/>
              </w:rPr>
            </w:pPr>
            <w:r>
              <w:t>Justification (rationale for weighting)</w:t>
            </w:r>
          </w:p>
        </w:tc>
      </w:tr>
      <w:tr w:rsidR="00E750CD" w:rsidRPr="00E35798" w14:paraId="13CB5670" w14:textId="77777777" w:rsidTr="000F5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7B3E8937" w14:textId="3C75CE50" w:rsidR="00E750CD" w:rsidRPr="00E35798" w:rsidRDefault="00E750CD" w:rsidP="00D16E24">
            <w:pPr>
              <w:pStyle w:val="OikoTables03Content"/>
              <w:spacing w:after="120" w:line="240" w:lineRule="auto"/>
              <w:rPr>
                <w:lang w:val="en-GB"/>
              </w:rPr>
            </w:pPr>
            <w:r>
              <w:t>Water Efficiency</w:t>
            </w:r>
          </w:p>
        </w:tc>
        <w:tc>
          <w:tcPr>
            <w:tcW w:w="1980" w:type="pct"/>
            <w:tcBorders>
              <w:top w:val="none" w:sz="0" w:space="0" w:color="auto"/>
              <w:bottom w:val="none" w:sz="0" w:space="0" w:color="auto"/>
            </w:tcBorders>
          </w:tcPr>
          <w:p w14:paraId="2922F120" w14:textId="0E78AA22"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Application efficiency: useful water reaching the root zone divided by water withdrawn from source.</w:t>
            </w:r>
          </w:p>
        </w:tc>
        <w:tc>
          <w:tcPr>
            <w:tcW w:w="447" w:type="pct"/>
            <w:tcBorders>
              <w:top w:val="none" w:sz="0" w:space="0" w:color="auto"/>
              <w:bottom w:val="none" w:sz="0" w:space="0" w:color="auto"/>
            </w:tcBorders>
          </w:tcPr>
          <w:p w14:paraId="3C893310" w14:textId="46239060"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0.30</w:t>
            </w:r>
          </w:p>
        </w:tc>
        <w:tc>
          <w:tcPr>
            <w:tcW w:w="1764" w:type="pct"/>
            <w:tcBorders>
              <w:top w:val="none" w:sz="0" w:space="0" w:color="auto"/>
              <w:bottom w:val="none" w:sz="0" w:space="0" w:color="auto"/>
            </w:tcBorders>
          </w:tcPr>
          <w:p w14:paraId="7678CFDD" w14:textId="0ABFEDAF"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Highest weight in this category — water is the single most binding resource constraint, more than for greenhouses where structural choice also drives selection.</w:t>
            </w:r>
          </w:p>
        </w:tc>
      </w:tr>
      <w:tr w:rsidR="00E750CD" w:rsidRPr="00E35798" w14:paraId="516248EC" w14:textId="77777777" w:rsidTr="000F5A2A">
        <w:tc>
          <w:tcPr>
            <w:cnfStyle w:val="001000000000" w:firstRow="0" w:lastRow="0" w:firstColumn="1" w:lastColumn="0" w:oddVBand="0" w:evenVBand="0" w:oddHBand="0" w:evenHBand="0" w:firstRowFirstColumn="0" w:firstRowLastColumn="0" w:lastRowFirstColumn="0" w:lastRowLastColumn="0"/>
            <w:tcW w:w="809" w:type="pct"/>
          </w:tcPr>
          <w:p w14:paraId="7ABFB19E" w14:textId="41FA7C9C" w:rsidR="00E750CD" w:rsidRPr="00E35798" w:rsidRDefault="00E750CD" w:rsidP="00D16E24">
            <w:pPr>
              <w:pStyle w:val="OikoTables03Content"/>
              <w:spacing w:after="120" w:line="240" w:lineRule="auto"/>
              <w:rPr>
                <w:lang w:val="en-GB"/>
              </w:rPr>
            </w:pPr>
            <w:r>
              <w:t>Affordability</w:t>
            </w:r>
          </w:p>
        </w:tc>
        <w:tc>
          <w:tcPr>
            <w:tcW w:w="1980" w:type="pct"/>
          </w:tcPr>
          <w:p w14:paraId="270DFDAD" w14:textId="418B47A3" w:rsidR="00E750CD" w:rsidRPr="00681002" w:rsidRDefault="00E750CD"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Capital intensity per ha (or per smallholder plot) including pump, panels, controller, filter, mainline and drip lines, judged against the value-for-money for smallholder context.</w:t>
            </w:r>
          </w:p>
        </w:tc>
        <w:tc>
          <w:tcPr>
            <w:tcW w:w="447" w:type="pct"/>
          </w:tcPr>
          <w:p w14:paraId="5EC99250" w14:textId="1747FF53" w:rsidR="00E750CD" w:rsidRPr="00681002" w:rsidRDefault="00E750CD"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0.20</w:t>
            </w:r>
          </w:p>
        </w:tc>
        <w:tc>
          <w:tcPr>
            <w:tcW w:w="1764" w:type="pct"/>
          </w:tcPr>
          <w:p w14:paraId="75FEF74D" w14:textId="401AD517" w:rsidR="00E750CD" w:rsidRPr="00681002" w:rsidRDefault="00E750CD"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Solar drip is 3–4× the cost of surface irrigation; affordability matters but is not allowed to override water efficiency.</w:t>
            </w:r>
          </w:p>
        </w:tc>
      </w:tr>
      <w:tr w:rsidR="00E750CD" w:rsidRPr="00E35798" w14:paraId="7C52F45A" w14:textId="77777777" w:rsidTr="000F5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42945AA1" w14:textId="606DA733" w:rsidR="00E750CD" w:rsidRPr="00E35798" w:rsidRDefault="00E750CD" w:rsidP="00D16E24">
            <w:pPr>
              <w:pStyle w:val="OikoTables03Content"/>
              <w:spacing w:after="120" w:line="240" w:lineRule="auto"/>
              <w:rPr>
                <w:lang w:val="en-GB"/>
              </w:rPr>
            </w:pPr>
            <w:r>
              <w:t>Technical Simplicity</w:t>
            </w:r>
          </w:p>
        </w:tc>
        <w:tc>
          <w:tcPr>
            <w:tcW w:w="1980" w:type="pct"/>
            <w:tcBorders>
              <w:top w:val="none" w:sz="0" w:space="0" w:color="auto"/>
              <w:bottom w:val="none" w:sz="0" w:space="0" w:color="auto"/>
            </w:tcBorders>
          </w:tcPr>
          <w:p w14:paraId="5065A49C" w14:textId="69B4332E"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Smallholder operability: filter cleaning, line flushing, pump O&amp;M, absence of imported electronics.</w:t>
            </w:r>
          </w:p>
        </w:tc>
        <w:tc>
          <w:tcPr>
            <w:tcW w:w="447" w:type="pct"/>
            <w:tcBorders>
              <w:top w:val="none" w:sz="0" w:space="0" w:color="auto"/>
              <w:bottom w:val="none" w:sz="0" w:space="0" w:color="auto"/>
            </w:tcBorders>
          </w:tcPr>
          <w:p w14:paraId="6668D182" w14:textId="411C5BE1"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0.20</w:t>
            </w:r>
          </w:p>
        </w:tc>
        <w:tc>
          <w:tcPr>
            <w:tcW w:w="1764" w:type="pct"/>
            <w:tcBorders>
              <w:top w:val="none" w:sz="0" w:space="0" w:color="auto"/>
              <w:bottom w:val="none" w:sz="0" w:space="0" w:color="auto"/>
            </w:tcBorders>
          </w:tcPr>
          <w:p w14:paraId="5E3A4416" w14:textId="77FD9D5A"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Equal weight to affordability: a 90 % efficient system that fails in season two adds zero adaptation value. Reflects the rural service gap in target soums.</w:t>
            </w:r>
          </w:p>
        </w:tc>
      </w:tr>
      <w:tr w:rsidR="00E750CD" w:rsidRPr="00E35798" w14:paraId="0F369014" w14:textId="77777777" w:rsidTr="000F5A2A">
        <w:tc>
          <w:tcPr>
            <w:cnfStyle w:val="001000000000" w:firstRow="0" w:lastRow="0" w:firstColumn="1" w:lastColumn="0" w:oddVBand="0" w:evenVBand="0" w:oddHBand="0" w:evenHBand="0" w:firstRowFirstColumn="0" w:firstRowLastColumn="0" w:lastRowFirstColumn="0" w:lastRowLastColumn="0"/>
            <w:tcW w:w="809" w:type="pct"/>
          </w:tcPr>
          <w:p w14:paraId="15752446" w14:textId="578A84FF" w:rsidR="00E750CD" w:rsidRPr="00E35798" w:rsidRDefault="00E750CD" w:rsidP="00D16E24">
            <w:pPr>
              <w:pStyle w:val="OikoTables03Content"/>
              <w:spacing w:after="120" w:line="240" w:lineRule="auto"/>
              <w:rPr>
                <w:lang w:val="en-GB"/>
              </w:rPr>
            </w:pPr>
            <w:r>
              <w:t>Insurability</w:t>
            </w:r>
          </w:p>
        </w:tc>
        <w:tc>
          <w:tcPr>
            <w:tcW w:w="1980" w:type="pct"/>
          </w:tcPr>
          <w:p w14:paraId="49FD4368" w14:textId="781D1BDA" w:rsidR="00E750CD" w:rsidRPr="00681002" w:rsidRDefault="00E750CD"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 xml:space="preserve">Asset traceability and </w:t>
            </w:r>
            <w:proofErr w:type="spellStart"/>
            <w:r w:rsidRPr="00681002">
              <w:t>standardisability</w:t>
            </w:r>
            <w:proofErr w:type="spellEnd"/>
            <w:r w:rsidRPr="00681002">
              <w:t xml:space="preserve"> for the digital insurance prototype: visible, fixed, valuable, with quantifiable application records.</w:t>
            </w:r>
          </w:p>
        </w:tc>
        <w:tc>
          <w:tcPr>
            <w:tcW w:w="447" w:type="pct"/>
          </w:tcPr>
          <w:p w14:paraId="140FCC8B" w14:textId="0FC265A5" w:rsidR="00E750CD" w:rsidRPr="00681002" w:rsidRDefault="00E750CD"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0.15</w:t>
            </w:r>
          </w:p>
        </w:tc>
        <w:tc>
          <w:tcPr>
            <w:tcW w:w="1764" w:type="pct"/>
          </w:tcPr>
          <w:p w14:paraId="3D26A938" w14:textId="2FC230B3" w:rsidR="00E750CD" w:rsidRPr="00681002" w:rsidRDefault="00E750CD"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Higher weight than in the greenhouse MCA because solar irrigation hardware is theft-prone and directly tied to Output 3 prototype use-cases.</w:t>
            </w:r>
          </w:p>
        </w:tc>
      </w:tr>
      <w:tr w:rsidR="00E750CD" w:rsidRPr="00E35798" w14:paraId="4DDFC63E" w14:textId="77777777" w:rsidTr="000F5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Borders>
              <w:top w:val="none" w:sz="0" w:space="0" w:color="auto"/>
              <w:bottom w:val="none" w:sz="0" w:space="0" w:color="auto"/>
            </w:tcBorders>
          </w:tcPr>
          <w:p w14:paraId="3B4214BA" w14:textId="47D320FD" w:rsidR="00E750CD" w:rsidRPr="00E35798" w:rsidRDefault="00E750CD" w:rsidP="00D16E24">
            <w:pPr>
              <w:pStyle w:val="OikoTables03Content"/>
              <w:spacing w:after="120" w:line="240" w:lineRule="auto"/>
              <w:rPr>
                <w:lang w:val="en-GB"/>
              </w:rPr>
            </w:pPr>
            <w:r>
              <w:t>Environmental</w:t>
            </w:r>
          </w:p>
        </w:tc>
        <w:tc>
          <w:tcPr>
            <w:tcW w:w="1980" w:type="pct"/>
            <w:tcBorders>
              <w:top w:val="none" w:sz="0" w:space="0" w:color="auto"/>
              <w:bottom w:val="none" w:sz="0" w:space="0" w:color="auto"/>
            </w:tcBorders>
          </w:tcPr>
          <w:p w14:paraId="7121E5A8" w14:textId="09A55B36"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 xml:space="preserve">Energy-source emissions, soil </w:t>
            </w:r>
            <w:proofErr w:type="spellStart"/>
            <w:r w:rsidRPr="00681002">
              <w:t>salinisation</w:t>
            </w:r>
            <w:proofErr w:type="spellEnd"/>
            <w:r w:rsidRPr="00681002">
              <w:t xml:space="preserve"> risk, return-flow management, biodiversity impact.</w:t>
            </w:r>
          </w:p>
        </w:tc>
        <w:tc>
          <w:tcPr>
            <w:tcW w:w="447" w:type="pct"/>
            <w:tcBorders>
              <w:top w:val="none" w:sz="0" w:space="0" w:color="auto"/>
              <w:bottom w:val="none" w:sz="0" w:space="0" w:color="auto"/>
            </w:tcBorders>
          </w:tcPr>
          <w:p w14:paraId="3C743FD0" w14:textId="27A8DD2B"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0.15</w:t>
            </w:r>
          </w:p>
        </w:tc>
        <w:tc>
          <w:tcPr>
            <w:tcW w:w="1764" w:type="pct"/>
            <w:tcBorders>
              <w:top w:val="none" w:sz="0" w:space="0" w:color="auto"/>
              <w:bottom w:val="none" w:sz="0" w:space="0" w:color="auto"/>
            </w:tcBorders>
          </w:tcPr>
          <w:p w14:paraId="52C0EA0D" w14:textId="14397717" w:rsidR="00E750CD" w:rsidRPr="00681002" w:rsidRDefault="00E750CD" w:rsidP="00681002">
            <w:pPr>
              <w:pStyle w:val="OikoTables03Content"/>
              <w:cnfStyle w:val="000000100000" w:firstRow="0" w:lastRow="0" w:firstColumn="0" w:lastColumn="0" w:oddVBand="0" w:evenVBand="0" w:oddHBand="1" w:evenHBand="0" w:firstRowFirstColumn="0" w:firstRowLastColumn="0" w:lastRowFirstColumn="0" w:lastRowLastColumn="0"/>
            </w:pPr>
            <w:r w:rsidRPr="00681002">
              <w:t xml:space="preserve">Aligns with the </w:t>
            </w:r>
            <w:proofErr w:type="spellStart"/>
            <w:r w:rsidRPr="00681002">
              <w:t>EbA</w:t>
            </w:r>
            <w:proofErr w:type="spellEnd"/>
            <w:r w:rsidRPr="00681002">
              <w:t xml:space="preserve"> principle. Solar drip and subsurface score equally on this criterion, which prevents </w:t>
            </w:r>
            <w:proofErr w:type="gramStart"/>
            <w:r w:rsidRPr="00681002">
              <w:t>environmental</w:t>
            </w:r>
            <w:proofErr w:type="gramEnd"/>
            <w:r w:rsidRPr="00681002">
              <w:t xml:space="preserve"> from dominating the selection.</w:t>
            </w:r>
          </w:p>
        </w:tc>
      </w:tr>
      <w:tr w:rsidR="003B3F6B" w:rsidRPr="00E35798" w14:paraId="5F1CDC6F" w14:textId="77777777" w:rsidTr="000F5A2A">
        <w:tc>
          <w:tcPr>
            <w:cnfStyle w:val="001000000000" w:firstRow="0" w:lastRow="0" w:firstColumn="1" w:lastColumn="0" w:oddVBand="0" w:evenVBand="0" w:oddHBand="0" w:evenHBand="0" w:firstRowFirstColumn="0" w:firstRowLastColumn="0" w:lastRowFirstColumn="0" w:lastRowLastColumn="0"/>
            <w:tcW w:w="809" w:type="pct"/>
            <w:shd w:val="clear" w:color="auto" w:fill="FAEBE1" w:themeFill="accent3" w:themeFillTint="33"/>
          </w:tcPr>
          <w:p w14:paraId="64B39EDA" w14:textId="77777777" w:rsidR="003B3F6B" w:rsidRPr="00E35798" w:rsidRDefault="003B3F6B" w:rsidP="00D16E24">
            <w:pPr>
              <w:pStyle w:val="OikoTables03Content"/>
              <w:spacing w:after="120" w:line="240" w:lineRule="auto"/>
              <w:rPr>
                <w:lang w:val="en-GB"/>
              </w:rPr>
            </w:pPr>
            <w:r>
              <w:t>TOTAL</w:t>
            </w:r>
          </w:p>
        </w:tc>
        <w:tc>
          <w:tcPr>
            <w:tcW w:w="1980" w:type="pct"/>
            <w:shd w:val="clear" w:color="auto" w:fill="FAEBE1" w:themeFill="accent3" w:themeFillTint="33"/>
          </w:tcPr>
          <w:p w14:paraId="59E1F779" w14:textId="77777777" w:rsidR="003B3F6B" w:rsidRPr="00E35798" w:rsidRDefault="003B3F6B"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447" w:type="pct"/>
            <w:shd w:val="clear" w:color="auto" w:fill="FAEBE1" w:themeFill="accent3" w:themeFillTint="33"/>
          </w:tcPr>
          <w:p w14:paraId="4CDFB479" w14:textId="77777777" w:rsidR="003B3F6B" w:rsidRPr="00984583" w:rsidRDefault="003B3F6B"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sidRPr="00984583">
              <w:rPr>
                <w:b/>
                <w:bCs/>
              </w:rPr>
              <w:t>1.00</w:t>
            </w:r>
          </w:p>
        </w:tc>
        <w:tc>
          <w:tcPr>
            <w:tcW w:w="1764" w:type="pct"/>
            <w:shd w:val="clear" w:color="auto" w:fill="FAEBE1" w:themeFill="accent3" w:themeFillTint="33"/>
          </w:tcPr>
          <w:p w14:paraId="3D1B65CA" w14:textId="77777777" w:rsidR="003B3F6B" w:rsidRPr="00E35798" w:rsidRDefault="003B3F6B"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p>
        </w:tc>
      </w:tr>
    </w:tbl>
    <w:p w14:paraId="366B51CC" w14:textId="44A75F03" w:rsidR="00555DAB" w:rsidRDefault="00555DAB" w:rsidP="005F5A3D">
      <w:pPr>
        <w:spacing w:before="120" w:after="120" w:line="240" w:lineRule="auto"/>
        <w:contextualSpacing w:val="0"/>
      </w:pPr>
      <w:r>
        <w:rPr>
          <w:b/>
          <w:bCs/>
        </w:rPr>
        <w:t>Scoring logic</w:t>
      </w:r>
      <w:r>
        <w:t>: The common 1-to-5 scale (1 = very low … 5 = very high) is applied. The principal indicator anchoring the scale in this section is application efficiency (%), supplemented by capital-cost multiples, operability and asset-traceability anchors. Half-point intermediate scores reflect interpolation between two anchors.</w:t>
      </w:r>
    </w:p>
    <w:p w14:paraId="053EE2E7" w14:textId="4C243C13" w:rsidR="0006389F" w:rsidRPr="005F5A3D" w:rsidRDefault="0006389F" w:rsidP="0006389F">
      <w:pPr>
        <w:spacing w:before="120" w:after="120" w:line="240" w:lineRule="auto"/>
        <w:contextualSpacing w:val="0"/>
      </w:pPr>
      <w:r>
        <w:rPr>
          <w:b/>
          <w:bCs/>
        </w:rPr>
        <w:t xml:space="preserve">Result: </w:t>
      </w:r>
      <w:r>
        <w:t>Drip irrigation clearly dominates. The solar-powered drip irrigation system scores highest (4.30/5.00) due to 90–95% water efficiency, strong insurability, and zero fuel costs. The second-best option is gravity-fed drip irrigation with a score of 4.23.</w:t>
      </w:r>
    </w:p>
    <w:p w14:paraId="1378857C" w14:textId="7A842387" w:rsidR="00103FE3" w:rsidRPr="00E35798" w:rsidRDefault="00555DAB" w:rsidP="000F5A2A">
      <w:pPr>
        <w:pStyle w:val="Caption"/>
        <w:framePr w:wrap="notBeside"/>
      </w:pPr>
      <w:r>
        <w:t>Table 3</w:t>
      </w:r>
      <w:r w:rsidR="00AB7D88">
        <w:t>7</w:t>
      </w:r>
      <w:r>
        <w:t>. Irrigation MCA – weighted scores</w:t>
      </w:r>
    </w:p>
    <w:tbl>
      <w:tblPr>
        <w:tblStyle w:val="GridTable1Light-Accent3"/>
        <w:tblW w:w="5000" w:type="pct"/>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266"/>
        <w:gridCol w:w="1361"/>
        <w:gridCol w:w="1361"/>
        <w:gridCol w:w="1475"/>
        <w:gridCol w:w="1475"/>
        <w:gridCol w:w="1700"/>
      </w:tblGrid>
      <w:tr w:rsidR="00103FE3" w:rsidRPr="00E35798" w14:paraId="2085067E" w14:textId="77777777" w:rsidTr="000F5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tcBorders>
              <w:bottom w:val="none" w:sz="0" w:space="0" w:color="auto"/>
            </w:tcBorders>
            <w:shd w:val="clear" w:color="auto" w:fill="E99E6D" w:themeFill="accent3"/>
          </w:tcPr>
          <w:p w14:paraId="11A594CE" w14:textId="77777777" w:rsidR="00103FE3" w:rsidRPr="00E35798" w:rsidRDefault="00103FE3" w:rsidP="00D16E24">
            <w:pPr>
              <w:pStyle w:val="OikoTables03Content"/>
              <w:spacing w:after="120" w:line="240" w:lineRule="auto"/>
              <w:rPr>
                <w:lang w:val="en-GB"/>
              </w:rPr>
            </w:pPr>
            <w:r>
              <w:rPr>
                <w:lang w:val="en-GB"/>
              </w:rPr>
              <w:t>Criterion</w:t>
            </w:r>
          </w:p>
        </w:tc>
        <w:tc>
          <w:tcPr>
            <w:tcW w:w="706" w:type="pct"/>
            <w:tcBorders>
              <w:bottom w:val="none" w:sz="0" w:space="0" w:color="auto"/>
            </w:tcBorders>
            <w:shd w:val="clear" w:color="auto" w:fill="E99E6D" w:themeFill="accent3"/>
          </w:tcPr>
          <w:p w14:paraId="184A6380"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Surface</w:t>
            </w:r>
          </w:p>
        </w:tc>
        <w:tc>
          <w:tcPr>
            <w:tcW w:w="706" w:type="pct"/>
            <w:tcBorders>
              <w:bottom w:val="none" w:sz="0" w:space="0" w:color="auto"/>
            </w:tcBorders>
            <w:shd w:val="clear" w:color="auto" w:fill="E99E6D" w:themeFill="accent3"/>
          </w:tcPr>
          <w:p w14:paraId="78D7F5F8"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Sprinkler</w:t>
            </w:r>
          </w:p>
        </w:tc>
        <w:tc>
          <w:tcPr>
            <w:tcW w:w="765" w:type="pct"/>
            <w:tcBorders>
              <w:bottom w:val="none" w:sz="0" w:space="0" w:color="auto"/>
            </w:tcBorders>
            <w:shd w:val="clear" w:color="auto" w:fill="E99E6D" w:themeFill="accent3"/>
          </w:tcPr>
          <w:p w14:paraId="10042E72" w14:textId="558892D4"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Drip gravity</w:t>
            </w:r>
          </w:p>
        </w:tc>
        <w:tc>
          <w:tcPr>
            <w:tcW w:w="765" w:type="pct"/>
            <w:tcBorders>
              <w:bottom w:val="none" w:sz="0" w:space="0" w:color="auto"/>
            </w:tcBorders>
            <w:shd w:val="clear" w:color="auto" w:fill="E99E6D" w:themeFill="accent3"/>
          </w:tcPr>
          <w:p w14:paraId="0B768EEE" w14:textId="03D8CB5D"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Drip solar</w:t>
            </w:r>
          </w:p>
        </w:tc>
        <w:tc>
          <w:tcPr>
            <w:tcW w:w="882" w:type="pct"/>
            <w:tcBorders>
              <w:bottom w:val="none" w:sz="0" w:space="0" w:color="auto"/>
            </w:tcBorders>
            <w:shd w:val="clear" w:color="auto" w:fill="E99E6D" w:themeFill="accent3"/>
          </w:tcPr>
          <w:p w14:paraId="5E55E6D3"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Subsurface</w:t>
            </w:r>
          </w:p>
        </w:tc>
      </w:tr>
      <w:tr w:rsidR="00103FE3" w:rsidRPr="00E35798" w14:paraId="7EDA97BD" w14:textId="77777777" w:rsidTr="000F5A2A">
        <w:tc>
          <w:tcPr>
            <w:cnfStyle w:val="001000000000" w:firstRow="0" w:lastRow="0" w:firstColumn="1" w:lastColumn="0" w:oddVBand="0" w:evenVBand="0" w:oddHBand="0" w:evenHBand="0" w:firstRowFirstColumn="0" w:firstRowLastColumn="0" w:lastRowFirstColumn="0" w:lastRowLastColumn="0"/>
            <w:tcW w:w="1176" w:type="pct"/>
          </w:tcPr>
          <w:p w14:paraId="2A56E172" w14:textId="77777777" w:rsidR="00103FE3" w:rsidRPr="00681002" w:rsidRDefault="00103FE3" w:rsidP="00681002">
            <w:pPr>
              <w:pStyle w:val="OikoTables03Content"/>
            </w:pPr>
            <w:r w:rsidRPr="00681002">
              <w:t>Water Efficiency (0.30)</w:t>
            </w:r>
          </w:p>
        </w:tc>
        <w:tc>
          <w:tcPr>
            <w:tcW w:w="706" w:type="pct"/>
          </w:tcPr>
          <w:p w14:paraId="6213ABCD"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1.5</w:t>
            </w:r>
          </w:p>
        </w:tc>
        <w:tc>
          <w:tcPr>
            <w:tcW w:w="706" w:type="pct"/>
          </w:tcPr>
          <w:p w14:paraId="27B2CC10"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3.0</w:t>
            </w:r>
          </w:p>
        </w:tc>
        <w:tc>
          <w:tcPr>
            <w:tcW w:w="765" w:type="pct"/>
          </w:tcPr>
          <w:p w14:paraId="114B4D91"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4.5</w:t>
            </w:r>
          </w:p>
        </w:tc>
        <w:tc>
          <w:tcPr>
            <w:tcW w:w="765" w:type="pct"/>
          </w:tcPr>
          <w:p w14:paraId="10EB7FA8"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c>
          <w:tcPr>
            <w:tcW w:w="882" w:type="pct"/>
          </w:tcPr>
          <w:p w14:paraId="358D0A8D"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r>
      <w:tr w:rsidR="00103FE3" w:rsidRPr="00E35798" w14:paraId="47644D16" w14:textId="77777777" w:rsidTr="000F5A2A">
        <w:tc>
          <w:tcPr>
            <w:cnfStyle w:val="001000000000" w:firstRow="0" w:lastRow="0" w:firstColumn="1" w:lastColumn="0" w:oddVBand="0" w:evenVBand="0" w:oddHBand="0" w:evenHBand="0" w:firstRowFirstColumn="0" w:firstRowLastColumn="0" w:lastRowFirstColumn="0" w:lastRowLastColumn="0"/>
            <w:tcW w:w="1176" w:type="pct"/>
          </w:tcPr>
          <w:p w14:paraId="22FC29AB" w14:textId="77777777" w:rsidR="00103FE3" w:rsidRPr="00681002" w:rsidRDefault="00103FE3" w:rsidP="00681002">
            <w:pPr>
              <w:pStyle w:val="OikoTables03Content"/>
            </w:pPr>
            <w:r w:rsidRPr="00681002">
              <w:t>Affordability (0.20)</w:t>
            </w:r>
          </w:p>
        </w:tc>
        <w:tc>
          <w:tcPr>
            <w:tcW w:w="706" w:type="pct"/>
          </w:tcPr>
          <w:p w14:paraId="3ED75046"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c>
          <w:tcPr>
            <w:tcW w:w="706" w:type="pct"/>
          </w:tcPr>
          <w:p w14:paraId="652F6E63"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3.5</w:t>
            </w:r>
          </w:p>
        </w:tc>
        <w:tc>
          <w:tcPr>
            <w:tcW w:w="765" w:type="pct"/>
          </w:tcPr>
          <w:p w14:paraId="67AAA773"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4.0</w:t>
            </w:r>
          </w:p>
        </w:tc>
        <w:tc>
          <w:tcPr>
            <w:tcW w:w="765" w:type="pct"/>
          </w:tcPr>
          <w:p w14:paraId="18E6DEAA"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3.0</w:t>
            </w:r>
          </w:p>
        </w:tc>
        <w:tc>
          <w:tcPr>
            <w:tcW w:w="882" w:type="pct"/>
          </w:tcPr>
          <w:p w14:paraId="6BF8EB35"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2.0</w:t>
            </w:r>
          </w:p>
        </w:tc>
      </w:tr>
      <w:tr w:rsidR="00103FE3" w:rsidRPr="00E35798" w14:paraId="7328AB82" w14:textId="77777777" w:rsidTr="000F5A2A">
        <w:tc>
          <w:tcPr>
            <w:cnfStyle w:val="001000000000" w:firstRow="0" w:lastRow="0" w:firstColumn="1" w:lastColumn="0" w:oddVBand="0" w:evenVBand="0" w:oddHBand="0" w:evenHBand="0" w:firstRowFirstColumn="0" w:firstRowLastColumn="0" w:lastRowFirstColumn="0" w:lastRowLastColumn="0"/>
            <w:tcW w:w="1176" w:type="pct"/>
          </w:tcPr>
          <w:p w14:paraId="6DEE1025" w14:textId="77777777" w:rsidR="00103FE3" w:rsidRPr="00681002" w:rsidRDefault="00103FE3" w:rsidP="00681002">
            <w:pPr>
              <w:pStyle w:val="OikoTables03Content"/>
            </w:pPr>
            <w:r w:rsidRPr="00681002">
              <w:t>Technical Simplicity (0.20)</w:t>
            </w:r>
          </w:p>
        </w:tc>
        <w:tc>
          <w:tcPr>
            <w:tcW w:w="706" w:type="pct"/>
          </w:tcPr>
          <w:p w14:paraId="60EE3C66"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c>
          <w:tcPr>
            <w:tcW w:w="706" w:type="pct"/>
          </w:tcPr>
          <w:p w14:paraId="2E8FF0B2"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3.5</w:t>
            </w:r>
          </w:p>
        </w:tc>
        <w:tc>
          <w:tcPr>
            <w:tcW w:w="765" w:type="pct"/>
          </w:tcPr>
          <w:p w14:paraId="631195C2"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4.0</w:t>
            </w:r>
          </w:p>
        </w:tc>
        <w:tc>
          <w:tcPr>
            <w:tcW w:w="765" w:type="pct"/>
          </w:tcPr>
          <w:p w14:paraId="34AB1D0D"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3.5</w:t>
            </w:r>
          </w:p>
        </w:tc>
        <w:tc>
          <w:tcPr>
            <w:tcW w:w="882" w:type="pct"/>
          </w:tcPr>
          <w:p w14:paraId="238652F1"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2.5</w:t>
            </w:r>
          </w:p>
        </w:tc>
      </w:tr>
      <w:tr w:rsidR="00103FE3" w:rsidRPr="00E35798" w14:paraId="0F82063F" w14:textId="77777777" w:rsidTr="000F5A2A">
        <w:tc>
          <w:tcPr>
            <w:cnfStyle w:val="001000000000" w:firstRow="0" w:lastRow="0" w:firstColumn="1" w:lastColumn="0" w:oddVBand="0" w:evenVBand="0" w:oddHBand="0" w:evenHBand="0" w:firstRowFirstColumn="0" w:firstRowLastColumn="0" w:lastRowFirstColumn="0" w:lastRowLastColumn="0"/>
            <w:tcW w:w="1176" w:type="pct"/>
          </w:tcPr>
          <w:p w14:paraId="7A4890C3" w14:textId="77777777" w:rsidR="00103FE3" w:rsidRPr="00681002" w:rsidRDefault="00103FE3" w:rsidP="00681002">
            <w:pPr>
              <w:pStyle w:val="OikoTables03Content"/>
            </w:pPr>
            <w:r w:rsidRPr="00681002">
              <w:t>Insurability (0.15)</w:t>
            </w:r>
          </w:p>
        </w:tc>
        <w:tc>
          <w:tcPr>
            <w:tcW w:w="706" w:type="pct"/>
          </w:tcPr>
          <w:p w14:paraId="4CE67077"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1.0</w:t>
            </w:r>
          </w:p>
        </w:tc>
        <w:tc>
          <w:tcPr>
            <w:tcW w:w="706" w:type="pct"/>
          </w:tcPr>
          <w:p w14:paraId="3F756729"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3.0</w:t>
            </w:r>
          </w:p>
        </w:tc>
        <w:tc>
          <w:tcPr>
            <w:tcW w:w="765" w:type="pct"/>
          </w:tcPr>
          <w:p w14:paraId="1603793F"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4.0</w:t>
            </w:r>
          </w:p>
        </w:tc>
        <w:tc>
          <w:tcPr>
            <w:tcW w:w="765" w:type="pct"/>
          </w:tcPr>
          <w:p w14:paraId="1E4F2833"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c>
          <w:tcPr>
            <w:tcW w:w="882" w:type="pct"/>
          </w:tcPr>
          <w:p w14:paraId="5DC5FCD9"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4.0</w:t>
            </w:r>
          </w:p>
        </w:tc>
      </w:tr>
      <w:tr w:rsidR="00103FE3" w:rsidRPr="00E35798" w14:paraId="7F8C1537" w14:textId="77777777" w:rsidTr="000F5A2A">
        <w:tc>
          <w:tcPr>
            <w:cnfStyle w:val="001000000000" w:firstRow="0" w:lastRow="0" w:firstColumn="1" w:lastColumn="0" w:oddVBand="0" w:evenVBand="0" w:oddHBand="0" w:evenHBand="0" w:firstRowFirstColumn="0" w:firstRowLastColumn="0" w:lastRowFirstColumn="0" w:lastRowLastColumn="0"/>
            <w:tcW w:w="1176" w:type="pct"/>
          </w:tcPr>
          <w:p w14:paraId="0A366A91" w14:textId="77777777" w:rsidR="00103FE3" w:rsidRPr="00681002" w:rsidRDefault="00103FE3" w:rsidP="00681002">
            <w:pPr>
              <w:pStyle w:val="OikoTables03Content"/>
            </w:pPr>
            <w:r w:rsidRPr="00681002">
              <w:t>Environmental (0.15)</w:t>
            </w:r>
          </w:p>
        </w:tc>
        <w:tc>
          <w:tcPr>
            <w:tcW w:w="706" w:type="pct"/>
          </w:tcPr>
          <w:p w14:paraId="64A301AF"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1.5</w:t>
            </w:r>
          </w:p>
        </w:tc>
        <w:tc>
          <w:tcPr>
            <w:tcW w:w="706" w:type="pct"/>
          </w:tcPr>
          <w:p w14:paraId="5C847B93"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3.0</w:t>
            </w:r>
          </w:p>
        </w:tc>
        <w:tc>
          <w:tcPr>
            <w:tcW w:w="765" w:type="pct"/>
          </w:tcPr>
          <w:p w14:paraId="6185B0E9"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4.5</w:t>
            </w:r>
          </w:p>
        </w:tc>
        <w:tc>
          <w:tcPr>
            <w:tcW w:w="765" w:type="pct"/>
          </w:tcPr>
          <w:p w14:paraId="60E0B3CF"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c>
          <w:tcPr>
            <w:tcW w:w="882" w:type="pct"/>
          </w:tcPr>
          <w:p w14:paraId="275EEBE2" w14:textId="77777777" w:rsidR="00103FE3" w:rsidRPr="00681002" w:rsidRDefault="00103FE3" w:rsidP="00681002">
            <w:pPr>
              <w:pStyle w:val="OikoTables03Content"/>
              <w:cnfStyle w:val="000000000000" w:firstRow="0" w:lastRow="0" w:firstColumn="0" w:lastColumn="0" w:oddVBand="0" w:evenVBand="0" w:oddHBand="0" w:evenHBand="0" w:firstRowFirstColumn="0" w:firstRowLastColumn="0" w:lastRowFirstColumn="0" w:lastRowLastColumn="0"/>
            </w:pPr>
            <w:r w:rsidRPr="00681002">
              <w:t>5.0</w:t>
            </w:r>
          </w:p>
        </w:tc>
      </w:tr>
      <w:tr w:rsidR="00103FE3" w:rsidRPr="00E35798" w14:paraId="270027DA" w14:textId="77777777" w:rsidTr="000F5A2A">
        <w:tc>
          <w:tcPr>
            <w:cnfStyle w:val="001000000000" w:firstRow="0" w:lastRow="0" w:firstColumn="1" w:lastColumn="0" w:oddVBand="0" w:evenVBand="0" w:oddHBand="0" w:evenHBand="0" w:firstRowFirstColumn="0" w:firstRowLastColumn="0" w:lastRowFirstColumn="0" w:lastRowLastColumn="0"/>
            <w:tcW w:w="1176" w:type="pct"/>
            <w:shd w:val="clear" w:color="auto" w:fill="F1C4A7" w:themeFill="accent3" w:themeFillTint="99"/>
          </w:tcPr>
          <w:p w14:paraId="3C16D033" w14:textId="77777777" w:rsidR="00103FE3" w:rsidRPr="00E35798" w:rsidRDefault="00103FE3" w:rsidP="00D16E24">
            <w:pPr>
              <w:pStyle w:val="OikoTables03Content"/>
              <w:spacing w:after="120" w:line="240" w:lineRule="auto"/>
              <w:rPr>
                <w:lang w:val="en-GB"/>
              </w:rPr>
            </w:pPr>
            <w:r>
              <w:rPr>
                <w:lang w:val="en-GB"/>
              </w:rPr>
              <w:t>WEIGHTED SCORE</w:t>
            </w:r>
          </w:p>
        </w:tc>
        <w:tc>
          <w:tcPr>
            <w:tcW w:w="706" w:type="pct"/>
            <w:shd w:val="clear" w:color="auto" w:fill="F1C4A7" w:themeFill="accent3" w:themeFillTint="99"/>
          </w:tcPr>
          <w:p w14:paraId="523DF9AF" w14:textId="59C3EF9F"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2.83</w:t>
            </w:r>
          </w:p>
        </w:tc>
        <w:tc>
          <w:tcPr>
            <w:tcW w:w="706" w:type="pct"/>
            <w:shd w:val="clear" w:color="auto" w:fill="F1C4A7" w:themeFill="accent3" w:themeFillTint="99"/>
          </w:tcPr>
          <w:p w14:paraId="2EA0A184"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3.20</w:t>
            </w:r>
          </w:p>
        </w:tc>
        <w:tc>
          <w:tcPr>
            <w:tcW w:w="765" w:type="pct"/>
            <w:shd w:val="clear" w:color="auto" w:fill="F1C4A7" w:themeFill="accent3" w:themeFillTint="99"/>
          </w:tcPr>
          <w:p w14:paraId="636110DB" w14:textId="5C5A4685"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Pr>
                <w:b/>
                <w:bCs/>
                <w:lang w:val="en-GB"/>
              </w:rPr>
              <w:t>4.23</w:t>
            </w:r>
          </w:p>
        </w:tc>
        <w:tc>
          <w:tcPr>
            <w:tcW w:w="765" w:type="pct"/>
            <w:shd w:val="clear" w:color="auto" w:fill="F1C4A7" w:themeFill="accent3" w:themeFillTint="99"/>
          </w:tcPr>
          <w:p w14:paraId="1DD07B7A" w14:textId="3CE15ED8"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Pr>
                <w:b/>
                <w:bCs/>
                <w:lang w:val="en-GB"/>
              </w:rPr>
              <w:t>4.30</w:t>
            </w:r>
          </w:p>
        </w:tc>
        <w:tc>
          <w:tcPr>
            <w:tcW w:w="882" w:type="pct"/>
            <w:shd w:val="clear" w:color="auto" w:fill="F1C4A7" w:themeFill="accent3" w:themeFillTint="99"/>
          </w:tcPr>
          <w:p w14:paraId="621DA998" w14:textId="78294CC3" w:rsidR="00103FE3" w:rsidRPr="00E35798" w:rsidRDefault="00FF1CE4"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3.75</w:t>
            </w:r>
          </w:p>
        </w:tc>
      </w:tr>
    </w:tbl>
    <w:p w14:paraId="42CEE6C8" w14:textId="40FFE68F" w:rsidR="00577E8A" w:rsidRPr="00E35798" w:rsidRDefault="00577E8A" w:rsidP="005F5A3D">
      <w:pPr>
        <w:pStyle w:val="Heading3"/>
        <w:spacing w:before="240" w:line="240" w:lineRule="auto"/>
        <w:contextualSpacing w:val="0"/>
      </w:pPr>
      <w:bookmarkStart w:id="139" w:name="_Toc233981344"/>
      <w:r>
        <w:t>Province-specific ranking and recommended specifications</w:t>
      </w:r>
      <w:bookmarkEnd w:id="139"/>
    </w:p>
    <w:p w14:paraId="1FB75D58" w14:textId="4DBFEC01" w:rsidR="00103FE3" w:rsidRDefault="00103FE3" w:rsidP="00EB489E">
      <w:r>
        <w:t>Irrigation infrastructure requirements differ fundamentally between the two provinces due to groundwater depth. Uvurkhangai depends on shallow wells (5–25 m) with relatively secure recharge; Dundgovi depends on deep boreholes (50–150 m) in a semi-desert Gobi context where water is scarce and over-abstraction is a documented risk. The correct irrigation choice is therefore not only a question of efficiency but also of groundwater stewardship.</w:t>
      </w:r>
    </w:p>
    <w:p w14:paraId="4D42D7CF" w14:textId="0959F5A2" w:rsidR="00395E1F" w:rsidRDefault="00395E1F">
      <w:pPr>
        <w:spacing w:after="160" w:line="259" w:lineRule="auto"/>
        <w:contextualSpacing w:val="0"/>
        <w:jc w:val="left"/>
      </w:pPr>
      <w:r>
        <w:br w:type="page"/>
      </w:r>
    </w:p>
    <w:p w14:paraId="5B31013F" w14:textId="77777777" w:rsidR="00AB7D88" w:rsidRPr="005F5A3D" w:rsidRDefault="00AB7D88" w:rsidP="00EB489E"/>
    <w:p w14:paraId="762E73B1" w14:textId="0729510A" w:rsidR="00103FE3" w:rsidRPr="00E35798" w:rsidRDefault="00AB7D88" w:rsidP="00AB7D88">
      <w:pPr>
        <w:pStyle w:val="Caption"/>
        <w:framePr w:wrap="notBeside"/>
      </w:pPr>
      <w:r>
        <w:t xml:space="preserve">Table 38. </w:t>
      </w:r>
      <w:r w:rsidR="000B0B96">
        <w:t>Uvurkhangai (shallow wells 5–25 m)</w:t>
      </w:r>
    </w:p>
    <w:tbl>
      <w:tblPr>
        <w:tblStyle w:val="ListTable4-Accent3"/>
        <w:tblW w:w="5000" w:type="pct"/>
        <w:tblLook w:val="04A0" w:firstRow="1" w:lastRow="0" w:firstColumn="1" w:lastColumn="0" w:noHBand="0" w:noVBand="1"/>
      </w:tblPr>
      <w:tblGrid>
        <w:gridCol w:w="2830"/>
        <w:gridCol w:w="1376"/>
        <w:gridCol w:w="996"/>
        <w:gridCol w:w="2213"/>
        <w:gridCol w:w="2213"/>
      </w:tblGrid>
      <w:tr w:rsidR="00103FE3" w:rsidRPr="00E35798" w14:paraId="709F32CF" w14:textId="77777777" w:rsidTr="00FF1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6F19555E" w14:textId="77777777" w:rsidR="00103FE3" w:rsidRPr="00E35798" w:rsidRDefault="00103FE3" w:rsidP="00D16E24">
            <w:pPr>
              <w:pStyle w:val="OikoTables03Content"/>
              <w:spacing w:after="120" w:line="240" w:lineRule="auto"/>
              <w:rPr>
                <w:color w:val="auto"/>
                <w:lang w:val="en-GB"/>
              </w:rPr>
            </w:pPr>
            <w:r>
              <w:rPr>
                <w:color w:val="auto"/>
                <w:lang w:val="en-GB"/>
              </w:rPr>
              <w:t>Configuration</w:t>
            </w:r>
          </w:p>
        </w:tc>
        <w:tc>
          <w:tcPr>
            <w:tcW w:w="715" w:type="pct"/>
          </w:tcPr>
          <w:p w14:paraId="39ECF1F5" w14:textId="1709E829" w:rsidR="00103FE3" w:rsidRPr="00E35798" w:rsidRDefault="0031682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MCA Score</w:t>
            </w:r>
          </w:p>
        </w:tc>
        <w:tc>
          <w:tcPr>
            <w:tcW w:w="517" w:type="pct"/>
          </w:tcPr>
          <w:p w14:paraId="520B12C1"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Rank</w:t>
            </w:r>
          </w:p>
        </w:tc>
        <w:tc>
          <w:tcPr>
            <w:tcW w:w="1149" w:type="pct"/>
          </w:tcPr>
          <w:p w14:paraId="0DDB4C49"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Capital Cost</w:t>
            </w:r>
          </w:p>
        </w:tc>
        <w:tc>
          <w:tcPr>
            <w:tcW w:w="1149" w:type="pct"/>
          </w:tcPr>
          <w:p w14:paraId="310A3BA7"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Recommendation</w:t>
            </w:r>
          </w:p>
        </w:tc>
      </w:tr>
      <w:tr w:rsidR="00103FE3" w:rsidRPr="00E35798" w14:paraId="651AC827" w14:textId="77777777" w:rsidTr="00FF1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0" w:type="pct"/>
          </w:tcPr>
          <w:p w14:paraId="266D116F" w14:textId="28158EE1" w:rsidR="00103FE3" w:rsidRPr="005F5A3D" w:rsidRDefault="00103FE3" w:rsidP="00D16E24">
            <w:pPr>
              <w:pStyle w:val="OikoTables03Content"/>
              <w:spacing w:after="120" w:line="240" w:lineRule="auto"/>
              <w:rPr>
                <w:b w:val="0"/>
                <w:bCs w:val="0"/>
                <w:lang w:val="en-GB"/>
              </w:rPr>
            </w:pPr>
            <w:r>
              <w:rPr>
                <w:b w:val="0"/>
                <w:bCs w:val="0"/>
                <w:lang w:val="en-GB"/>
              </w:rPr>
              <w:t>Direct solar (no battery)</w:t>
            </w:r>
          </w:p>
        </w:tc>
        <w:tc>
          <w:tcPr>
            <w:tcW w:w="715" w:type="pct"/>
          </w:tcPr>
          <w:p w14:paraId="414287E5" w14:textId="77777777" w:rsidR="00103FE3" w:rsidRPr="00E35798" w:rsidRDefault="00103FE3"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4.55</w:t>
            </w:r>
          </w:p>
        </w:tc>
        <w:tc>
          <w:tcPr>
            <w:tcW w:w="517" w:type="pct"/>
          </w:tcPr>
          <w:p w14:paraId="30643B5A" w14:textId="77777777" w:rsidR="00103FE3" w:rsidRPr="00E35798" w:rsidRDefault="00103FE3"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1st</w:t>
            </w:r>
          </w:p>
        </w:tc>
        <w:tc>
          <w:tcPr>
            <w:tcW w:w="1149" w:type="pct"/>
          </w:tcPr>
          <w:p w14:paraId="1045B966" w14:textId="77777777" w:rsidR="00103FE3" w:rsidRPr="00E35798" w:rsidRDefault="00103FE3"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1,500–3,000</w:t>
            </w:r>
          </w:p>
        </w:tc>
        <w:tc>
          <w:tcPr>
            <w:tcW w:w="1149" w:type="pct"/>
          </w:tcPr>
          <w:p w14:paraId="5DE63F64" w14:textId="496822FB" w:rsidR="00103FE3" w:rsidRPr="00E35798" w:rsidRDefault="005F5A3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Primary — sufficient</w:t>
            </w:r>
          </w:p>
        </w:tc>
      </w:tr>
      <w:tr w:rsidR="00103FE3" w:rsidRPr="00E35798" w14:paraId="616F2C56" w14:textId="77777777" w:rsidTr="00FF1CE4">
        <w:tc>
          <w:tcPr>
            <w:cnfStyle w:val="001000000000" w:firstRow="0" w:lastRow="0" w:firstColumn="1" w:lastColumn="0" w:oddVBand="0" w:evenVBand="0" w:oddHBand="0" w:evenHBand="0" w:firstRowFirstColumn="0" w:firstRowLastColumn="0" w:lastRowFirstColumn="0" w:lastRowLastColumn="0"/>
            <w:tcW w:w="1470" w:type="pct"/>
          </w:tcPr>
          <w:p w14:paraId="4F7D5E6D" w14:textId="4D5BA990" w:rsidR="00103FE3" w:rsidRPr="005F5A3D" w:rsidRDefault="00103FE3" w:rsidP="00D16E24">
            <w:pPr>
              <w:pStyle w:val="OikoTables03Content"/>
              <w:spacing w:after="120" w:line="240" w:lineRule="auto"/>
              <w:rPr>
                <w:b w:val="0"/>
                <w:bCs w:val="0"/>
                <w:lang w:val="en-GB"/>
              </w:rPr>
            </w:pPr>
            <w:r>
              <w:rPr>
                <w:b w:val="0"/>
                <w:bCs w:val="0"/>
                <w:lang w:val="en-GB"/>
              </w:rPr>
              <w:t>Solar + small buffer (2–5 kWh)</w:t>
            </w:r>
          </w:p>
        </w:tc>
        <w:tc>
          <w:tcPr>
            <w:tcW w:w="715" w:type="pct"/>
          </w:tcPr>
          <w:p w14:paraId="179C68C5"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4.10</w:t>
            </w:r>
          </w:p>
        </w:tc>
        <w:tc>
          <w:tcPr>
            <w:tcW w:w="517" w:type="pct"/>
          </w:tcPr>
          <w:p w14:paraId="666C19FE"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2nd</w:t>
            </w:r>
          </w:p>
        </w:tc>
        <w:tc>
          <w:tcPr>
            <w:tcW w:w="1149" w:type="pct"/>
          </w:tcPr>
          <w:p w14:paraId="5C2E099A"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USD 3,000–5,500</w:t>
            </w:r>
          </w:p>
        </w:tc>
        <w:tc>
          <w:tcPr>
            <w:tcW w:w="1149" w:type="pct"/>
          </w:tcPr>
          <w:p w14:paraId="6D333B19"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Optional upgrade</w:t>
            </w:r>
          </w:p>
        </w:tc>
      </w:tr>
    </w:tbl>
    <w:p w14:paraId="0104BBA2" w14:textId="77777777" w:rsidR="00103FE3" w:rsidRPr="00E35798" w:rsidRDefault="00103FE3" w:rsidP="00EB489E"/>
    <w:p w14:paraId="2D9EE7E8" w14:textId="7FB0B9A9" w:rsidR="00103FE3" w:rsidRPr="00E35798" w:rsidRDefault="00681002" w:rsidP="00681002">
      <w:pPr>
        <w:pStyle w:val="Caption"/>
        <w:framePr w:wrap="notBeside"/>
      </w:pPr>
      <w:r>
        <w:t xml:space="preserve">Table 39. </w:t>
      </w:r>
      <w:r w:rsidR="00103FE3">
        <w:t>Dundgovi (deep boreholes 50–150 m)</w:t>
      </w:r>
    </w:p>
    <w:tbl>
      <w:tblPr>
        <w:tblStyle w:val="ListTable4-Accent3"/>
        <w:tblW w:w="5000" w:type="pct"/>
        <w:tblLook w:val="04A0" w:firstRow="1" w:lastRow="0" w:firstColumn="1" w:lastColumn="0" w:noHBand="0" w:noVBand="1"/>
      </w:tblPr>
      <w:tblGrid>
        <w:gridCol w:w="2832"/>
        <w:gridCol w:w="1415"/>
        <w:gridCol w:w="992"/>
        <w:gridCol w:w="2261"/>
        <w:gridCol w:w="2128"/>
      </w:tblGrid>
      <w:tr w:rsidR="00103FE3" w:rsidRPr="00E35798" w14:paraId="7BD0C98D" w14:textId="77777777" w:rsidTr="00FF1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pct"/>
          </w:tcPr>
          <w:p w14:paraId="44336FA5" w14:textId="77777777" w:rsidR="00103FE3" w:rsidRPr="00E35798" w:rsidRDefault="00103FE3" w:rsidP="00D16E24">
            <w:pPr>
              <w:pStyle w:val="OikoTables03Content"/>
              <w:spacing w:after="120" w:line="240" w:lineRule="auto"/>
              <w:rPr>
                <w:color w:val="auto"/>
                <w:lang w:val="en-GB"/>
              </w:rPr>
            </w:pPr>
            <w:r>
              <w:rPr>
                <w:color w:val="auto"/>
                <w:lang w:val="en-GB"/>
              </w:rPr>
              <w:t>Configuration</w:t>
            </w:r>
          </w:p>
        </w:tc>
        <w:tc>
          <w:tcPr>
            <w:tcW w:w="735" w:type="pct"/>
          </w:tcPr>
          <w:p w14:paraId="044EF369" w14:textId="3C3AEC60" w:rsidR="00103FE3" w:rsidRPr="00E35798" w:rsidRDefault="0031682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MCA Score</w:t>
            </w:r>
          </w:p>
        </w:tc>
        <w:tc>
          <w:tcPr>
            <w:tcW w:w="515" w:type="pct"/>
          </w:tcPr>
          <w:p w14:paraId="63DCB27F"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Rank</w:t>
            </w:r>
          </w:p>
        </w:tc>
        <w:tc>
          <w:tcPr>
            <w:tcW w:w="1174" w:type="pct"/>
          </w:tcPr>
          <w:p w14:paraId="24B8AA8C"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Capital Cost</w:t>
            </w:r>
          </w:p>
        </w:tc>
        <w:tc>
          <w:tcPr>
            <w:tcW w:w="1105" w:type="pct"/>
          </w:tcPr>
          <w:p w14:paraId="5B7392BA" w14:textId="77777777" w:rsidR="00103FE3" w:rsidRPr="00E35798" w:rsidRDefault="00103FE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color w:val="auto"/>
                <w:lang w:val="en-GB"/>
              </w:rPr>
            </w:pPr>
            <w:r>
              <w:rPr>
                <w:color w:val="auto"/>
                <w:lang w:val="en-GB"/>
              </w:rPr>
              <w:t>Recommendation</w:t>
            </w:r>
          </w:p>
        </w:tc>
      </w:tr>
      <w:tr w:rsidR="00103FE3" w:rsidRPr="00E35798" w14:paraId="002DFA2B" w14:textId="77777777" w:rsidTr="00FF1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pct"/>
          </w:tcPr>
          <w:p w14:paraId="13D11A37" w14:textId="1BD3639F" w:rsidR="00103FE3" w:rsidRPr="005F5A3D" w:rsidRDefault="00103FE3" w:rsidP="00D16E24">
            <w:pPr>
              <w:pStyle w:val="OikoTables03Content"/>
              <w:spacing w:after="120" w:line="240" w:lineRule="auto"/>
              <w:rPr>
                <w:b w:val="0"/>
                <w:bCs w:val="0"/>
                <w:lang w:val="en-GB"/>
              </w:rPr>
            </w:pPr>
            <w:r>
              <w:rPr>
                <w:b w:val="0"/>
                <w:bCs w:val="0"/>
                <w:lang w:val="en-GB"/>
              </w:rPr>
              <w:t>Solar + full battery (10–15 kWh)</w:t>
            </w:r>
          </w:p>
        </w:tc>
        <w:tc>
          <w:tcPr>
            <w:tcW w:w="735" w:type="pct"/>
          </w:tcPr>
          <w:p w14:paraId="57E76A59" w14:textId="77777777" w:rsidR="00103FE3" w:rsidRPr="00E35798" w:rsidRDefault="00103FE3"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4.40</w:t>
            </w:r>
          </w:p>
        </w:tc>
        <w:tc>
          <w:tcPr>
            <w:tcW w:w="515" w:type="pct"/>
          </w:tcPr>
          <w:p w14:paraId="63E7C547" w14:textId="77777777" w:rsidR="00103FE3" w:rsidRPr="00E35798" w:rsidRDefault="00103FE3"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1st</w:t>
            </w:r>
          </w:p>
        </w:tc>
        <w:tc>
          <w:tcPr>
            <w:tcW w:w="1174" w:type="pct"/>
          </w:tcPr>
          <w:p w14:paraId="4D8812AD" w14:textId="77777777" w:rsidR="00103FE3" w:rsidRPr="00E35798" w:rsidRDefault="00103FE3"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USD 5,500–12,000</w:t>
            </w:r>
          </w:p>
        </w:tc>
        <w:tc>
          <w:tcPr>
            <w:tcW w:w="1105" w:type="pct"/>
          </w:tcPr>
          <w:p w14:paraId="78416789" w14:textId="6F730D0B" w:rsidR="00103FE3" w:rsidRPr="00E35798" w:rsidRDefault="005F5A3D"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Primary — essential</w:t>
            </w:r>
          </w:p>
        </w:tc>
      </w:tr>
      <w:tr w:rsidR="00103FE3" w:rsidRPr="00E35798" w14:paraId="16818B4E" w14:textId="77777777" w:rsidTr="00FF1CE4">
        <w:tc>
          <w:tcPr>
            <w:cnfStyle w:val="001000000000" w:firstRow="0" w:lastRow="0" w:firstColumn="1" w:lastColumn="0" w:oddVBand="0" w:evenVBand="0" w:oddHBand="0" w:evenHBand="0" w:firstRowFirstColumn="0" w:firstRowLastColumn="0" w:lastRowFirstColumn="0" w:lastRowLastColumn="0"/>
            <w:tcW w:w="1471" w:type="pct"/>
          </w:tcPr>
          <w:p w14:paraId="7EE2FFC9" w14:textId="13A9ECB6" w:rsidR="00103FE3" w:rsidRPr="005F5A3D" w:rsidRDefault="00103FE3" w:rsidP="00D16E24">
            <w:pPr>
              <w:pStyle w:val="OikoTables03Content"/>
              <w:spacing w:after="120" w:line="240" w:lineRule="auto"/>
              <w:rPr>
                <w:b w:val="0"/>
                <w:bCs w:val="0"/>
                <w:lang w:val="en-GB"/>
              </w:rPr>
            </w:pPr>
            <w:r>
              <w:rPr>
                <w:b w:val="0"/>
                <w:bCs w:val="0"/>
                <w:lang w:val="en-GB"/>
              </w:rPr>
              <w:t>Solar-diesel hybrid</w:t>
            </w:r>
          </w:p>
        </w:tc>
        <w:tc>
          <w:tcPr>
            <w:tcW w:w="735" w:type="pct"/>
          </w:tcPr>
          <w:p w14:paraId="657BBCC0"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4.15</w:t>
            </w:r>
          </w:p>
        </w:tc>
        <w:tc>
          <w:tcPr>
            <w:tcW w:w="515" w:type="pct"/>
          </w:tcPr>
          <w:p w14:paraId="57050E34"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2nd</w:t>
            </w:r>
          </w:p>
        </w:tc>
        <w:tc>
          <w:tcPr>
            <w:tcW w:w="1174" w:type="pct"/>
          </w:tcPr>
          <w:p w14:paraId="77FED5C7"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USD 6,000–10,000</w:t>
            </w:r>
          </w:p>
        </w:tc>
        <w:tc>
          <w:tcPr>
            <w:tcW w:w="1105" w:type="pct"/>
          </w:tcPr>
          <w:p w14:paraId="065C1AEC" w14:textId="77777777" w:rsidR="00103FE3" w:rsidRPr="00E35798" w:rsidRDefault="00103FE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Backup option</w:t>
            </w:r>
          </w:p>
        </w:tc>
      </w:tr>
    </w:tbl>
    <w:p w14:paraId="18621C77" w14:textId="21B4DA4B" w:rsidR="00103FE3" w:rsidRDefault="00103FE3" w:rsidP="005F5A3D">
      <w:pPr>
        <w:spacing w:before="120" w:after="120" w:line="240" w:lineRule="auto"/>
        <w:contextualSpacing w:val="0"/>
      </w:pPr>
      <w:r>
        <w:rPr>
          <w:b/>
          <w:bCs/>
        </w:rPr>
        <w:t>Key technical note</w:t>
      </w:r>
      <w:r>
        <w:t xml:space="preserve">. Solar pump sizing must account for realistic effective solar hours (7–8 hours/day), not total daylight. </w:t>
      </w:r>
      <w:proofErr w:type="spellStart"/>
      <w:r>
        <w:t>Dundgovi’s</w:t>
      </w:r>
      <w:proofErr w:type="spellEnd"/>
      <w:r>
        <w:t xml:space="preserve"> deeper wells and harsher climate specifically require </w:t>
      </w:r>
      <w:proofErr w:type="spellStart"/>
      <w:r>
        <w:t>LiFePO</w:t>
      </w:r>
      <w:proofErr w:type="spellEnd"/>
      <w:r>
        <w:t>₄ battery storage, distinguishing it from Uvurkhangai.</w:t>
      </w:r>
    </w:p>
    <w:p w14:paraId="7DC18799" w14:textId="6B0748CA" w:rsidR="001A0A3E" w:rsidRDefault="005F5A3D" w:rsidP="005F5A3D">
      <w:pPr>
        <w:spacing w:before="120" w:after="120" w:line="240" w:lineRule="auto"/>
        <w:contextualSpacing w:val="0"/>
      </w:pPr>
      <w:r>
        <w:rPr>
          <w:b/>
          <w:bCs/>
        </w:rPr>
        <w:t>Recommended irrigation specifications</w:t>
      </w:r>
      <w:r>
        <w:t>: Drip irrigation is the clearly the primary option for both provinces. It is worth reiterating that greenhouses should no longer be built without drip irrigation: the added cost is modest, and the water and yield gains are decisive. Sprinkler, subsurface drip and traditional surface irrigation are not prioritised; they represent the baseline.</w:t>
      </w:r>
    </w:p>
    <w:p w14:paraId="2DF82AD4" w14:textId="65DCFE3B" w:rsidR="001A0A3E" w:rsidRDefault="005F5A3D" w:rsidP="005F5A3D">
      <w:pPr>
        <w:spacing w:before="120" w:after="120" w:line="240" w:lineRule="auto"/>
        <w:contextualSpacing w:val="0"/>
      </w:pPr>
      <w:r>
        <w:t>Differentiated by province, gravity-fed drip irrigation is the first choice at shallow-well Uvurkhangai sites where elevation allows and a header tank is feasible, particularly in cooperative or multi-farm configurations. Solar-powered drip irrigation (with battery storage) is the first choice for deep-borehole Dundgovi and for any site requiring pumped pressure. Vertical bifacial or solar panels tilted at an angle of 35–50 degrees and facing south, - along with the deep-well pump - form the core of a solar-powered system.</w:t>
      </w:r>
    </w:p>
    <w:p w14:paraId="64B609C3" w14:textId="719A5660" w:rsidR="00967F7C" w:rsidRPr="00E35798" w:rsidRDefault="7DFD299C" w:rsidP="001A0A3E">
      <w:pPr>
        <w:pStyle w:val="Heading2"/>
        <w:spacing w:before="360" w:line="240" w:lineRule="auto"/>
        <w:contextualSpacing w:val="0"/>
      </w:pPr>
      <w:bookmarkStart w:id="140" w:name="_Toc233981345"/>
      <w:r>
        <w:t>Agroforestry</w:t>
      </w:r>
      <w:bookmarkEnd w:id="140"/>
    </w:p>
    <w:p w14:paraId="3A6CD5CD" w14:textId="5F09C2BC" w:rsidR="759A1397" w:rsidRPr="00E35798" w:rsidRDefault="759A1397" w:rsidP="001A0A3E">
      <w:pPr>
        <w:pStyle w:val="Heading3"/>
        <w:spacing w:before="240" w:line="240" w:lineRule="auto"/>
        <w:contextualSpacing w:val="0"/>
      </w:pPr>
      <w:bookmarkStart w:id="141" w:name="_Toc233981346"/>
      <w:r>
        <w:t>Definition and relevance</w:t>
      </w:r>
      <w:bookmarkEnd w:id="141"/>
    </w:p>
    <w:p w14:paraId="693C4A13" w14:textId="21379D7B" w:rsidR="001A0A3E" w:rsidRDefault="002F358B" w:rsidP="00EB489E">
      <w:r>
        <w:t xml:space="preserve">Agroforestry has no single universal definition, but rather a converging body of institutional and scientific definitions. For FAO, “Agroforestry is a collective term for land-use systems and technologies where woody perennials are deliberately used on the same land-management units as agricultural crops and/or animals, in some form of spatial arrangement or temporal sequence.” From USDA, the definition is simpler as “Agroforestry is the intentional integration of trees and shrubs into crop and animal farming systems to create environmental, economic, and social benefits.” As a summary, we can say that Agroforestry can be defined as “an integrated land-use system combining trees, crops and/or livestock on the same land unit, designed to optimise ecological interactions and generate sustainable economic, environmental and social benefits”. </w:t>
      </w:r>
      <w:r>
        <w:rPr>
          <w:rStyle w:val="FootnoteReference"/>
        </w:rPr>
        <w:footnoteReference w:id="13"/>
      </w:r>
    </w:p>
    <w:p w14:paraId="5C5A860C" w14:textId="77777777" w:rsidR="001A0A3E" w:rsidRPr="00E35798" w:rsidRDefault="001A0A3E" w:rsidP="00EB489E">
      <w:r>
        <w:t>Agroforestry systems in Mongolia remain limited, highly context-specific, and strongly constrained by aridity, particularly in southern provinces located at the interface between steppe and desert ecosystems. The following typology presents the main existing or emerging models.</w:t>
      </w:r>
    </w:p>
    <w:p w14:paraId="1F6D9480" w14:textId="77777777" w:rsidR="00AB7D88" w:rsidRDefault="00AB7D88" w:rsidP="00EB489E"/>
    <w:p w14:paraId="17D55819" w14:textId="53633177" w:rsidR="001A0A3E" w:rsidRPr="00E35798" w:rsidRDefault="001A0A3E" w:rsidP="00EB489E">
      <w:r>
        <w:t>Agroforestry represents a key ecosystem-based adaptation (</w:t>
      </w:r>
      <w:proofErr w:type="spellStart"/>
      <w:r>
        <w:t>EbA</w:t>
      </w:r>
      <w:proofErr w:type="spellEnd"/>
      <w:r>
        <w:t>) strategy for strengthening the resilience of smallholder vegetable production systems in Mongolia. The integration of trees and shrubs within or around crop production areas can significantly reduce climate-related risks such as strong winds, soil erosion, water loss, and extreme temperature fluctuations.</w:t>
      </w:r>
    </w:p>
    <w:p w14:paraId="307D195D" w14:textId="77777777" w:rsidR="00AB7D88" w:rsidRDefault="00AB7D88" w:rsidP="00EB489E"/>
    <w:p w14:paraId="6EA17379" w14:textId="49E6A60D" w:rsidR="001A0A3E" w:rsidRPr="00E35798" w:rsidRDefault="001A0A3E" w:rsidP="00EB489E">
      <w:r>
        <w:t xml:space="preserve">In the context of the target provinces (Dundgovi and Uvurkhangai), agroforestry systems will primarily focus on shelterbelts, windbreaks, and tree buffers integrated with vegetable plots and greenhouse infrastructure. </w:t>
      </w:r>
      <w:r>
        <w:lastRenderedPageBreak/>
        <w:t>These systems contribute to the stabilization of the local microclimate by reducing wind velocity, increasing soil moisture retention, and protecting crops from sandstorms and frost events. Evidence from comparable dryland systems shows that well-designed shelterbelts can reduce wind speed by up to 40–60% and improve crop yields by protecting plants from mechanical damage and excessive evapotranspiration.</w:t>
      </w:r>
    </w:p>
    <w:p w14:paraId="01B419B1" w14:textId="77777777" w:rsidR="00AB7D88" w:rsidRDefault="00AB7D88" w:rsidP="00EB489E"/>
    <w:p w14:paraId="42D7D23B" w14:textId="4A42DA0E" w:rsidR="001A0A3E" w:rsidRPr="00E35798" w:rsidRDefault="001A0A3E" w:rsidP="00EB489E">
      <w:r>
        <w:t>Agroforestry systems also contribute to soil restoration by improving organic matter content, enhancing soil structure, and increasing water infiltration. In addition, certain tree and shrub species can provide additional economic benefits for farmers through fruit, berries, fodder, or biomass production.</w:t>
      </w:r>
    </w:p>
    <w:p w14:paraId="172EF04C" w14:textId="09AF7AA9" w:rsidR="6D077EAA" w:rsidRPr="00E35798" w:rsidRDefault="00875B59" w:rsidP="001A0A3E">
      <w:pPr>
        <w:pStyle w:val="Heading3"/>
        <w:spacing w:before="240" w:line="240" w:lineRule="auto"/>
        <w:contextualSpacing w:val="0"/>
      </w:pPr>
      <w:bookmarkStart w:id="142" w:name="_Toc233981347"/>
      <w:r>
        <w:t>Selection of agroforestry models</w:t>
      </w:r>
      <w:bookmarkEnd w:id="142"/>
    </w:p>
    <w:p w14:paraId="167BCC2D" w14:textId="0735C2D2" w:rsidR="43C0B6AB" w:rsidRPr="00E35798" w:rsidRDefault="43C0B6AB" w:rsidP="00D16E24">
      <w:pPr>
        <w:pStyle w:val="ListParagraph"/>
        <w:spacing w:after="120" w:line="240" w:lineRule="auto"/>
        <w:ind w:left="0"/>
        <w:contextualSpacing w:val="0"/>
        <w:rPr>
          <w:rFonts w:eastAsia="Times New Roman" w:cs="Times New Roman"/>
        </w:rPr>
      </w:pPr>
      <w:r>
        <w:rPr>
          <w:rFonts w:eastAsia="Times New Roman" w:cs="Times New Roman"/>
        </w:rPr>
        <w:t>Three agroforestry models were retained for the multi-criteria analysis (MCA) based on their relevance to the arid conditions that dominate both target provinces, existing practices in Mongolia or future potential, and compatibility with the integrated technology package approach:</w:t>
      </w:r>
    </w:p>
    <w:p w14:paraId="47702D66" w14:textId="5C44EEC0" w:rsidR="43C0B6AB" w:rsidRPr="00E35798" w:rsidRDefault="43C0B6AB" w:rsidP="006342DD">
      <w:pPr>
        <w:pStyle w:val="ListParagraph"/>
        <w:numPr>
          <w:ilvl w:val="0"/>
          <w:numId w:val="6"/>
        </w:numPr>
        <w:spacing w:after="120" w:line="240" w:lineRule="auto"/>
        <w:contextualSpacing w:val="0"/>
        <w:rPr>
          <w:rFonts w:eastAsia="Times New Roman" w:cs="Times New Roman"/>
        </w:rPr>
      </w:pPr>
      <w:r>
        <w:rPr>
          <w:rFonts w:eastAsia="Times New Roman" w:cs="Times New Roman"/>
        </w:rPr>
        <w:t>Windbreak systems as the foundational resilience layer,</w:t>
      </w:r>
    </w:p>
    <w:p w14:paraId="3029D334" w14:textId="37F4C898" w:rsidR="43C0B6AB" w:rsidRPr="00E35798" w:rsidRDefault="43C0B6AB" w:rsidP="006342DD">
      <w:pPr>
        <w:pStyle w:val="ListParagraph"/>
        <w:numPr>
          <w:ilvl w:val="0"/>
          <w:numId w:val="6"/>
        </w:numPr>
        <w:spacing w:after="120" w:line="240" w:lineRule="auto"/>
        <w:contextualSpacing w:val="0"/>
        <w:rPr>
          <w:rFonts w:eastAsia="Times New Roman" w:cs="Times New Roman"/>
        </w:rPr>
      </w:pPr>
      <w:r>
        <w:rPr>
          <w:rFonts w:eastAsia="Times New Roman" w:cs="Times New Roman"/>
        </w:rPr>
        <w:t>Oasis-based (</w:t>
      </w:r>
      <w:proofErr w:type="spellStart"/>
      <w:r>
        <w:rPr>
          <w:rFonts w:eastAsia="Times New Roman" w:cs="Times New Roman"/>
        </w:rPr>
        <w:t>horticulutre</w:t>
      </w:r>
      <w:proofErr w:type="spellEnd"/>
      <w:r>
        <w:rPr>
          <w:rFonts w:eastAsia="Times New Roman" w:cs="Times New Roman"/>
        </w:rPr>
        <w:t xml:space="preserve">) </w:t>
      </w:r>
      <w:proofErr w:type="spellStart"/>
      <w:r>
        <w:rPr>
          <w:rFonts w:eastAsia="Times New Roman" w:cs="Times New Roman"/>
        </w:rPr>
        <w:t>agro-silvo</w:t>
      </w:r>
      <w:proofErr w:type="spellEnd"/>
      <w:r>
        <w:rPr>
          <w:rFonts w:eastAsia="Times New Roman" w:cs="Times New Roman"/>
        </w:rPr>
        <w:t xml:space="preserve"> systems integrating irrigation and greenhouse production,</w:t>
      </w:r>
    </w:p>
    <w:p w14:paraId="4959186A" w14:textId="4A5CEECE" w:rsidR="51DE7E91" w:rsidRDefault="43C0B6AB" w:rsidP="006342DD">
      <w:pPr>
        <w:pStyle w:val="ListParagraph"/>
        <w:numPr>
          <w:ilvl w:val="0"/>
          <w:numId w:val="6"/>
        </w:numPr>
        <w:spacing w:after="120" w:line="240" w:lineRule="auto"/>
        <w:contextualSpacing w:val="0"/>
        <w:rPr>
          <w:rFonts w:eastAsia="Times New Roman" w:cs="Times New Roman"/>
        </w:rPr>
      </w:pPr>
      <w:proofErr w:type="spellStart"/>
      <w:r>
        <w:rPr>
          <w:rFonts w:eastAsia="Times New Roman" w:cs="Times New Roman"/>
        </w:rPr>
        <w:t>Silvopastoral</w:t>
      </w:r>
      <w:proofErr w:type="spellEnd"/>
      <w:r>
        <w:rPr>
          <w:rFonts w:eastAsia="Times New Roman" w:cs="Times New Roman"/>
        </w:rPr>
        <w:t xml:space="preserve"> systems adapted to rangeland conditions (shrub-based).</w:t>
      </w:r>
    </w:p>
    <w:p w14:paraId="6A4234BE" w14:textId="5FA7F3B9" w:rsidR="000931A7" w:rsidRDefault="000931A7" w:rsidP="00EB489E"/>
    <w:p w14:paraId="493DFB3D" w14:textId="68C2AB0B" w:rsidR="000931A7" w:rsidRPr="000931A7" w:rsidRDefault="000931A7" w:rsidP="00AB7D88">
      <w:pPr>
        <w:pStyle w:val="Caption"/>
        <w:framePr w:wrap="notBeside"/>
      </w:pPr>
      <w:r>
        <w:t xml:space="preserve">Table </w:t>
      </w:r>
      <w:r w:rsidR="00001399">
        <w:t>40</w:t>
      </w:r>
      <w:r>
        <w:t>. Agroforestry models selected</w:t>
      </w:r>
    </w:p>
    <w:tbl>
      <w:tblPr>
        <w:tblStyle w:val="TableGrid"/>
        <w:tblW w:w="9628" w:type="dxa"/>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421"/>
        <w:gridCol w:w="1650"/>
        <w:gridCol w:w="2820"/>
        <w:gridCol w:w="2205"/>
        <w:gridCol w:w="2532"/>
      </w:tblGrid>
      <w:tr w:rsidR="0013662C" w:rsidRPr="000931A7" w14:paraId="59DA3D1C" w14:textId="77777777" w:rsidTr="00DB5947">
        <w:tc>
          <w:tcPr>
            <w:tcW w:w="421" w:type="dxa"/>
            <w:shd w:val="clear" w:color="auto" w:fill="E99E6D" w:themeFill="accent3"/>
          </w:tcPr>
          <w:p w14:paraId="3A0CEDE5" w14:textId="77777777" w:rsidR="0013662C" w:rsidRPr="000931A7" w:rsidRDefault="0013662C" w:rsidP="00DB5947">
            <w:pPr>
              <w:pStyle w:val="OikoTables03Content"/>
            </w:pPr>
          </w:p>
        </w:tc>
        <w:tc>
          <w:tcPr>
            <w:tcW w:w="1650" w:type="dxa"/>
            <w:shd w:val="clear" w:color="auto" w:fill="E99E6D" w:themeFill="accent3"/>
          </w:tcPr>
          <w:p w14:paraId="1D0F345F" w14:textId="5F6EF6EB" w:rsidR="0013662C" w:rsidRPr="000931A7" w:rsidRDefault="0058736B" w:rsidP="00DB5947">
            <w:pPr>
              <w:pStyle w:val="OikoTables03Content"/>
              <w:rPr>
                <w:b/>
                <w:bCs/>
              </w:rPr>
            </w:pPr>
            <w:r>
              <w:rPr>
                <w:b/>
                <w:bCs/>
              </w:rPr>
              <w:t>Agroforestry Technology method</w:t>
            </w:r>
          </w:p>
        </w:tc>
        <w:tc>
          <w:tcPr>
            <w:tcW w:w="2820" w:type="dxa"/>
            <w:shd w:val="clear" w:color="auto" w:fill="E99E6D" w:themeFill="accent3"/>
          </w:tcPr>
          <w:p w14:paraId="6B58F39B" w14:textId="67E0464A" w:rsidR="0013662C" w:rsidRPr="000931A7" w:rsidRDefault="0013662C" w:rsidP="00DB5947">
            <w:pPr>
              <w:pStyle w:val="OikoTables03Content"/>
              <w:rPr>
                <w:b/>
                <w:bCs/>
              </w:rPr>
            </w:pPr>
            <w:r>
              <w:rPr>
                <w:b/>
                <w:bCs/>
              </w:rPr>
              <w:t>Definition</w:t>
            </w:r>
          </w:p>
        </w:tc>
        <w:tc>
          <w:tcPr>
            <w:tcW w:w="2205" w:type="dxa"/>
            <w:shd w:val="clear" w:color="auto" w:fill="E99E6D" w:themeFill="accent3"/>
          </w:tcPr>
          <w:p w14:paraId="4E866C02" w14:textId="52FDE520" w:rsidR="0013662C" w:rsidRPr="000931A7" w:rsidRDefault="0013662C" w:rsidP="00DB5947">
            <w:pPr>
              <w:pStyle w:val="OikoTables03Content"/>
              <w:rPr>
                <w:b/>
                <w:bCs/>
              </w:rPr>
            </w:pPr>
            <w:r>
              <w:rPr>
                <w:b/>
                <w:bCs/>
              </w:rPr>
              <w:t>Relevance for target area</w:t>
            </w:r>
          </w:p>
        </w:tc>
        <w:tc>
          <w:tcPr>
            <w:tcW w:w="2532" w:type="dxa"/>
            <w:shd w:val="clear" w:color="auto" w:fill="E99E6D" w:themeFill="accent3"/>
          </w:tcPr>
          <w:p w14:paraId="15EA5562" w14:textId="60A88EAA" w:rsidR="0013662C" w:rsidRPr="000931A7" w:rsidRDefault="0013662C" w:rsidP="00DB5947">
            <w:pPr>
              <w:pStyle w:val="OikoTables03Content"/>
              <w:rPr>
                <w:b/>
                <w:bCs/>
              </w:rPr>
            </w:pPr>
            <w:r>
              <w:rPr>
                <w:b/>
                <w:bCs/>
              </w:rPr>
              <w:t>Functions</w:t>
            </w:r>
          </w:p>
        </w:tc>
      </w:tr>
      <w:tr w:rsidR="0013662C" w:rsidRPr="000931A7" w14:paraId="6153DF93" w14:textId="77777777" w:rsidTr="00DB5947">
        <w:tc>
          <w:tcPr>
            <w:tcW w:w="421" w:type="dxa"/>
          </w:tcPr>
          <w:p w14:paraId="246730F7" w14:textId="17A6D1D3" w:rsidR="0013662C" w:rsidRPr="000931A7" w:rsidRDefault="0013662C" w:rsidP="00DB5947">
            <w:pPr>
              <w:pStyle w:val="OikoTables03Content"/>
            </w:pPr>
            <w:r>
              <w:t>1</w:t>
            </w:r>
          </w:p>
        </w:tc>
        <w:tc>
          <w:tcPr>
            <w:tcW w:w="1650" w:type="dxa"/>
          </w:tcPr>
          <w:p w14:paraId="25CE4CBF" w14:textId="6FC5F282" w:rsidR="0013662C" w:rsidRPr="000931A7" w:rsidRDefault="0D8950AA" w:rsidP="00DB5947">
            <w:pPr>
              <w:pStyle w:val="OikoTables03Content"/>
            </w:pPr>
            <w:r>
              <w:t>Windbreaks / Shelterbelts</w:t>
            </w:r>
          </w:p>
        </w:tc>
        <w:tc>
          <w:tcPr>
            <w:tcW w:w="2820" w:type="dxa"/>
          </w:tcPr>
          <w:p w14:paraId="7694753C" w14:textId="1AEEDDA0" w:rsidR="0013662C" w:rsidRPr="000931A7" w:rsidRDefault="0D8950AA" w:rsidP="00DB5947">
            <w:pPr>
              <w:pStyle w:val="OikoTables03Content"/>
            </w:pPr>
            <w:r>
              <w:t>Linear plantations of trees and shrubs designed to reduce wind speed and protect crops, soils, and infrastructures (greenhouse)</w:t>
            </w:r>
          </w:p>
          <w:p w14:paraId="4E697954" w14:textId="4AE04E1E" w:rsidR="0013662C" w:rsidRPr="000931A7" w:rsidRDefault="0013662C" w:rsidP="00DB5947">
            <w:pPr>
              <w:pStyle w:val="OikoTables03Content"/>
              <w:rPr>
                <w:rFonts w:eastAsia="Aptos"/>
              </w:rPr>
            </w:pPr>
          </w:p>
          <w:p w14:paraId="76630D21" w14:textId="357E8EBE" w:rsidR="0013662C" w:rsidRPr="000931A7" w:rsidRDefault="0013662C" w:rsidP="00DB5947">
            <w:pPr>
              <w:pStyle w:val="OikoTables03Content"/>
            </w:pPr>
          </w:p>
        </w:tc>
        <w:tc>
          <w:tcPr>
            <w:tcW w:w="2205" w:type="dxa"/>
          </w:tcPr>
          <w:p w14:paraId="1ABF2CD5" w14:textId="77777777" w:rsidR="0013662C" w:rsidRPr="000931A7" w:rsidRDefault="0013662C" w:rsidP="00DB5947">
            <w:pPr>
              <w:pStyle w:val="OikoTables03Content"/>
            </w:pPr>
            <w:r>
              <w:t>Core adaptation measure in arid zones</w:t>
            </w:r>
          </w:p>
          <w:p w14:paraId="3327A7F8" w14:textId="1CF060A2" w:rsidR="0013662C" w:rsidRPr="000931A7" w:rsidRDefault="0D8950AA" w:rsidP="00DB5947">
            <w:pPr>
              <w:pStyle w:val="OikoTables03Content"/>
            </w:pPr>
            <w:r>
              <w:t>Already implemented (Dundgovi: ~160 km; Uvurkhangai : ~105 km)</w:t>
            </w:r>
          </w:p>
          <w:p w14:paraId="7C7EB476" w14:textId="7C425016" w:rsidR="0013662C" w:rsidRPr="000931A7" w:rsidRDefault="47A3A5D9" w:rsidP="00DB5947">
            <w:pPr>
              <w:pStyle w:val="OikoTables03Content"/>
            </w:pPr>
            <w:r>
              <w:t>Suitable for smallholder vegetable system</w:t>
            </w:r>
          </w:p>
          <w:p w14:paraId="6C387C8C" w14:textId="675D7C7F" w:rsidR="0013662C" w:rsidRPr="000931A7" w:rsidRDefault="47A3A5D9" w:rsidP="00DB5947">
            <w:pPr>
              <w:pStyle w:val="OikoTables03Content"/>
            </w:pPr>
            <w:r>
              <w:t>Compatible with irrigation schemes</w:t>
            </w:r>
          </w:p>
          <w:p w14:paraId="50FBB1B5" w14:textId="004A1161" w:rsidR="0013662C" w:rsidRPr="000931A7" w:rsidRDefault="0013662C" w:rsidP="00DB5947">
            <w:pPr>
              <w:pStyle w:val="OikoTables03Content"/>
            </w:pPr>
          </w:p>
        </w:tc>
        <w:tc>
          <w:tcPr>
            <w:tcW w:w="2532" w:type="dxa"/>
          </w:tcPr>
          <w:p w14:paraId="759C247B" w14:textId="2EFEAA6E" w:rsidR="0013662C" w:rsidRPr="000931A7" w:rsidRDefault="55E95115" w:rsidP="00DB5947">
            <w:pPr>
              <w:pStyle w:val="OikoTables03Content"/>
              <w:rPr>
                <w:rFonts w:eastAsia="Aptos"/>
              </w:rPr>
            </w:pPr>
            <w:r>
              <w:rPr>
                <w:rFonts w:eastAsia="Aptos"/>
              </w:rPr>
              <w:t>Reduce wind erosion &amp; limit evapotranspiration</w:t>
            </w:r>
          </w:p>
          <w:p w14:paraId="68EFCF73" w14:textId="0FF4B29A" w:rsidR="0013662C" w:rsidRPr="000931A7" w:rsidRDefault="65F08352" w:rsidP="00DB5947">
            <w:pPr>
              <w:pStyle w:val="OikoTables03Content"/>
              <w:rPr>
                <w:rFonts w:eastAsia="Aptos"/>
              </w:rPr>
            </w:pPr>
            <w:r>
              <w:rPr>
                <w:rFonts w:eastAsia="Aptos"/>
              </w:rPr>
              <w:t>Protect crops, topsoil &amp; infrastructures</w:t>
            </w:r>
          </w:p>
          <w:p w14:paraId="678AD22B" w14:textId="7E1EADE7" w:rsidR="0013662C" w:rsidRPr="000931A7" w:rsidRDefault="633D0E4E" w:rsidP="00DB5947">
            <w:pPr>
              <w:pStyle w:val="OikoTables03Content"/>
              <w:rPr>
                <w:rFonts w:eastAsia="Aptos"/>
              </w:rPr>
            </w:pPr>
            <w:r>
              <w:rPr>
                <w:rFonts w:eastAsia="Aptos"/>
              </w:rPr>
              <w:t>Improve livestock welfare &amp; shelter</w:t>
            </w:r>
          </w:p>
          <w:p w14:paraId="00CE8106" w14:textId="6A5760A0" w:rsidR="0013662C" w:rsidRPr="000931A7" w:rsidRDefault="2F98E954" w:rsidP="00DB5947">
            <w:pPr>
              <w:pStyle w:val="OikoTables03Content"/>
              <w:rPr>
                <w:rFonts w:eastAsia="Aptos"/>
              </w:rPr>
            </w:pPr>
            <w:r>
              <w:rPr>
                <w:rFonts w:eastAsia="Aptos"/>
              </w:rPr>
              <w:t>Microclimate regulation (T° /evapotranspiration)</w:t>
            </w:r>
          </w:p>
          <w:p w14:paraId="59F5A937" w14:textId="3C121E9E" w:rsidR="0013662C" w:rsidRPr="000931A7" w:rsidRDefault="0D8950AA" w:rsidP="00DB5947">
            <w:pPr>
              <w:pStyle w:val="OikoTables03Content"/>
            </w:pPr>
            <w:r>
              <w:t>Increase snow/water capture and soil moisture</w:t>
            </w:r>
          </w:p>
          <w:p w14:paraId="1C6619C2" w14:textId="7FB7B680" w:rsidR="0013662C" w:rsidRPr="000931A7" w:rsidRDefault="025B424C" w:rsidP="00DB5947">
            <w:pPr>
              <w:pStyle w:val="OikoTables03Content"/>
              <w:rPr>
                <w:rFonts w:eastAsia="Aptos"/>
              </w:rPr>
            </w:pPr>
            <w:r>
              <w:rPr>
                <w:rFonts w:eastAsia="Aptos"/>
              </w:rPr>
              <w:t>Provide fuelwood, fodder, fruits/berries</w:t>
            </w:r>
          </w:p>
          <w:p w14:paraId="62DD5D5F" w14:textId="41C84EE9" w:rsidR="0013662C" w:rsidRPr="000931A7" w:rsidRDefault="49AAC1C0" w:rsidP="00DB5947">
            <w:pPr>
              <w:pStyle w:val="OikoTables03Content"/>
              <w:rPr>
                <w:rFonts w:eastAsia="Aptos"/>
              </w:rPr>
            </w:pPr>
            <w:r>
              <w:rPr>
                <w:rFonts w:eastAsia="Aptos"/>
              </w:rPr>
              <w:t>Biodiversity corridors (pollinators &amp; wildlife)</w:t>
            </w:r>
          </w:p>
        </w:tc>
      </w:tr>
      <w:tr w:rsidR="0013662C" w:rsidRPr="000931A7" w14:paraId="729FCA66" w14:textId="77777777" w:rsidTr="00DB5947">
        <w:tc>
          <w:tcPr>
            <w:tcW w:w="421" w:type="dxa"/>
          </w:tcPr>
          <w:p w14:paraId="2FF02C6E" w14:textId="0AF9712F" w:rsidR="0013662C" w:rsidRPr="000931A7" w:rsidRDefault="49AAC1C0" w:rsidP="00DB5947">
            <w:pPr>
              <w:pStyle w:val="OikoTables03Content"/>
            </w:pPr>
            <w:r>
              <w:t>2</w:t>
            </w:r>
          </w:p>
        </w:tc>
        <w:tc>
          <w:tcPr>
            <w:tcW w:w="1650" w:type="dxa"/>
          </w:tcPr>
          <w:p w14:paraId="4C3E87F4" w14:textId="0E233322" w:rsidR="0013662C" w:rsidRPr="000931A7" w:rsidRDefault="6093EC87" w:rsidP="00DB5947">
            <w:pPr>
              <w:pStyle w:val="OikoTables03Content"/>
            </w:pPr>
            <w:r>
              <w:t>Oasis-based horticulture</w:t>
            </w:r>
          </w:p>
          <w:p w14:paraId="67276485" w14:textId="1A76EC32" w:rsidR="0013662C" w:rsidRPr="000931A7" w:rsidRDefault="33B4CCC8" w:rsidP="00DB5947">
            <w:pPr>
              <w:pStyle w:val="OikoTables03Content"/>
            </w:pPr>
            <w:r>
              <w:t>(</w:t>
            </w:r>
            <w:proofErr w:type="spellStart"/>
            <w:r>
              <w:t>Agro-silvo</w:t>
            </w:r>
            <w:proofErr w:type="spellEnd"/>
            <w:r>
              <w:t xml:space="preserve"> systems in arid areas)</w:t>
            </w:r>
          </w:p>
          <w:p w14:paraId="2BE54750" w14:textId="574CEAC3" w:rsidR="0013662C" w:rsidRPr="000931A7" w:rsidRDefault="0013662C" w:rsidP="00DB5947">
            <w:pPr>
              <w:pStyle w:val="OikoTables03Content"/>
            </w:pPr>
          </w:p>
        </w:tc>
        <w:tc>
          <w:tcPr>
            <w:tcW w:w="2820" w:type="dxa"/>
          </w:tcPr>
          <w:p w14:paraId="15ED8941" w14:textId="7C60F71D" w:rsidR="0013662C" w:rsidRPr="000931A7" w:rsidRDefault="30CF3C72" w:rsidP="00DB5947">
            <w:pPr>
              <w:pStyle w:val="OikoTables03Content"/>
            </w:pPr>
            <w:r>
              <w:t>Intensive agroforestry systems combining trees and horticulture in the same land, integrating irrigation system</w:t>
            </w:r>
          </w:p>
        </w:tc>
        <w:tc>
          <w:tcPr>
            <w:tcW w:w="2205" w:type="dxa"/>
          </w:tcPr>
          <w:p w14:paraId="75E11756" w14:textId="08384408" w:rsidR="1951CE66" w:rsidRPr="000931A7" w:rsidRDefault="1951CE66" w:rsidP="00DB5947">
            <w:pPr>
              <w:pStyle w:val="OikoTables03Content"/>
            </w:pPr>
            <w:r>
              <w:t>Already implemented under Greenbelt initiatives in southern Mongolia</w:t>
            </w:r>
          </w:p>
          <w:p w14:paraId="27C1908C" w14:textId="2A1965ED" w:rsidR="077EBDF7" w:rsidRPr="000931A7" w:rsidRDefault="077EBDF7" w:rsidP="00DB5947">
            <w:pPr>
              <w:pStyle w:val="OikoTables03Content"/>
            </w:pPr>
            <w:r>
              <w:t>Specifically suitable for arid areas (when water is available)</w:t>
            </w:r>
          </w:p>
          <w:p w14:paraId="54B73723" w14:textId="332C9E75" w:rsidR="0013662C" w:rsidRPr="000931A7" w:rsidRDefault="0013662C" w:rsidP="00DB5947">
            <w:pPr>
              <w:pStyle w:val="OikoTables03Content"/>
              <w:rPr>
                <w:b/>
                <w:bCs/>
              </w:rPr>
            </w:pPr>
          </w:p>
        </w:tc>
        <w:tc>
          <w:tcPr>
            <w:tcW w:w="2532" w:type="dxa"/>
          </w:tcPr>
          <w:p w14:paraId="7C6050E2" w14:textId="57C4B498" w:rsidR="20A0714F" w:rsidRPr="000931A7" w:rsidRDefault="20A0714F" w:rsidP="00DB5947">
            <w:pPr>
              <w:pStyle w:val="OikoTables03Content"/>
              <w:rPr>
                <w:rFonts w:eastAsia="Aptos"/>
              </w:rPr>
            </w:pPr>
            <w:r>
              <w:rPr>
                <w:rFonts w:eastAsia="Aptos"/>
              </w:rPr>
              <w:t xml:space="preserve">Diversified food &amp; wood production (crops, fruits, fodder, </w:t>
            </w:r>
            <w:proofErr w:type="gramStart"/>
            <w:r>
              <w:rPr>
                <w:rFonts w:eastAsia="Aptos"/>
              </w:rPr>
              <w:t>fire wood</w:t>
            </w:r>
            <w:proofErr w:type="gramEnd"/>
            <w:r>
              <w:rPr>
                <w:rFonts w:eastAsia="Aptos"/>
              </w:rPr>
              <w:t>, timber)</w:t>
            </w:r>
          </w:p>
          <w:p w14:paraId="1DD0E1DB" w14:textId="71FF0F79" w:rsidR="786A08F4" w:rsidRPr="000931A7" w:rsidRDefault="786A08F4" w:rsidP="00DB5947">
            <w:pPr>
              <w:pStyle w:val="OikoTables03Content"/>
            </w:pPr>
            <w:r>
              <w:rPr>
                <w:rFonts w:eastAsia="Aptos"/>
              </w:rPr>
              <w:t xml:space="preserve">Higher income generation for farmers &amp; better </w:t>
            </w:r>
            <w:r>
              <w:t>productivity/m²</w:t>
            </w:r>
          </w:p>
          <w:p w14:paraId="6A050D90" w14:textId="0052E519" w:rsidR="0013662C" w:rsidRPr="000931A7" w:rsidRDefault="02043AEB" w:rsidP="00DB5947">
            <w:pPr>
              <w:pStyle w:val="OikoTables03Content"/>
              <w:rPr>
                <w:rFonts w:eastAsia="Aptos"/>
              </w:rPr>
            </w:pPr>
            <w:r>
              <w:rPr>
                <w:rFonts w:eastAsia="Aptos"/>
              </w:rPr>
              <w:t>Efficient water use</w:t>
            </w:r>
          </w:p>
          <w:p w14:paraId="13CB2038" w14:textId="3C045852" w:rsidR="0013662C" w:rsidRPr="000931A7" w:rsidRDefault="2954E7CB" w:rsidP="00DB5947">
            <w:pPr>
              <w:pStyle w:val="OikoTables03Content"/>
              <w:rPr>
                <w:rFonts w:eastAsia="Aptos"/>
              </w:rPr>
            </w:pPr>
            <w:r>
              <w:rPr>
                <w:rFonts w:eastAsia="Aptos"/>
              </w:rPr>
              <w:t>Carbon sequestration</w:t>
            </w:r>
          </w:p>
        </w:tc>
      </w:tr>
      <w:tr w:rsidR="0013662C" w:rsidRPr="000931A7" w14:paraId="15C3154D" w14:textId="77777777" w:rsidTr="00DB5947">
        <w:tc>
          <w:tcPr>
            <w:tcW w:w="421" w:type="dxa"/>
          </w:tcPr>
          <w:p w14:paraId="48B00A46" w14:textId="6B1F8A33" w:rsidR="0013662C" w:rsidRPr="000931A7" w:rsidRDefault="7BED7EDF" w:rsidP="00DB5947">
            <w:pPr>
              <w:pStyle w:val="OikoTables03Content"/>
            </w:pPr>
            <w:r>
              <w:t>3</w:t>
            </w:r>
          </w:p>
        </w:tc>
        <w:tc>
          <w:tcPr>
            <w:tcW w:w="1650" w:type="dxa"/>
          </w:tcPr>
          <w:p w14:paraId="2486FAEB" w14:textId="62A1F83E" w:rsidR="0013662C" w:rsidRPr="000931A7" w:rsidRDefault="3A4E74DD" w:rsidP="00DB5947">
            <w:pPr>
              <w:pStyle w:val="OikoTables03Content"/>
            </w:pPr>
            <w:proofErr w:type="spellStart"/>
            <w:r>
              <w:t>Silvopastoral</w:t>
            </w:r>
            <w:proofErr w:type="spellEnd"/>
            <w:r>
              <w:t xml:space="preserve"> system (Shrub-based rangeland)</w:t>
            </w:r>
          </w:p>
        </w:tc>
        <w:tc>
          <w:tcPr>
            <w:tcW w:w="2820" w:type="dxa"/>
          </w:tcPr>
          <w:p w14:paraId="6954DAE4" w14:textId="217C82E0" w:rsidR="0013662C" w:rsidRPr="000931A7" w:rsidRDefault="273DFF6C" w:rsidP="00DB5947">
            <w:pPr>
              <w:pStyle w:val="OikoTables03Content"/>
              <w:rPr>
                <w:rFonts w:eastAsia="Times New Roman"/>
                <w:b/>
                <w:bCs/>
              </w:rPr>
            </w:pPr>
            <w:r>
              <w:rPr>
                <w:rFonts w:eastAsia="Aptos"/>
              </w:rPr>
              <w:t>Systems combining</w:t>
            </w:r>
            <w:r>
              <w:t xml:space="preserve"> mainly shrubs (+ few trees when condition allows) with livestock grazing areas, </w:t>
            </w:r>
            <w:r>
              <w:rPr>
                <w:rFonts w:eastAsia="Aptos"/>
              </w:rPr>
              <w:t xml:space="preserve">integrating woody vegetation into pasture systems. </w:t>
            </w:r>
            <w:r>
              <w:br/>
            </w:r>
          </w:p>
        </w:tc>
        <w:tc>
          <w:tcPr>
            <w:tcW w:w="2205" w:type="dxa"/>
          </w:tcPr>
          <w:p w14:paraId="775E4EA4" w14:textId="0FDE908F" w:rsidR="0013662C" w:rsidRPr="000931A7" w:rsidRDefault="2C520DC2" w:rsidP="00DB5947">
            <w:pPr>
              <w:pStyle w:val="OikoTables03Content"/>
            </w:pPr>
            <w:r>
              <w:t>Currently limited in Mongolia but conceptually relevant if adapted to low-density shrub systems</w:t>
            </w:r>
          </w:p>
        </w:tc>
        <w:tc>
          <w:tcPr>
            <w:tcW w:w="2532" w:type="dxa"/>
          </w:tcPr>
          <w:p w14:paraId="43B4482C" w14:textId="766E6349" w:rsidR="00BF41FF" w:rsidRPr="000931A7" w:rsidRDefault="4B688294" w:rsidP="00DB5947">
            <w:pPr>
              <w:pStyle w:val="OikoTables03Content"/>
              <w:rPr>
                <w:rFonts w:eastAsia="Aptos"/>
              </w:rPr>
            </w:pPr>
            <w:r>
              <w:rPr>
                <w:rFonts w:eastAsia="Aptos"/>
              </w:rPr>
              <w:t>Supplemental forage, especially with legume species</w:t>
            </w:r>
          </w:p>
          <w:p w14:paraId="074E694D" w14:textId="48D6C414" w:rsidR="0013662C" w:rsidRPr="000931A7" w:rsidRDefault="3B5DAA56" w:rsidP="00DB5947">
            <w:pPr>
              <w:pStyle w:val="OikoTables03Content"/>
              <w:rPr>
                <w:rFonts w:eastAsia="Aptos"/>
              </w:rPr>
            </w:pPr>
            <w:r>
              <w:rPr>
                <w:rFonts w:eastAsia="Aptos"/>
              </w:rPr>
              <w:t>Soil stabilization and reduced overgrazing pressure</w:t>
            </w:r>
          </w:p>
          <w:p w14:paraId="77FBE668" w14:textId="1142B736" w:rsidR="0013662C" w:rsidRPr="000931A7" w:rsidRDefault="3B5DAA56" w:rsidP="00DB5947">
            <w:pPr>
              <w:pStyle w:val="OikoTables03Content"/>
              <w:rPr>
                <w:rFonts w:eastAsia="Aptos"/>
              </w:rPr>
            </w:pPr>
            <w:r>
              <w:rPr>
                <w:rFonts w:eastAsia="Aptos"/>
              </w:rPr>
              <w:t>Livestock shelter (wind and heat stress reduction)</w:t>
            </w:r>
          </w:p>
        </w:tc>
      </w:tr>
      <w:tr w:rsidR="00201938" w:rsidRPr="000931A7" w14:paraId="2FAA87F8" w14:textId="77777777" w:rsidTr="003B6F07">
        <w:tc>
          <w:tcPr>
            <w:tcW w:w="9628" w:type="dxa"/>
            <w:gridSpan w:val="5"/>
          </w:tcPr>
          <w:p w14:paraId="1B087CDA" w14:textId="62D919DF" w:rsidR="00201938" w:rsidRPr="00A8530B" w:rsidRDefault="00A8530B" w:rsidP="00DB5947">
            <w:pPr>
              <w:pStyle w:val="OikoTables03Content"/>
              <w:rPr>
                <w:rFonts w:eastAsia="Aptos"/>
                <w:i/>
                <w:iCs/>
              </w:rPr>
            </w:pPr>
            <w:r w:rsidRPr="00A8530B">
              <w:rPr>
                <w:rFonts w:eastAsia="Aptos"/>
                <w:i/>
                <w:iCs/>
              </w:rPr>
              <w:t>Source: OIKO elaboration based on agroforestry expert inputs, CTCN field mission observations, provincial nursery and shelterbelt experience, and review of agroforestry practices relevant to arid and semi-arid Mongolian conditions</w:t>
            </w:r>
          </w:p>
        </w:tc>
      </w:tr>
    </w:tbl>
    <w:p w14:paraId="66F8BCF1" w14:textId="655EEF01" w:rsidR="000931A7" w:rsidRDefault="000931A7" w:rsidP="000931A7">
      <w:pPr>
        <w:pStyle w:val="FirstParagraph"/>
        <w:spacing w:after="120"/>
      </w:pPr>
      <w:r>
        <w:t>Riparian agroforestry and several other configurations were not pre-selected, as they are less applicable to the smallholder horticultural focus or to the target sites; they can be revisited in later phases (Box 1).</w:t>
      </w:r>
    </w:p>
    <w:p w14:paraId="277DC8E0" w14:textId="1F8FFE50" w:rsidR="00CA6414" w:rsidRDefault="00CA6414">
      <w:pPr>
        <w:spacing w:after="160" w:line="259" w:lineRule="auto"/>
        <w:contextualSpacing w:val="0"/>
        <w:jc w:val="left"/>
        <w:rPr>
          <w:lang w:val="en-US"/>
        </w:rPr>
      </w:pPr>
      <w:r>
        <w:rPr>
          <w:lang w:val="en-US"/>
        </w:rPr>
        <w:br w:type="page"/>
      </w:r>
    </w:p>
    <w:p w14:paraId="721BFABB" w14:textId="77777777" w:rsidR="00CA6414" w:rsidRPr="00CA6414" w:rsidRDefault="00CA6414" w:rsidP="00CA6414">
      <w:pPr>
        <w:pStyle w:val="BodyText"/>
        <w:rPr>
          <w:lang w:val="en-US"/>
        </w:rPr>
      </w:pPr>
    </w:p>
    <w:tbl>
      <w:tblPr>
        <w:tblStyle w:val="TableGrid"/>
        <w:tblW w:w="0" w:type="auto"/>
        <w:tblBorders>
          <w:top w:val="single" w:sz="24" w:space="0" w:color="E99E6D" w:themeColor="accent3"/>
          <w:left w:val="single" w:sz="24" w:space="0" w:color="E99E6D" w:themeColor="accent3"/>
          <w:bottom w:val="single" w:sz="24" w:space="0" w:color="E99E6D" w:themeColor="accent3"/>
          <w:right w:val="single" w:sz="24" w:space="0" w:color="E99E6D" w:themeColor="accent3"/>
          <w:insideH w:val="single" w:sz="24" w:space="0" w:color="E99E6D" w:themeColor="accent3"/>
          <w:insideV w:val="single" w:sz="24" w:space="0" w:color="E99E6D" w:themeColor="accent3"/>
        </w:tblBorders>
        <w:shd w:val="clear" w:color="auto" w:fill="FAEBE1" w:themeFill="accent3" w:themeFillTint="33"/>
        <w:tblLook w:val="04A0" w:firstRow="1" w:lastRow="0" w:firstColumn="1" w:lastColumn="0" w:noHBand="0" w:noVBand="1"/>
      </w:tblPr>
      <w:tblGrid>
        <w:gridCol w:w="9578"/>
      </w:tblGrid>
      <w:tr w:rsidR="00961AA0" w:rsidRPr="000931A7" w14:paraId="019FA4A1" w14:textId="77777777" w:rsidTr="00DB5947">
        <w:tc>
          <w:tcPr>
            <w:tcW w:w="9628" w:type="dxa"/>
            <w:shd w:val="clear" w:color="auto" w:fill="FAEBE1" w:themeFill="accent3" w:themeFillTint="33"/>
          </w:tcPr>
          <w:p w14:paraId="44AED149" w14:textId="08BF3394" w:rsidR="00961AA0" w:rsidRPr="000931A7" w:rsidRDefault="00961AA0" w:rsidP="00DB5947">
            <w:pPr>
              <w:pStyle w:val="OikoTables02"/>
            </w:pPr>
            <w:r>
              <w:t>Box 1. Agroforestry models / systems not pre-selected for the MCA analysis</w:t>
            </w:r>
          </w:p>
        </w:tc>
      </w:tr>
      <w:tr w:rsidR="00961AA0" w:rsidRPr="000931A7" w14:paraId="6F7B0771" w14:textId="77777777" w:rsidTr="00DB5947">
        <w:tc>
          <w:tcPr>
            <w:tcW w:w="9628" w:type="dxa"/>
            <w:shd w:val="clear" w:color="auto" w:fill="FAEBE1" w:themeFill="accent3" w:themeFillTint="33"/>
          </w:tcPr>
          <w:p w14:paraId="35AE3C7A" w14:textId="741E4A84" w:rsidR="00961AA0" w:rsidRPr="00DB5947" w:rsidRDefault="00961AA0" w:rsidP="00DB5947">
            <w:pPr>
              <w:pStyle w:val="OikoTables03Content"/>
              <w:numPr>
                <w:ilvl w:val="0"/>
                <w:numId w:val="45"/>
              </w:numPr>
              <w:ind w:left="423"/>
              <w:rPr>
                <w:b/>
                <w:bCs/>
              </w:rPr>
            </w:pPr>
            <w:r w:rsidRPr="00DB5947">
              <w:rPr>
                <w:b/>
                <w:bCs/>
              </w:rPr>
              <w:t xml:space="preserve">Riparian agroforestry </w:t>
            </w:r>
          </w:p>
          <w:p w14:paraId="7852F281" w14:textId="77777777" w:rsidR="00961AA0" w:rsidRPr="00DB5947" w:rsidRDefault="00961AA0" w:rsidP="00DB5947">
            <w:pPr>
              <w:pStyle w:val="OikoTables03Content"/>
            </w:pPr>
            <w:r w:rsidRPr="00DB5947">
              <w:t xml:space="preserve">These systems involves planting trees along rivers, streams, or irrigation channels to stabilize banks and regulate water systems. In Mongolia, there are no structured riparian planting systems currently identified, but a limited presence of small-scale fruit tree planting, and few localized nurseries. </w:t>
            </w:r>
          </w:p>
          <w:p w14:paraId="0250CDBA" w14:textId="77777777" w:rsidR="00961AA0" w:rsidRPr="00DB5947" w:rsidRDefault="00961AA0" w:rsidP="00DB5947">
            <w:pPr>
              <w:pStyle w:val="OikoTables03Content"/>
            </w:pPr>
            <w:r w:rsidRPr="00DB5947">
              <w:t>Riparian systems were excluded from the analysis due to their lack of relevance in the arid conditions of Dundgovi and Uvurkhangai , where permanent water bodies are extremely limited.</w:t>
            </w:r>
          </w:p>
          <w:p w14:paraId="70F11629" w14:textId="77777777" w:rsidR="00961AA0" w:rsidRPr="00DB5947" w:rsidRDefault="00961AA0" w:rsidP="00DB5947">
            <w:pPr>
              <w:pStyle w:val="OikoTables03Content"/>
            </w:pPr>
            <w:r w:rsidRPr="00DB5947">
              <w:t xml:space="preserve">Furthermore, these systems are not designed for smallholder horticulture production, as their primary benefits are ecological rather than directly productive. </w:t>
            </w:r>
          </w:p>
          <w:p w14:paraId="6BEC0892" w14:textId="77777777" w:rsidR="00961AA0" w:rsidRPr="00DB5947" w:rsidRDefault="00961AA0" w:rsidP="00DB5947">
            <w:pPr>
              <w:pStyle w:val="OikoTables03Content"/>
            </w:pPr>
            <w:r w:rsidRPr="00DB5947">
              <w:t>Finally, riparian agroforestry systems are not yet established in Mongolia, increasing uncertainty in terms of technical feasibility and replication.</w:t>
            </w:r>
          </w:p>
          <w:p w14:paraId="1AE09B95" w14:textId="01DBC063" w:rsidR="00961AA0" w:rsidRPr="00DB5947" w:rsidRDefault="00961AA0" w:rsidP="00DB5947">
            <w:pPr>
              <w:pStyle w:val="OikoTables03Content"/>
              <w:numPr>
                <w:ilvl w:val="0"/>
                <w:numId w:val="45"/>
              </w:numPr>
              <w:ind w:left="423"/>
              <w:rPr>
                <w:b/>
                <w:bCs/>
              </w:rPr>
            </w:pPr>
            <w:r w:rsidRPr="00DB5947">
              <w:rPr>
                <w:b/>
                <w:bCs/>
              </w:rPr>
              <w:t>Hedgerows / field border</w:t>
            </w:r>
          </w:p>
          <w:p w14:paraId="35BD679D" w14:textId="77777777" w:rsidR="00961AA0" w:rsidRPr="00DB5947" w:rsidRDefault="00961AA0" w:rsidP="00DB5947">
            <w:pPr>
              <w:pStyle w:val="OikoTables03Content"/>
            </w:pPr>
            <w:r w:rsidRPr="00DB5947">
              <w:t xml:space="preserve">These models are linear strips of diverse shrubs &amp; trees, established along field edges. They are designed as multifunctional ecological features, prioritizing species diversity and habitat value, rather than aerodynamic efficiency. </w:t>
            </w:r>
          </w:p>
          <w:p w14:paraId="3D82E0C1" w14:textId="77777777" w:rsidR="00961AA0" w:rsidRPr="00DB5947" w:rsidRDefault="00961AA0" w:rsidP="00DB5947">
            <w:pPr>
              <w:pStyle w:val="OikoTables03Content"/>
            </w:pPr>
            <w:r w:rsidRPr="00DB5947">
              <w:t xml:space="preserve">Hedgerows were not included in this project because they are lower in height than windbreaks and therefore provide insufficient protection against wind for greenhouse systems, which is a critical requirement in the Southern Mongolian context. </w:t>
            </w:r>
          </w:p>
          <w:p w14:paraId="60F522A7" w14:textId="77777777" w:rsidR="00961AA0" w:rsidRPr="00DB5947" w:rsidRDefault="00961AA0" w:rsidP="00DB5947">
            <w:pPr>
              <w:pStyle w:val="OikoTables03Content"/>
            </w:pPr>
            <w:r w:rsidRPr="00DB5947">
              <w:t>In addition, hedgerows typically require more intensive maintenance and higher long-term water inputs, making them less suitable under conditions of water scarcity.</w:t>
            </w:r>
          </w:p>
          <w:p w14:paraId="647B766C" w14:textId="3B7F390C" w:rsidR="00961AA0" w:rsidRPr="000931A7" w:rsidRDefault="00961AA0" w:rsidP="00DB5947">
            <w:pPr>
              <w:pStyle w:val="OikoTables03Content"/>
            </w:pPr>
            <w:r w:rsidRPr="00DB5947">
              <w:t>However, to capture some of the ecological and productive benefits associated with hedgerows, the design will incorporate a diversity of useful and fruit-bearing shrubs and trees within the windbreak structure. This approach aims to combine functional protection with added biodiversity and productivity, while avoiding the main limitations of traditional hedgerow systems.</w:t>
            </w:r>
          </w:p>
        </w:tc>
      </w:tr>
    </w:tbl>
    <w:p w14:paraId="38C5F7B1" w14:textId="3A361C21" w:rsidR="00973853" w:rsidRPr="00E35798" w:rsidRDefault="00973853" w:rsidP="00EB489E"/>
    <w:p w14:paraId="3FA5535E" w14:textId="1037C001" w:rsidR="00875B59" w:rsidRDefault="00875B59" w:rsidP="00875B59">
      <w:pPr>
        <w:pStyle w:val="Heading3"/>
      </w:pPr>
      <w:bookmarkStart w:id="143" w:name="_Toc233981348"/>
      <w:r>
        <w:t>Multi-criteria analysis</w:t>
      </w:r>
      <w:bookmarkEnd w:id="143"/>
    </w:p>
    <w:p w14:paraId="4FE1CD34" w14:textId="7A7D9AB7" w:rsidR="0B505826" w:rsidRPr="001A0A3E" w:rsidRDefault="74A4DAB8" w:rsidP="00EB489E">
      <w:r>
        <w:t>The MCA aims to identify, evaluate, and prioritize agroforestry models that are technically feasible, climate-resilient, and economically viable for smallholder horticulture systems in southern Mongolia, with a specific focus on Dundgovi (arid/desert) and Uvurkhangai (semi-arid transition zone). The assessment is structured around four core objectives specified below.</w:t>
      </w:r>
    </w:p>
    <w:p w14:paraId="409F3C25" w14:textId="77777777" w:rsidR="00B8001B" w:rsidRDefault="00B8001B" w:rsidP="00EB489E">
      <w:pPr>
        <w:rPr>
          <w:rFonts w:eastAsia="Times New Roman" w:cs="Times New Roman"/>
          <w:b/>
          <w:bCs/>
        </w:rPr>
      </w:pPr>
    </w:p>
    <w:p w14:paraId="5A461C8F" w14:textId="3739D4A3" w:rsidR="004E30A5" w:rsidRPr="00490AFE" w:rsidRDefault="5564C176" w:rsidP="00EB489E">
      <w:pPr>
        <w:rPr>
          <w:lang w:val="en-US"/>
        </w:rPr>
      </w:pPr>
      <w:r>
        <w:rPr>
          <w:rFonts w:eastAsia="Times New Roman" w:cs="Times New Roman"/>
          <w:b/>
          <w:bCs/>
        </w:rPr>
        <w:t xml:space="preserve">Objective 1: Adaptation to arid and semi-arid conditions </w:t>
      </w:r>
      <w:r>
        <w:rPr>
          <w:rFonts w:eastAsia="Times New Roman" w:cs="Times New Roman"/>
        </w:rPr>
        <w:t>(</w:t>
      </w:r>
      <w:r>
        <w:rPr>
          <w:lang w:val="en-US"/>
        </w:rPr>
        <w:t>identify agroforestry models that are ecologically adapted to extreme climatic constraints, including low precipitation, high evapotranspiration, strong winds, and soil degradation).</w:t>
      </w:r>
    </w:p>
    <w:p w14:paraId="19618A33" w14:textId="76BF614F" w:rsidR="004E30A5" w:rsidRPr="000931A7" w:rsidRDefault="004E30A5" w:rsidP="006342DD">
      <w:pPr>
        <w:pStyle w:val="ListParagraph"/>
        <w:numPr>
          <w:ilvl w:val="0"/>
          <w:numId w:val="35"/>
        </w:numPr>
        <w:spacing w:after="120" w:line="240" w:lineRule="auto"/>
        <w:ind w:left="426"/>
        <w:contextualSpacing w:val="0"/>
        <w:rPr>
          <w:rFonts w:eastAsia="Times New Roman" w:cs="Times New Roman"/>
          <w:lang w:val="en-US"/>
        </w:rPr>
      </w:pPr>
      <w:r>
        <w:rPr>
          <w:rFonts w:eastAsia="Times New Roman" w:cs="Times New Roman"/>
          <w:lang w:val="en-US"/>
        </w:rPr>
        <w:t xml:space="preserve">Dundgovi (desert/arid zone), focus on wind erosion control, sand stabilization, protection of crops and infrastructure and selection of drought-resistant and salt-tolerant species (e.g., </w:t>
      </w:r>
      <w:r>
        <w:rPr>
          <w:rFonts w:eastAsia="Times New Roman" w:cs="Times New Roman"/>
          <w:i/>
          <w:iCs/>
          <w:lang w:val="en-US"/>
        </w:rPr>
        <w:t xml:space="preserve">Caragana, </w:t>
      </w:r>
      <w:proofErr w:type="spellStart"/>
      <w:r>
        <w:rPr>
          <w:rFonts w:eastAsia="Times New Roman" w:cs="Times New Roman"/>
          <w:i/>
          <w:iCs/>
          <w:lang w:val="en-US"/>
        </w:rPr>
        <w:t>Haloxylon</w:t>
      </w:r>
      <w:proofErr w:type="spellEnd"/>
      <w:r>
        <w:rPr>
          <w:rFonts w:eastAsia="Times New Roman" w:cs="Times New Roman"/>
          <w:i/>
          <w:iCs/>
          <w:lang w:val="en-US"/>
        </w:rPr>
        <w:t xml:space="preserve">, </w:t>
      </w:r>
      <w:proofErr w:type="spellStart"/>
      <w:r>
        <w:rPr>
          <w:rFonts w:eastAsia="Times New Roman" w:cs="Times New Roman"/>
          <w:i/>
          <w:iCs/>
          <w:lang w:val="en-US"/>
        </w:rPr>
        <w:t>Tamarix</w:t>
      </w:r>
      <w:proofErr w:type="spellEnd"/>
      <w:r>
        <w:rPr>
          <w:rFonts w:eastAsia="Times New Roman" w:cs="Times New Roman"/>
          <w:lang w:val="en-US"/>
        </w:rPr>
        <w:t>)</w:t>
      </w:r>
    </w:p>
    <w:p w14:paraId="242CE14B" w14:textId="68DBB248" w:rsidR="004E30A5" w:rsidRDefault="00B12E62" w:rsidP="006342DD">
      <w:pPr>
        <w:pStyle w:val="ListParagraph"/>
        <w:numPr>
          <w:ilvl w:val="0"/>
          <w:numId w:val="35"/>
        </w:numPr>
        <w:spacing w:after="120" w:line="240" w:lineRule="auto"/>
        <w:ind w:left="426"/>
        <w:contextualSpacing w:val="0"/>
        <w:rPr>
          <w:rFonts w:eastAsia="Times New Roman" w:cs="Times New Roman"/>
          <w:lang w:val="en-US"/>
        </w:rPr>
      </w:pPr>
      <w:r>
        <w:rPr>
          <w:rFonts w:eastAsia="Times New Roman" w:cs="Times New Roman"/>
          <w:lang w:val="en-US"/>
        </w:rPr>
        <w:t>Uvurkhangai (semi-arid zone), enable more diversified systems: focus on wind erosion control, soil protection against erosion/rains, protection of crops and infrastructure (greenhouse) and greater potential for tree-crop &amp; fruits tree integration under irrigation.</w:t>
      </w:r>
    </w:p>
    <w:p w14:paraId="61A5920C" w14:textId="060E20A2" w:rsidR="00D4380B" w:rsidRPr="001A0A3E" w:rsidRDefault="79236B8A" w:rsidP="00EB489E">
      <w:pPr>
        <w:rPr>
          <w:lang w:val="en-US"/>
        </w:rPr>
      </w:pPr>
      <w:r>
        <w:rPr>
          <w:rFonts w:eastAsia="Times New Roman" w:cs="Times New Roman"/>
          <w:b/>
          <w:bCs/>
        </w:rPr>
        <w:t xml:space="preserve">Objective 2: Compatibility with smallholder improved horticulture systems </w:t>
      </w:r>
      <w:r>
        <w:rPr>
          <w:rFonts w:eastAsia="Times New Roman" w:cs="Times New Roman"/>
        </w:rPr>
        <w:t>(</w:t>
      </w:r>
      <w:r>
        <w:rPr>
          <w:lang w:val="en-US"/>
        </w:rPr>
        <w:t>ensure selected models are adapted to small-scale vegetable production systems, which are central to local livelihoods and food security.)</w:t>
      </w:r>
    </w:p>
    <w:p w14:paraId="55B5935D" w14:textId="66065C46" w:rsidR="00973853" w:rsidRPr="00E35798" w:rsidRDefault="00810D1F" w:rsidP="00810D1F">
      <w:pPr>
        <w:spacing w:before="120" w:after="120" w:line="240" w:lineRule="auto"/>
        <w:contextualSpacing w:val="0"/>
      </w:pPr>
      <w:r>
        <w:rPr>
          <w:lang w:val="en-US"/>
        </w:rPr>
        <w:t xml:space="preserve">Model selection should be suitable </w:t>
      </w:r>
      <w:proofErr w:type="gramStart"/>
      <w:r>
        <w:rPr>
          <w:lang w:val="en-US"/>
        </w:rPr>
        <w:t>to</w:t>
      </w:r>
      <w:proofErr w:type="gramEnd"/>
      <w:r>
        <w:rPr>
          <w:lang w:val="en-US"/>
        </w:rPr>
        <w:t xml:space="preserve"> smallholder farmers with limited land, capital, and access to technology. Preference for modular and scalable systems, including integration of vegetable production systems (</w:t>
      </w:r>
      <w:proofErr w:type="gramStart"/>
      <w:r>
        <w:rPr>
          <w:lang w:val="en-US"/>
        </w:rPr>
        <w:t>open-field</w:t>
      </w:r>
      <w:proofErr w:type="gramEnd"/>
      <w:r>
        <w:rPr>
          <w:lang w:val="en-US"/>
        </w:rPr>
        <w:t xml:space="preserve"> + greenhouse), fruit trees and multipurpose shrubs. Furthermore, following a system </w:t>
      </w:r>
      <w:r>
        <w:t>integration approach, agroforestry models must support (</w:t>
      </w:r>
      <w:proofErr w:type="spellStart"/>
      <w:r>
        <w:t>i</w:t>
      </w:r>
      <w:proofErr w:type="spellEnd"/>
      <w:r>
        <w:t xml:space="preserve">) </w:t>
      </w:r>
      <w:r>
        <w:rPr>
          <w:lang w:val="en-US"/>
        </w:rPr>
        <w:t>diversification of crops (leafy greens, root vegetables, fruit crops), (ii) increased productivity per unit area and (iii) improved microclimate for sensitive crops</w:t>
      </w:r>
      <w:r>
        <w:t>.</w:t>
      </w:r>
    </w:p>
    <w:p w14:paraId="0889D2FB" w14:textId="09223790" w:rsidR="00845EE8" w:rsidRPr="00810D1F" w:rsidRDefault="3F4831BC" w:rsidP="00810D1F">
      <w:pPr>
        <w:spacing w:before="120" w:after="120" w:line="240" w:lineRule="auto"/>
        <w:contextualSpacing w:val="0"/>
        <w:rPr>
          <w:lang w:val="en-US"/>
        </w:rPr>
      </w:pPr>
      <w:r>
        <w:rPr>
          <w:rFonts w:eastAsia="Times New Roman" w:cs="Times New Roman"/>
          <w:b/>
          <w:bCs/>
        </w:rPr>
        <w:t xml:space="preserve">Objective 3: Climate resilience and risk reduction </w:t>
      </w:r>
      <w:r>
        <w:rPr>
          <w:rFonts w:eastAsia="Times New Roman" w:cs="Times New Roman"/>
        </w:rPr>
        <w:t>(</w:t>
      </w:r>
      <w:r>
        <w:rPr>
          <w:lang w:val="en-US"/>
        </w:rPr>
        <w:t>enhance the resilience of farming systems to climate variability, extreme events, and long-term environmental degradation.</w:t>
      </w:r>
    </w:p>
    <w:p w14:paraId="7614D3DE" w14:textId="146A5D5B" w:rsidR="00A976F7" w:rsidRDefault="00A976F7" w:rsidP="003A0149">
      <w:pPr>
        <w:pStyle w:val="ListBullet2"/>
        <w:rPr>
          <w:lang w:val="en-US"/>
        </w:rPr>
      </w:pPr>
      <w:r>
        <w:rPr>
          <w:lang w:val="en-US"/>
        </w:rPr>
        <w:t>Irrigation systems - solar-powered micro-irrigation (drip systems) should be introduced and configured for o</w:t>
      </w:r>
      <w:proofErr w:type="spellStart"/>
      <w:r>
        <w:t>ptimised</w:t>
      </w:r>
      <w:proofErr w:type="spellEnd"/>
      <w:r>
        <w:t xml:space="preserve"> water use, r</w:t>
      </w:r>
      <w:r>
        <w:rPr>
          <w:lang w:val="en-US"/>
        </w:rPr>
        <w:t>educed dependency on diesel or unreliable energy, and increased efficiency under water scarcity;</w:t>
      </w:r>
    </w:p>
    <w:p w14:paraId="7031BAF4" w14:textId="77777777" w:rsidR="00810D1F" w:rsidRDefault="00810D1F" w:rsidP="003A0149">
      <w:pPr>
        <w:pStyle w:val="ListBullet2"/>
        <w:rPr>
          <w:rFonts w:eastAsia="Times New Roman" w:cs="Times New Roman"/>
        </w:rPr>
      </w:pPr>
      <w:r>
        <w:rPr>
          <w:lang w:val="en-US"/>
        </w:rPr>
        <w:t xml:space="preserve">Greenhouse systems - Deployment of climate-resilient greenhouses (solar passive types) for extension of the </w:t>
      </w:r>
      <w:r>
        <w:rPr>
          <w:rFonts w:eastAsia="Times New Roman" w:cs="Times New Roman"/>
          <w:lang w:val="en-US"/>
        </w:rPr>
        <w:t xml:space="preserve">growing season (beyond 90–120 days), protection against frost, wind, and dust storms, and </w:t>
      </w:r>
      <w:proofErr w:type="spellStart"/>
      <w:r>
        <w:rPr>
          <w:rFonts w:eastAsia="Times New Roman" w:cs="Times New Roman"/>
          <w:lang w:val="en-US"/>
        </w:rPr>
        <w:t>i</w:t>
      </w:r>
      <w:r>
        <w:rPr>
          <w:rFonts w:eastAsia="Times New Roman" w:cs="Times New Roman"/>
        </w:rPr>
        <w:t>ncreased</w:t>
      </w:r>
      <w:proofErr w:type="spellEnd"/>
      <w:r>
        <w:rPr>
          <w:rFonts w:eastAsia="Times New Roman" w:cs="Times New Roman"/>
        </w:rPr>
        <w:t xml:space="preserve"> crop diversity.</w:t>
      </w:r>
    </w:p>
    <w:p w14:paraId="3FF55988" w14:textId="77777777" w:rsidR="00810D1F" w:rsidRDefault="00A976F7" w:rsidP="003A0149">
      <w:pPr>
        <w:pStyle w:val="ListBullet2"/>
        <w:rPr>
          <w:rFonts w:eastAsia="Times New Roman" w:cs="Times New Roman"/>
        </w:rPr>
      </w:pPr>
      <w:r>
        <w:t>Agroforestry functions include w</w:t>
      </w:r>
      <w:r>
        <w:rPr>
          <w:rFonts w:eastAsia="Times New Roman" w:cs="Times New Roman"/>
        </w:rPr>
        <w:t>ind protection (windbreaks), soil stabilization and moisture retention, and microclimate regulation</w:t>
      </w:r>
    </w:p>
    <w:p w14:paraId="59A64FCC" w14:textId="67435EDB" w:rsidR="00A976F7" w:rsidRPr="00810D1F" w:rsidRDefault="00A976F7" w:rsidP="003A0149">
      <w:pPr>
        <w:pStyle w:val="ListBullet2"/>
        <w:rPr>
          <w:lang w:val="en-US"/>
        </w:rPr>
      </w:pPr>
      <w:r>
        <w:rPr>
          <w:lang w:val="en-US"/>
        </w:rPr>
        <w:lastRenderedPageBreak/>
        <w:t>Risk management mechanisms include development of agricultural insurance schemes for coverage against drought, extreme weather, crop failure, r</w:t>
      </w:r>
      <w:proofErr w:type="spellStart"/>
      <w:r>
        <w:t>eduction</w:t>
      </w:r>
      <w:proofErr w:type="spellEnd"/>
      <w:r>
        <w:t xml:space="preserve"> of financial vulnerability and e</w:t>
      </w:r>
      <w:proofErr w:type="spellStart"/>
      <w:r>
        <w:rPr>
          <w:lang w:val="en-US"/>
        </w:rPr>
        <w:t>nabling</w:t>
      </w:r>
      <w:proofErr w:type="spellEnd"/>
      <w:r>
        <w:rPr>
          <w:lang w:val="en-US"/>
        </w:rPr>
        <w:t xml:space="preserve"> investment in improved systems.</w:t>
      </w:r>
    </w:p>
    <w:p w14:paraId="4791242D" w14:textId="40437ABC" w:rsidR="00973853" w:rsidRPr="00810D1F" w:rsidRDefault="48F90649" w:rsidP="00810D1F">
      <w:pPr>
        <w:spacing w:before="120" w:after="120" w:line="240" w:lineRule="auto"/>
        <w:contextualSpacing w:val="0"/>
      </w:pPr>
      <w:r>
        <w:rPr>
          <w:rFonts w:eastAsia="Times New Roman" w:cs="Times New Roman"/>
          <w:b/>
          <w:bCs/>
        </w:rPr>
        <w:t xml:space="preserve">Objective 4- Economic viability and livelihood impact </w:t>
      </w:r>
      <w:r>
        <w:rPr>
          <w:rFonts w:eastAsia="Times New Roman" w:cs="Times New Roman"/>
        </w:rPr>
        <w:t>(</w:t>
      </w:r>
      <w:r>
        <w:t>identify agroforestry models that are financially sustainable and capable of improving smallholder incomes.)</w:t>
      </w:r>
    </w:p>
    <w:p w14:paraId="1D835032" w14:textId="77777777" w:rsidR="00947253" w:rsidRDefault="005778F1" w:rsidP="00EB489E">
      <w:r>
        <w:t xml:space="preserve">Operational considerations include evaluation of initial investment costs (trees, irrigation, greenhouse infrastructure), operation and maintenance costs, and payback period (short vs long-term benefits), whereas income diversification pathways target vegetable production for short-term, fruit production in the medium-term and fuelwood / biomass for long-term incomes. </w:t>
      </w:r>
    </w:p>
    <w:p w14:paraId="313EC34C" w14:textId="1CF27BC7" w:rsidR="005778F1" w:rsidRDefault="005778F1" w:rsidP="00EB489E">
      <w:r>
        <w:rPr>
          <w:lang w:val="en-US"/>
        </w:rPr>
        <w:t xml:space="preserve">The combination of agroforestry + irrigation + greenhouse creates synergies that enhance profitability, by </w:t>
      </w:r>
      <w:r>
        <w:t>increasing productivity, stabilizing yields and extending market supply periods.</w:t>
      </w:r>
    </w:p>
    <w:p w14:paraId="4582040B" w14:textId="77777777" w:rsidR="003A0149" w:rsidRDefault="003A0149" w:rsidP="00EB489E">
      <w:pPr>
        <w:rPr>
          <w:b/>
          <w:bCs/>
        </w:rPr>
      </w:pPr>
    </w:p>
    <w:p w14:paraId="28141A0C" w14:textId="4679B0D7" w:rsidR="00947253" w:rsidRPr="00C118C0" w:rsidRDefault="00947253" w:rsidP="00EB489E">
      <w:pPr>
        <w:rPr>
          <w:lang w:val="en-US"/>
        </w:rPr>
      </w:pPr>
      <w:r>
        <w:rPr>
          <w:b/>
          <w:bCs/>
        </w:rPr>
        <w:t xml:space="preserve">Rationale for criteria selection: </w:t>
      </w:r>
      <w:r>
        <w:rPr>
          <w:lang w:val="en-US"/>
        </w:rPr>
        <w:t>The selection of MCA criteria is based on a combination of:</w:t>
      </w:r>
    </w:p>
    <w:p w14:paraId="2637F9A1" w14:textId="77777777" w:rsidR="00947253" w:rsidRPr="00C118C0" w:rsidRDefault="00947253" w:rsidP="003A0149">
      <w:pPr>
        <w:pStyle w:val="ListBullet2"/>
        <w:rPr>
          <w:lang w:val="en-US"/>
        </w:rPr>
      </w:pPr>
      <w:r>
        <w:rPr>
          <w:lang w:val="en-US"/>
        </w:rPr>
        <w:t>Project objectives (climate resilience, productivity, and farmer adoption)</w:t>
      </w:r>
    </w:p>
    <w:p w14:paraId="4C7062F7" w14:textId="77777777" w:rsidR="00947253" w:rsidRPr="00C118C0" w:rsidRDefault="00947253" w:rsidP="003A0149">
      <w:pPr>
        <w:pStyle w:val="ListBullet2"/>
        <w:rPr>
          <w:lang w:val="en-US"/>
        </w:rPr>
      </w:pPr>
      <w:r>
        <w:rPr>
          <w:lang w:val="en-US"/>
        </w:rPr>
        <w:t>Biophysical constraints of the target area (arid conditions, water scarcity, soil degradation)</w:t>
      </w:r>
    </w:p>
    <w:p w14:paraId="0E917088" w14:textId="46B5B6EF" w:rsidR="00947253" w:rsidRPr="00C118C0" w:rsidRDefault="00947253" w:rsidP="003A0149">
      <w:pPr>
        <w:pStyle w:val="ListBullet2"/>
        <w:rPr>
          <w:b/>
          <w:bCs/>
          <w:lang w:val="en-US"/>
        </w:rPr>
      </w:pPr>
      <w:r>
        <w:rPr>
          <w:lang w:val="en-US"/>
        </w:rPr>
        <w:t>Insights from project documents and stakeholder consultations, and</w:t>
      </w:r>
    </w:p>
    <w:p w14:paraId="7C96B9DD" w14:textId="77777777" w:rsidR="00947253" w:rsidRPr="00C118C0" w:rsidRDefault="00947253" w:rsidP="003A0149">
      <w:pPr>
        <w:pStyle w:val="ListBullet2"/>
        <w:rPr>
          <w:lang w:val="en-US"/>
        </w:rPr>
      </w:pPr>
      <w:r>
        <w:rPr>
          <w:lang w:val="en-US"/>
        </w:rPr>
        <w:t>Ecosystem-based Adaptation (</w:t>
      </w:r>
      <w:proofErr w:type="spellStart"/>
      <w:r>
        <w:rPr>
          <w:lang w:val="en-US"/>
        </w:rPr>
        <w:t>EbA</w:t>
      </w:r>
      <w:proofErr w:type="spellEnd"/>
      <w:r>
        <w:rPr>
          <w:lang w:val="en-US"/>
        </w:rPr>
        <w:t>) principles</w:t>
      </w:r>
      <w:r>
        <w:rPr>
          <w:b/>
          <w:bCs/>
          <w:lang w:val="en-US"/>
        </w:rPr>
        <w:t>,</w:t>
      </w:r>
      <w:r>
        <w:rPr>
          <w:lang w:val="en-US"/>
        </w:rPr>
        <w:t xml:space="preserve"> which emphasize multi-functional benefits</w:t>
      </w:r>
    </w:p>
    <w:p w14:paraId="7F51CB27" w14:textId="4F04FF3B" w:rsidR="00947253" w:rsidRPr="00947253" w:rsidRDefault="00947253" w:rsidP="00947253">
      <w:pPr>
        <w:spacing w:before="120" w:after="120" w:line="240" w:lineRule="auto"/>
        <w:contextualSpacing w:val="0"/>
        <w:rPr>
          <w:rFonts w:eastAsia="Times New Roman" w:cs="Times New Roman"/>
          <w:b/>
          <w:bCs/>
          <w:lang w:val="en-US"/>
        </w:rPr>
      </w:pPr>
      <w:r>
        <w:rPr>
          <w:rFonts w:eastAsia="Times New Roman" w:cs="Times New Roman"/>
          <w:lang w:val="en-US"/>
        </w:rPr>
        <w:t xml:space="preserve">Given the context of Dundgovi and Uvurkhangai, where water scarcity and climate variability are the dominant constraints, the criteria were designed to capture both short-term feasibility and adoption potential and long-term resilience and ecosystem benefits. The final set of criteria reflects a balance between environmental performance, economic viability, and </w:t>
      </w:r>
      <w:proofErr w:type="gramStart"/>
      <w:r>
        <w:rPr>
          <w:rFonts w:eastAsia="Times New Roman" w:cs="Times New Roman"/>
          <w:lang w:val="en-US"/>
        </w:rPr>
        <w:t>implementation practicality</w:t>
      </w:r>
      <w:proofErr w:type="gramEnd"/>
      <w:r>
        <w:rPr>
          <w:rFonts w:eastAsia="Times New Roman" w:cs="Times New Roman"/>
          <w:b/>
          <w:bCs/>
          <w:lang w:val="en-US"/>
        </w:rPr>
        <w:t xml:space="preserve">. </w:t>
      </w:r>
    </w:p>
    <w:p w14:paraId="616F541E" w14:textId="23185FAE" w:rsidR="00886069" w:rsidRDefault="00886069" w:rsidP="00D16E24">
      <w:pPr>
        <w:pStyle w:val="Caption"/>
        <w:keepNext/>
        <w:framePr w:wrap="notBeside"/>
        <w:spacing w:after="120"/>
        <w:contextualSpacing w:val="0"/>
      </w:pPr>
      <w:r>
        <w:t xml:space="preserve">Table </w:t>
      </w:r>
      <w:r w:rsidR="00001399">
        <w:t>41</w:t>
      </w:r>
      <w:r>
        <w:t xml:space="preserve"> Definitions and weights of the criteria used in the agroforestry MCA</w:t>
      </w:r>
    </w:p>
    <w:tbl>
      <w:tblPr>
        <w:tblStyle w:val="PlainTable2"/>
        <w:tblW w:w="5000" w:type="pct"/>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1274"/>
        <w:gridCol w:w="2271"/>
        <w:gridCol w:w="850"/>
        <w:gridCol w:w="1457"/>
        <w:gridCol w:w="3786"/>
      </w:tblGrid>
      <w:tr w:rsidR="004E37D3" w:rsidRPr="00E35798" w14:paraId="5E1E59BA" w14:textId="3C5F7159" w:rsidTr="00CA6414">
        <w:trPr>
          <w:cnfStyle w:val="100000000000" w:firstRow="1" w:lastRow="0" w:firstColumn="0" w:lastColumn="0" w:oddVBand="0" w:evenVBand="0" w:oddHBand="0" w:evenHBand="0" w:firstRowFirstColumn="0" w:firstRowLastColumn="0" w:lastRowFirstColumn="0" w:lastRowLastColumn="0"/>
          <w:trHeight w:val="307"/>
          <w:tblHeader/>
        </w:trPr>
        <w:tc>
          <w:tcPr>
            <w:cnfStyle w:val="001000000000" w:firstRow="0" w:lastRow="0" w:firstColumn="1" w:lastColumn="0" w:oddVBand="0" w:evenVBand="0" w:oddHBand="0" w:evenHBand="0" w:firstRowFirstColumn="0" w:firstRowLastColumn="0" w:lastRowFirstColumn="0" w:lastRowLastColumn="0"/>
            <w:tcW w:w="661" w:type="pct"/>
            <w:tcBorders>
              <w:bottom w:val="none" w:sz="0" w:space="0" w:color="auto"/>
            </w:tcBorders>
            <w:shd w:val="clear" w:color="auto" w:fill="E99E6D" w:themeFill="accent3"/>
            <w:vAlign w:val="center"/>
            <w:hideMark/>
          </w:tcPr>
          <w:p w14:paraId="71030852" w14:textId="77777777" w:rsidR="004E37D3" w:rsidRPr="00E35798" w:rsidRDefault="004E37D3" w:rsidP="00D16E24">
            <w:pPr>
              <w:pStyle w:val="OikoTables03Content"/>
              <w:spacing w:after="120" w:line="240" w:lineRule="auto"/>
              <w:rPr>
                <w:lang w:val="en-GB"/>
              </w:rPr>
            </w:pPr>
            <w:r>
              <w:rPr>
                <w:lang w:val="en-GB"/>
              </w:rPr>
              <w:t>Criterion</w:t>
            </w:r>
          </w:p>
        </w:tc>
        <w:tc>
          <w:tcPr>
            <w:tcW w:w="1178" w:type="pct"/>
            <w:tcBorders>
              <w:bottom w:val="none" w:sz="0" w:space="0" w:color="auto"/>
            </w:tcBorders>
            <w:shd w:val="clear" w:color="auto" w:fill="E99E6D" w:themeFill="accent3"/>
            <w:vAlign w:val="center"/>
            <w:hideMark/>
          </w:tcPr>
          <w:p w14:paraId="1C632C39" w14:textId="77777777" w:rsidR="004E37D3" w:rsidRPr="00E35798" w:rsidRDefault="004E37D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Description</w:t>
            </w:r>
          </w:p>
        </w:tc>
        <w:tc>
          <w:tcPr>
            <w:tcW w:w="441" w:type="pct"/>
            <w:tcBorders>
              <w:bottom w:val="none" w:sz="0" w:space="0" w:color="auto"/>
            </w:tcBorders>
            <w:shd w:val="clear" w:color="auto" w:fill="E99E6D" w:themeFill="accent3"/>
            <w:vAlign w:val="center"/>
            <w:hideMark/>
          </w:tcPr>
          <w:p w14:paraId="23A4590E" w14:textId="77777777" w:rsidR="004E37D3" w:rsidRPr="00E35798" w:rsidRDefault="004E37D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Weight</w:t>
            </w:r>
          </w:p>
        </w:tc>
        <w:tc>
          <w:tcPr>
            <w:tcW w:w="756" w:type="pct"/>
            <w:tcBorders>
              <w:bottom w:val="none" w:sz="0" w:space="0" w:color="auto"/>
            </w:tcBorders>
            <w:shd w:val="clear" w:color="auto" w:fill="E99E6D" w:themeFill="accent3"/>
            <w:noWrap/>
            <w:vAlign w:val="center"/>
            <w:hideMark/>
          </w:tcPr>
          <w:p w14:paraId="72F93976" w14:textId="77777777" w:rsidR="004E37D3" w:rsidRPr="00E35798" w:rsidRDefault="004E37D3"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Justification</w:t>
            </w:r>
          </w:p>
        </w:tc>
        <w:tc>
          <w:tcPr>
            <w:tcW w:w="1964" w:type="pct"/>
            <w:tcBorders>
              <w:bottom w:val="none" w:sz="0" w:space="0" w:color="auto"/>
            </w:tcBorders>
            <w:shd w:val="clear" w:color="auto" w:fill="E99E6D" w:themeFill="accent3"/>
          </w:tcPr>
          <w:p w14:paraId="348C2605" w14:textId="61C199ED" w:rsidR="004E37D3" w:rsidRPr="00E35798" w:rsidRDefault="00391DFF"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Weight Derivation Explanation</w:t>
            </w:r>
          </w:p>
        </w:tc>
      </w:tr>
      <w:tr w:rsidR="00895F76" w:rsidRPr="00E35798" w14:paraId="66B897F2" w14:textId="6CDBFECD" w:rsidTr="003A014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61" w:type="pct"/>
            <w:tcBorders>
              <w:top w:val="none" w:sz="0" w:space="0" w:color="auto"/>
              <w:bottom w:val="none" w:sz="0" w:space="0" w:color="auto"/>
            </w:tcBorders>
            <w:hideMark/>
          </w:tcPr>
          <w:p w14:paraId="4D652A22" w14:textId="55C90AC5" w:rsidR="00895F76" w:rsidRPr="0006389F" w:rsidRDefault="00895F76" w:rsidP="00D16E24">
            <w:pPr>
              <w:pStyle w:val="OikoTables03Content"/>
              <w:spacing w:after="120" w:line="240" w:lineRule="auto"/>
              <w:rPr>
                <w:b w:val="0"/>
                <w:bCs w:val="0"/>
                <w:lang w:val="en-GB"/>
              </w:rPr>
            </w:pPr>
            <w:r>
              <w:rPr>
                <w:b w:val="0"/>
                <w:bCs w:val="0"/>
              </w:rPr>
              <w:t>Water efficiency</w:t>
            </w:r>
          </w:p>
        </w:tc>
        <w:tc>
          <w:tcPr>
            <w:tcW w:w="1178" w:type="pct"/>
            <w:tcBorders>
              <w:top w:val="none" w:sz="0" w:space="0" w:color="auto"/>
              <w:bottom w:val="none" w:sz="0" w:space="0" w:color="auto"/>
            </w:tcBorders>
            <w:hideMark/>
          </w:tcPr>
          <w:p w14:paraId="3D0E33F7" w14:textId="3CAAF082"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Ability to reduce water demand and improve retention</w:t>
            </w:r>
          </w:p>
        </w:tc>
        <w:tc>
          <w:tcPr>
            <w:tcW w:w="441" w:type="pct"/>
            <w:tcBorders>
              <w:top w:val="none" w:sz="0" w:space="0" w:color="auto"/>
              <w:bottom w:val="none" w:sz="0" w:space="0" w:color="auto"/>
            </w:tcBorders>
            <w:hideMark/>
          </w:tcPr>
          <w:p w14:paraId="64EC6DDC" w14:textId="29903ACE"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0.20</w:t>
            </w:r>
          </w:p>
        </w:tc>
        <w:tc>
          <w:tcPr>
            <w:tcW w:w="756" w:type="pct"/>
            <w:tcBorders>
              <w:top w:val="none" w:sz="0" w:space="0" w:color="auto"/>
              <w:bottom w:val="none" w:sz="0" w:space="0" w:color="auto"/>
            </w:tcBorders>
            <w:hideMark/>
          </w:tcPr>
          <w:p w14:paraId="5D3F76AC" w14:textId="5699AC5C"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Critical limiting factor in arid systems</w:t>
            </w:r>
          </w:p>
        </w:tc>
        <w:tc>
          <w:tcPr>
            <w:tcW w:w="1964" w:type="pct"/>
            <w:tcBorders>
              <w:top w:val="none" w:sz="0" w:space="0" w:color="auto"/>
              <w:bottom w:val="none" w:sz="0" w:space="0" w:color="auto"/>
            </w:tcBorders>
          </w:tcPr>
          <w:p w14:paraId="4ECAFE99" w14:textId="16AE5102"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Assigned highest weight due to water being the primary limiting factor in Dundgovi and Uvurkhangai. In arid systems, productivity and survival are directly constrained by water availability, making this criterion a top priority in decision-making.</w:t>
            </w:r>
          </w:p>
        </w:tc>
      </w:tr>
      <w:tr w:rsidR="00895F76" w:rsidRPr="00E35798" w14:paraId="1AF53DDA" w14:textId="54F2E08F" w:rsidTr="003A0149">
        <w:trPr>
          <w:trHeight w:val="497"/>
        </w:trPr>
        <w:tc>
          <w:tcPr>
            <w:cnfStyle w:val="001000000000" w:firstRow="0" w:lastRow="0" w:firstColumn="1" w:lastColumn="0" w:oddVBand="0" w:evenVBand="0" w:oddHBand="0" w:evenHBand="0" w:firstRowFirstColumn="0" w:firstRowLastColumn="0" w:lastRowFirstColumn="0" w:lastRowLastColumn="0"/>
            <w:tcW w:w="661" w:type="pct"/>
            <w:hideMark/>
          </w:tcPr>
          <w:p w14:paraId="52AA1B98" w14:textId="0159FE82" w:rsidR="00895F76" w:rsidRPr="0006389F" w:rsidRDefault="00895F76" w:rsidP="00D16E24">
            <w:pPr>
              <w:pStyle w:val="OikoTables03Content"/>
              <w:spacing w:after="120" w:line="240" w:lineRule="auto"/>
              <w:rPr>
                <w:b w:val="0"/>
                <w:bCs w:val="0"/>
                <w:lang w:val="en-GB"/>
              </w:rPr>
            </w:pPr>
            <w:r>
              <w:rPr>
                <w:b w:val="0"/>
                <w:bCs w:val="0"/>
              </w:rPr>
              <w:t>Climate resilience</w:t>
            </w:r>
          </w:p>
        </w:tc>
        <w:tc>
          <w:tcPr>
            <w:tcW w:w="1178" w:type="pct"/>
            <w:hideMark/>
          </w:tcPr>
          <w:p w14:paraId="62F179A6" w14:textId="1545EEC8"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Resistance to drought, wind, temperature extremes</w:t>
            </w:r>
          </w:p>
        </w:tc>
        <w:tc>
          <w:tcPr>
            <w:tcW w:w="441" w:type="pct"/>
            <w:hideMark/>
          </w:tcPr>
          <w:p w14:paraId="64D4B091" w14:textId="3858E5C3"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0.20</w:t>
            </w:r>
          </w:p>
        </w:tc>
        <w:tc>
          <w:tcPr>
            <w:tcW w:w="756" w:type="pct"/>
            <w:hideMark/>
          </w:tcPr>
          <w:p w14:paraId="4E868DA8" w14:textId="711DC5B5"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Determines survival of systems</w:t>
            </w:r>
          </w:p>
        </w:tc>
        <w:tc>
          <w:tcPr>
            <w:tcW w:w="1964" w:type="pct"/>
          </w:tcPr>
          <w:p w14:paraId="049D9DFA" w14:textId="1E36B6CE"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 xml:space="preserve">Weighted equally to water efficiency as climate extremes (drought, wind, </w:t>
            </w:r>
            <w:proofErr w:type="spellStart"/>
            <w:r>
              <w:t>dzud</w:t>
            </w:r>
            <w:proofErr w:type="spellEnd"/>
            <w:r>
              <w:t>) are the main drivers of crop and system failure. Ensures prioritization of systems capable of withstanding extreme climatic variability.</w:t>
            </w:r>
          </w:p>
        </w:tc>
      </w:tr>
      <w:tr w:rsidR="00895F76" w:rsidRPr="00E35798" w14:paraId="531BABDA" w14:textId="2BC847FC" w:rsidTr="003A014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61" w:type="pct"/>
            <w:tcBorders>
              <w:top w:val="none" w:sz="0" w:space="0" w:color="auto"/>
              <w:bottom w:val="none" w:sz="0" w:space="0" w:color="auto"/>
            </w:tcBorders>
            <w:hideMark/>
          </w:tcPr>
          <w:p w14:paraId="4D52832D" w14:textId="3F1FEBF6" w:rsidR="00895F76" w:rsidRPr="0006389F" w:rsidRDefault="00895F76" w:rsidP="00D16E24">
            <w:pPr>
              <w:pStyle w:val="OikoTables03Content"/>
              <w:spacing w:after="120" w:line="240" w:lineRule="auto"/>
              <w:rPr>
                <w:b w:val="0"/>
                <w:bCs w:val="0"/>
                <w:lang w:val="en-GB"/>
              </w:rPr>
            </w:pPr>
            <w:r>
              <w:rPr>
                <w:b w:val="0"/>
                <w:bCs w:val="0"/>
              </w:rPr>
              <w:t>Soil restoration</w:t>
            </w:r>
          </w:p>
        </w:tc>
        <w:tc>
          <w:tcPr>
            <w:tcW w:w="1178" w:type="pct"/>
            <w:tcBorders>
              <w:top w:val="none" w:sz="0" w:space="0" w:color="auto"/>
              <w:bottom w:val="none" w:sz="0" w:space="0" w:color="auto"/>
            </w:tcBorders>
            <w:hideMark/>
          </w:tcPr>
          <w:p w14:paraId="717F2AEA" w14:textId="659B48B3"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Contribution to soil fertility and erosion control</w:t>
            </w:r>
          </w:p>
        </w:tc>
        <w:tc>
          <w:tcPr>
            <w:tcW w:w="441" w:type="pct"/>
            <w:tcBorders>
              <w:top w:val="none" w:sz="0" w:space="0" w:color="auto"/>
              <w:bottom w:val="none" w:sz="0" w:space="0" w:color="auto"/>
            </w:tcBorders>
            <w:hideMark/>
          </w:tcPr>
          <w:p w14:paraId="369E3D7B" w14:textId="02F8EEDF"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0.15</w:t>
            </w:r>
          </w:p>
        </w:tc>
        <w:tc>
          <w:tcPr>
            <w:tcW w:w="756" w:type="pct"/>
            <w:tcBorders>
              <w:top w:val="none" w:sz="0" w:space="0" w:color="auto"/>
              <w:bottom w:val="none" w:sz="0" w:space="0" w:color="auto"/>
            </w:tcBorders>
            <w:hideMark/>
          </w:tcPr>
          <w:p w14:paraId="6FA975DE" w14:textId="01E21812"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Key for long-term sustainability</w:t>
            </w:r>
          </w:p>
        </w:tc>
        <w:tc>
          <w:tcPr>
            <w:tcW w:w="1964" w:type="pct"/>
            <w:tcBorders>
              <w:top w:val="none" w:sz="0" w:space="0" w:color="auto"/>
              <w:bottom w:val="none" w:sz="0" w:space="0" w:color="auto"/>
            </w:tcBorders>
          </w:tcPr>
          <w:p w14:paraId="3D7E5B46" w14:textId="59C22CED"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Slightly lower weight reflects its importance for long-term system performance rather than immediate survival. Soil improvement is critical but acts progressively over time.</w:t>
            </w:r>
          </w:p>
        </w:tc>
      </w:tr>
      <w:tr w:rsidR="00895F76" w:rsidRPr="00E35798" w14:paraId="64F0673C" w14:textId="37A0CA0D" w:rsidTr="003A0149">
        <w:trPr>
          <w:trHeight w:val="497"/>
        </w:trPr>
        <w:tc>
          <w:tcPr>
            <w:cnfStyle w:val="001000000000" w:firstRow="0" w:lastRow="0" w:firstColumn="1" w:lastColumn="0" w:oddVBand="0" w:evenVBand="0" w:oddHBand="0" w:evenHBand="0" w:firstRowFirstColumn="0" w:firstRowLastColumn="0" w:lastRowFirstColumn="0" w:lastRowLastColumn="0"/>
            <w:tcW w:w="661" w:type="pct"/>
            <w:hideMark/>
          </w:tcPr>
          <w:p w14:paraId="679C9ABE" w14:textId="51335411" w:rsidR="00895F76" w:rsidRPr="0006389F" w:rsidRDefault="00895F76" w:rsidP="00D16E24">
            <w:pPr>
              <w:pStyle w:val="OikoTables03Content"/>
              <w:spacing w:after="120" w:line="240" w:lineRule="auto"/>
              <w:rPr>
                <w:b w:val="0"/>
                <w:bCs w:val="0"/>
                <w:lang w:val="en-GB"/>
              </w:rPr>
            </w:pPr>
            <w:r>
              <w:rPr>
                <w:b w:val="0"/>
                <w:bCs w:val="0"/>
              </w:rPr>
              <w:t>Economic potential</w:t>
            </w:r>
          </w:p>
        </w:tc>
        <w:tc>
          <w:tcPr>
            <w:tcW w:w="1178" w:type="pct"/>
            <w:hideMark/>
          </w:tcPr>
          <w:p w14:paraId="7DE94EF9" w14:textId="09DAD2D5"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Income generation (short + long term)</w:t>
            </w:r>
          </w:p>
        </w:tc>
        <w:tc>
          <w:tcPr>
            <w:tcW w:w="441" w:type="pct"/>
            <w:hideMark/>
          </w:tcPr>
          <w:p w14:paraId="7A87B27F" w14:textId="1042DBA8"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0.15</w:t>
            </w:r>
          </w:p>
        </w:tc>
        <w:tc>
          <w:tcPr>
            <w:tcW w:w="756" w:type="pct"/>
            <w:hideMark/>
          </w:tcPr>
          <w:p w14:paraId="42D79EB5" w14:textId="1FF01621"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Ensures adoption by farmers</w:t>
            </w:r>
          </w:p>
        </w:tc>
        <w:tc>
          <w:tcPr>
            <w:tcW w:w="1964" w:type="pct"/>
          </w:tcPr>
          <w:p w14:paraId="2E7422F3" w14:textId="588DAEB4"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Weighted to reflect the necessity of farmer adoption and financial viability. While essential, it is balanced against environmental constraints that condition system feasibility.</w:t>
            </w:r>
          </w:p>
        </w:tc>
      </w:tr>
      <w:tr w:rsidR="00895F76" w:rsidRPr="00E35798" w14:paraId="2E6D2713" w14:textId="244E14FC" w:rsidTr="003A014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61" w:type="pct"/>
            <w:tcBorders>
              <w:top w:val="none" w:sz="0" w:space="0" w:color="auto"/>
              <w:bottom w:val="none" w:sz="0" w:space="0" w:color="auto"/>
            </w:tcBorders>
            <w:hideMark/>
          </w:tcPr>
          <w:p w14:paraId="75B54EB2" w14:textId="0A73B4A1" w:rsidR="00895F76" w:rsidRPr="0006389F" w:rsidRDefault="00895F76" w:rsidP="00D16E24">
            <w:pPr>
              <w:pStyle w:val="OikoTables03Content"/>
              <w:spacing w:after="120" w:line="240" w:lineRule="auto"/>
              <w:rPr>
                <w:b w:val="0"/>
                <w:bCs w:val="0"/>
                <w:lang w:val="en-GB"/>
              </w:rPr>
            </w:pPr>
            <w:r>
              <w:rPr>
                <w:b w:val="0"/>
                <w:bCs w:val="0"/>
              </w:rPr>
              <w:t>Technical feasibility</w:t>
            </w:r>
          </w:p>
        </w:tc>
        <w:tc>
          <w:tcPr>
            <w:tcW w:w="1178" w:type="pct"/>
            <w:tcBorders>
              <w:top w:val="none" w:sz="0" w:space="0" w:color="auto"/>
              <w:bottom w:val="none" w:sz="0" w:space="0" w:color="auto"/>
            </w:tcBorders>
            <w:hideMark/>
          </w:tcPr>
          <w:p w14:paraId="47990411" w14:textId="1D59D534"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proofErr w:type="gramStart"/>
            <w:r>
              <w:t>Ease of</w:t>
            </w:r>
            <w:proofErr w:type="gramEnd"/>
            <w:r>
              <w:t xml:space="preserve"> implementation and maintenance</w:t>
            </w:r>
          </w:p>
        </w:tc>
        <w:tc>
          <w:tcPr>
            <w:tcW w:w="441" w:type="pct"/>
            <w:tcBorders>
              <w:top w:val="none" w:sz="0" w:space="0" w:color="auto"/>
              <w:bottom w:val="none" w:sz="0" w:space="0" w:color="auto"/>
            </w:tcBorders>
            <w:hideMark/>
          </w:tcPr>
          <w:p w14:paraId="543DCE53" w14:textId="457725E8"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0.10</w:t>
            </w:r>
          </w:p>
        </w:tc>
        <w:tc>
          <w:tcPr>
            <w:tcW w:w="756" w:type="pct"/>
            <w:tcBorders>
              <w:top w:val="none" w:sz="0" w:space="0" w:color="auto"/>
              <w:bottom w:val="none" w:sz="0" w:space="0" w:color="auto"/>
            </w:tcBorders>
            <w:hideMark/>
          </w:tcPr>
          <w:p w14:paraId="6221314C" w14:textId="2824F025"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Reflects implementation constraints</w:t>
            </w:r>
          </w:p>
        </w:tc>
        <w:tc>
          <w:tcPr>
            <w:tcW w:w="1964" w:type="pct"/>
            <w:tcBorders>
              <w:top w:val="none" w:sz="0" w:space="0" w:color="auto"/>
              <w:bottom w:val="none" w:sz="0" w:space="0" w:color="auto"/>
            </w:tcBorders>
          </w:tcPr>
          <w:p w14:paraId="6287DC10" w14:textId="2C1D7477"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Moderate weight assigned as technical complexity can limit adoption, but can be mitigated through training and support programs.</w:t>
            </w:r>
          </w:p>
        </w:tc>
      </w:tr>
      <w:tr w:rsidR="00895F76" w:rsidRPr="00E35798" w14:paraId="41BCEBBB" w14:textId="6958BC23" w:rsidTr="003A0149">
        <w:trPr>
          <w:trHeight w:val="497"/>
        </w:trPr>
        <w:tc>
          <w:tcPr>
            <w:cnfStyle w:val="001000000000" w:firstRow="0" w:lastRow="0" w:firstColumn="1" w:lastColumn="0" w:oddVBand="0" w:evenVBand="0" w:oddHBand="0" w:evenHBand="0" w:firstRowFirstColumn="0" w:firstRowLastColumn="0" w:lastRowFirstColumn="0" w:lastRowLastColumn="0"/>
            <w:tcW w:w="661" w:type="pct"/>
            <w:hideMark/>
          </w:tcPr>
          <w:p w14:paraId="2C80BE0C" w14:textId="38A7219C" w:rsidR="00895F76" w:rsidRPr="0006389F" w:rsidRDefault="00895F76" w:rsidP="00D16E24">
            <w:pPr>
              <w:pStyle w:val="OikoTables03Content"/>
              <w:spacing w:after="120" w:line="240" w:lineRule="auto"/>
              <w:rPr>
                <w:b w:val="0"/>
                <w:bCs w:val="0"/>
                <w:lang w:val="en-GB"/>
              </w:rPr>
            </w:pPr>
            <w:r>
              <w:rPr>
                <w:b w:val="0"/>
                <w:bCs w:val="0"/>
              </w:rPr>
              <w:t>Time to benefit</w:t>
            </w:r>
          </w:p>
        </w:tc>
        <w:tc>
          <w:tcPr>
            <w:tcW w:w="1178" w:type="pct"/>
            <w:hideMark/>
          </w:tcPr>
          <w:p w14:paraId="6207AA66" w14:textId="415AB666"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Speed of returns (short vs long-term)</w:t>
            </w:r>
          </w:p>
        </w:tc>
        <w:tc>
          <w:tcPr>
            <w:tcW w:w="441" w:type="pct"/>
            <w:hideMark/>
          </w:tcPr>
          <w:p w14:paraId="5B20F54D" w14:textId="33440BCA"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0.10</w:t>
            </w:r>
          </w:p>
        </w:tc>
        <w:tc>
          <w:tcPr>
            <w:tcW w:w="756" w:type="pct"/>
            <w:hideMark/>
          </w:tcPr>
          <w:p w14:paraId="1A6F7A8B" w14:textId="0E72CA16"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Important due to delayed AF returns</w:t>
            </w:r>
          </w:p>
        </w:tc>
        <w:tc>
          <w:tcPr>
            <w:tcW w:w="1964" w:type="pct"/>
          </w:tcPr>
          <w:p w14:paraId="0C366A54" w14:textId="64BF6031" w:rsidR="00895F76" w:rsidRPr="00E35798" w:rsidRDefault="00895F7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 xml:space="preserve">Included to capture adoption barriers linked to delayed benefits of agroforestry. However, given the long-term nature of </w:t>
            </w:r>
            <w:proofErr w:type="spellStart"/>
            <w:r>
              <w:t>EbA</w:t>
            </w:r>
            <w:proofErr w:type="spellEnd"/>
            <w:r>
              <w:t>, this criterion is not dominant.</w:t>
            </w:r>
          </w:p>
        </w:tc>
      </w:tr>
      <w:tr w:rsidR="00895F76" w:rsidRPr="00E35798" w14:paraId="50316D38" w14:textId="18CA41FD" w:rsidTr="003A0149">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661" w:type="pct"/>
            <w:tcBorders>
              <w:top w:val="none" w:sz="0" w:space="0" w:color="auto"/>
              <w:bottom w:val="none" w:sz="0" w:space="0" w:color="auto"/>
            </w:tcBorders>
            <w:hideMark/>
          </w:tcPr>
          <w:p w14:paraId="07AC387B" w14:textId="78E8A3F3" w:rsidR="00895F76" w:rsidRPr="0006389F" w:rsidRDefault="00895F76" w:rsidP="00D16E24">
            <w:pPr>
              <w:pStyle w:val="OikoTables03Content"/>
              <w:spacing w:after="120" w:line="240" w:lineRule="auto"/>
              <w:rPr>
                <w:b w:val="0"/>
                <w:bCs w:val="0"/>
                <w:lang w:val="en-GB"/>
              </w:rPr>
            </w:pPr>
            <w:r>
              <w:rPr>
                <w:b w:val="0"/>
                <w:bCs w:val="0"/>
              </w:rPr>
              <w:lastRenderedPageBreak/>
              <w:t>Scalability</w:t>
            </w:r>
          </w:p>
        </w:tc>
        <w:tc>
          <w:tcPr>
            <w:tcW w:w="1178" w:type="pct"/>
            <w:tcBorders>
              <w:top w:val="none" w:sz="0" w:space="0" w:color="auto"/>
              <w:bottom w:val="none" w:sz="0" w:space="0" w:color="auto"/>
            </w:tcBorders>
            <w:hideMark/>
          </w:tcPr>
          <w:p w14:paraId="74FF8E76" w14:textId="1B1BDC79"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Potential for replication and scaling</w:t>
            </w:r>
          </w:p>
        </w:tc>
        <w:tc>
          <w:tcPr>
            <w:tcW w:w="441" w:type="pct"/>
            <w:tcBorders>
              <w:top w:val="none" w:sz="0" w:space="0" w:color="auto"/>
              <w:bottom w:val="none" w:sz="0" w:space="0" w:color="auto"/>
            </w:tcBorders>
            <w:hideMark/>
          </w:tcPr>
          <w:p w14:paraId="0B094586" w14:textId="06F2B43C"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0.10</w:t>
            </w:r>
          </w:p>
        </w:tc>
        <w:tc>
          <w:tcPr>
            <w:tcW w:w="756" w:type="pct"/>
            <w:tcBorders>
              <w:top w:val="none" w:sz="0" w:space="0" w:color="auto"/>
              <w:bottom w:val="none" w:sz="0" w:space="0" w:color="auto"/>
            </w:tcBorders>
            <w:hideMark/>
          </w:tcPr>
          <w:p w14:paraId="7DBCD482" w14:textId="17D1E5B4"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Needed for national replication</w:t>
            </w:r>
          </w:p>
        </w:tc>
        <w:tc>
          <w:tcPr>
            <w:tcW w:w="1964" w:type="pct"/>
            <w:tcBorders>
              <w:top w:val="none" w:sz="0" w:space="0" w:color="auto"/>
              <w:bottom w:val="none" w:sz="0" w:space="0" w:color="auto"/>
            </w:tcBorders>
          </w:tcPr>
          <w:p w14:paraId="2252500B" w14:textId="6A65DB17" w:rsidR="00895F76" w:rsidRPr="00E35798" w:rsidRDefault="00895F7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Lower weight reflects that scalability is important at program level but secondary to system performance at farm level.</w:t>
            </w:r>
          </w:p>
        </w:tc>
      </w:tr>
      <w:tr w:rsidR="004E37D3" w:rsidRPr="00E35798" w14:paraId="46763393" w14:textId="3C254222" w:rsidTr="003A0149">
        <w:trPr>
          <w:trHeight w:val="351"/>
        </w:trPr>
        <w:tc>
          <w:tcPr>
            <w:cnfStyle w:val="001000000000" w:firstRow="0" w:lastRow="0" w:firstColumn="1" w:lastColumn="0" w:oddVBand="0" w:evenVBand="0" w:oddHBand="0" w:evenHBand="0" w:firstRowFirstColumn="0" w:firstRowLastColumn="0" w:lastRowFirstColumn="0" w:lastRowLastColumn="0"/>
            <w:tcW w:w="661" w:type="pct"/>
            <w:shd w:val="clear" w:color="auto" w:fill="F1C4A7" w:themeFill="accent3" w:themeFillTint="99"/>
            <w:noWrap/>
            <w:vAlign w:val="center"/>
            <w:hideMark/>
          </w:tcPr>
          <w:p w14:paraId="1337F010" w14:textId="77777777" w:rsidR="004E37D3" w:rsidRPr="00E35798" w:rsidRDefault="004E37D3" w:rsidP="00D16E24">
            <w:pPr>
              <w:pStyle w:val="OikoTables03Content"/>
              <w:spacing w:after="120" w:line="240" w:lineRule="auto"/>
              <w:rPr>
                <w:lang w:val="en-GB"/>
              </w:rPr>
            </w:pPr>
            <w:r>
              <w:rPr>
                <w:lang w:val="en-GB"/>
              </w:rPr>
              <w:t>TOTAL</w:t>
            </w:r>
          </w:p>
        </w:tc>
        <w:tc>
          <w:tcPr>
            <w:tcW w:w="1178" w:type="pct"/>
            <w:shd w:val="clear" w:color="auto" w:fill="F1C4A7" w:themeFill="accent3" w:themeFillTint="99"/>
            <w:noWrap/>
            <w:vAlign w:val="center"/>
            <w:hideMark/>
          </w:tcPr>
          <w:p w14:paraId="64014CCF" w14:textId="77777777" w:rsidR="004E37D3" w:rsidRPr="00E35798" w:rsidRDefault="004E37D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w:t>
            </w:r>
          </w:p>
        </w:tc>
        <w:tc>
          <w:tcPr>
            <w:tcW w:w="441" w:type="pct"/>
            <w:shd w:val="clear" w:color="auto" w:fill="F1C4A7" w:themeFill="accent3" w:themeFillTint="99"/>
            <w:noWrap/>
            <w:vAlign w:val="center"/>
            <w:hideMark/>
          </w:tcPr>
          <w:p w14:paraId="20EC877B" w14:textId="6B976BAE" w:rsidR="004E37D3" w:rsidRPr="009A5644" w:rsidRDefault="004E37D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sidRPr="009A5644">
              <w:rPr>
                <w:b/>
                <w:bCs/>
                <w:lang w:val="en-GB"/>
              </w:rPr>
              <w:t>1</w:t>
            </w:r>
            <w:r w:rsidR="00A209B2">
              <w:rPr>
                <w:b/>
                <w:bCs/>
                <w:lang w:val="en-GB"/>
              </w:rPr>
              <w:t>.00</w:t>
            </w:r>
          </w:p>
        </w:tc>
        <w:tc>
          <w:tcPr>
            <w:tcW w:w="756" w:type="pct"/>
            <w:shd w:val="clear" w:color="auto" w:fill="F1C4A7" w:themeFill="accent3" w:themeFillTint="99"/>
            <w:noWrap/>
            <w:vAlign w:val="center"/>
            <w:hideMark/>
          </w:tcPr>
          <w:p w14:paraId="2D162AD7" w14:textId="77777777" w:rsidR="004E37D3" w:rsidRPr="00E35798" w:rsidRDefault="004E37D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w:t>
            </w:r>
          </w:p>
        </w:tc>
        <w:tc>
          <w:tcPr>
            <w:tcW w:w="1964" w:type="pct"/>
            <w:shd w:val="clear" w:color="auto" w:fill="F1C4A7" w:themeFill="accent3" w:themeFillTint="99"/>
          </w:tcPr>
          <w:p w14:paraId="7C66F03C" w14:textId="77777777" w:rsidR="004E37D3" w:rsidRPr="00E35798" w:rsidRDefault="004E37D3"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p>
        </w:tc>
      </w:tr>
    </w:tbl>
    <w:p w14:paraId="4C4FC84F" w14:textId="77777777" w:rsidR="00407441" w:rsidRPr="00E35798" w:rsidRDefault="00407441" w:rsidP="00EB489E"/>
    <w:p w14:paraId="77C7F37C" w14:textId="77777777" w:rsidR="005A01DE" w:rsidRDefault="005A01DE" w:rsidP="00EB489E">
      <w:pPr>
        <w:rPr>
          <w:b/>
          <w:bCs/>
        </w:rPr>
      </w:pPr>
    </w:p>
    <w:p w14:paraId="72A3BF62" w14:textId="5CBAA900" w:rsidR="00875B59" w:rsidRDefault="005A01DE" w:rsidP="00EB489E">
      <w:pPr>
        <w:rPr>
          <w:lang w:val="en-US"/>
        </w:rPr>
      </w:pPr>
      <w:r>
        <w:rPr>
          <w:noProof/>
        </w:rPr>
        <mc:AlternateContent>
          <mc:Choice Requires="wps">
            <w:drawing>
              <wp:anchor distT="0" distB="0" distL="114300" distR="114300" simplePos="0" relativeHeight="251658269" behindDoc="0" locked="0" layoutInCell="1" allowOverlap="1" wp14:anchorId="7FF25012" wp14:editId="341F39E8">
                <wp:simplePos x="0" y="0"/>
                <wp:positionH relativeFrom="column">
                  <wp:posOffset>0</wp:posOffset>
                </wp:positionH>
                <wp:positionV relativeFrom="paragraph">
                  <wp:posOffset>0</wp:posOffset>
                </wp:positionV>
                <wp:extent cx="1828800" cy="1828800"/>
                <wp:effectExtent l="19050" t="19050" r="13970" b="22860"/>
                <wp:wrapSquare wrapText="bothSides"/>
                <wp:docPr id="172098634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3">
                            <a:lumMod val="20000"/>
                            <a:lumOff val="80000"/>
                          </a:schemeClr>
                        </a:solidFill>
                        <a:ln w="38100">
                          <a:solidFill>
                            <a:schemeClr val="accent3"/>
                          </a:solidFill>
                        </a:ln>
                      </wps:spPr>
                      <wps:txbx>
                        <w:txbxContent>
                          <w:p w14:paraId="32E0A048" w14:textId="00E027B5" w:rsidR="005A01DE" w:rsidRDefault="005A01DE" w:rsidP="008C0D36">
                            <w:pPr>
                              <w:pStyle w:val="OikoTables02"/>
                            </w:pPr>
                            <w:r>
                              <w:t>Box 2. Scoring logic</w:t>
                            </w:r>
                          </w:p>
                          <w:p w14:paraId="33CC25E9" w14:textId="29C62E08" w:rsidR="005A01DE" w:rsidRPr="00E35798" w:rsidRDefault="005A01DE" w:rsidP="008C0D36">
                            <w:pPr>
                              <w:pStyle w:val="OikoTables03Content"/>
                            </w:pPr>
                            <w:r>
                              <w:t>Each agroforestry model is evaluated using a semi-quantitative scoring system from 1 to 5, (1 = Very low performance 2 = Low performance 3 = Moderate performance 4 = High performance 5 = Very high performance), whereas to improve transparency and consistency, anchor values (1–3–5) are defined for each criterion, allowing intermediate scores (2 and 4) to be assigned where appropriate. The final score is calculated using a weighted linear combination: Final Score = Σ (Score × Weight). Irrigation system &amp; greenhouse development were taken in consideration for the score of each agroforestry model.</w:t>
                            </w:r>
                          </w:p>
                          <w:p w14:paraId="39D72141" w14:textId="197A3B62" w:rsidR="005A01DE" w:rsidRPr="0006389F" w:rsidRDefault="005A01DE" w:rsidP="008C0D36">
                            <w:pPr>
                              <w:pStyle w:val="OikoTables03Content"/>
                            </w:pPr>
                            <w:r>
                              <w:t>Scoring guidance for each criterion is provided below</w:t>
                            </w:r>
                            <w:r w:rsidR="000B72C6">
                              <w:t>:</w:t>
                            </w:r>
                          </w:p>
                          <w:p w14:paraId="0D238AA4" w14:textId="77777777" w:rsidR="005A01DE" w:rsidRDefault="005A01DE" w:rsidP="008C0D36">
                            <w:pPr>
                              <w:pStyle w:val="OikoTables03Content"/>
                              <w:rPr>
                                <w:rFonts w:cs="Times New Roman"/>
                                <w:u w:val="single"/>
                              </w:rPr>
                            </w:pPr>
                          </w:p>
                          <w:p w14:paraId="278A68C2" w14:textId="77777777" w:rsidR="005A01DE" w:rsidRDefault="005A01DE" w:rsidP="008C0D36">
                            <w:pPr>
                              <w:pStyle w:val="OikoTables09"/>
                            </w:pPr>
                            <w:r>
                              <w:rPr>
                                <w:u w:val="single"/>
                              </w:rPr>
                              <w:t>Water efficiency</w:t>
                            </w:r>
                            <w:r>
                              <w:t xml:space="preserve"> (weight: 0.20) expresses the ability of the system to reduce water demand and improve water retention. The anchor values for scoring are interpreted as 1 = No impact on water use; high water demand; 3 = Moderate improvement (partial moisture retention, limited efficiency gains); and 5 = Strong improvement (significant water savings, enhanced soil moisture retention, reduced evaporation).</w:t>
                            </w:r>
                          </w:p>
                          <w:p w14:paraId="03E19047" w14:textId="77777777" w:rsidR="005A01DE" w:rsidRDefault="005A01DE" w:rsidP="008C0D36">
                            <w:pPr>
                              <w:pStyle w:val="OikoTables09"/>
                            </w:pPr>
                            <w:r>
                              <w:rPr>
                                <w:u w:val="single"/>
                              </w:rPr>
                              <w:t>Climate resilience</w:t>
                            </w:r>
                            <w:r>
                              <w:t xml:space="preserve"> (weight: 0.20) expresses the capacity to withstand drought, wind, and extreme temperatures. The interpretations of the anchor value are 1 = Limited resilience contribution; 3 = Moderate resilience gains (partial protection from climate stressors) and 5 = Strong resilience contribution (significant buffering against wind, drought, and temperature extremes) </w:t>
                            </w:r>
                          </w:p>
                          <w:p w14:paraId="7F68B74D" w14:textId="77777777" w:rsidR="005A01DE" w:rsidRPr="00E35798" w:rsidRDefault="005A01DE" w:rsidP="008C0D36">
                            <w:pPr>
                              <w:pStyle w:val="OikoTables09"/>
                            </w:pPr>
                            <w:r>
                              <w:rPr>
                                <w:u w:val="single"/>
                              </w:rPr>
                              <w:t>Soil restoration</w:t>
                            </w:r>
                            <w:r>
                              <w:t xml:space="preserve"> (weight: 0.15) expresses contribution to soil fertility, structure, and erosion control. The interpretations of the anchor value are 1 = No improvement in soil condition; 3 = Moderate improvement (some erosion control or organic matter increase); 5 = Strong improvement (significant soil stabilization, fertility enhancement, and erosion reduction).</w:t>
                            </w:r>
                          </w:p>
                          <w:p w14:paraId="6F4CF80F" w14:textId="77777777" w:rsidR="005A01DE" w:rsidRPr="0006389F" w:rsidRDefault="005A01DE" w:rsidP="008C0D36">
                            <w:pPr>
                              <w:pStyle w:val="OikoTables09"/>
                            </w:pPr>
                            <w:r>
                              <w:rPr>
                                <w:u w:val="single"/>
                              </w:rPr>
                              <w:t>Economic potential</w:t>
                            </w:r>
                            <w:r>
                              <w:t xml:space="preserve"> (weight: 0.15) expressed the capacity to generate income (short- and long-term). The interpretations of the anchor value are 1 = No or very limited income generation; 3 = Moderate income potential (indirect or delayed returns) and 5 = Diversified income generation (multiple revenue streams).</w:t>
                            </w:r>
                          </w:p>
                          <w:p w14:paraId="76D557A6" w14:textId="77777777" w:rsidR="005A01DE" w:rsidRPr="0006389F" w:rsidRDefault="005A01DE" w:rsidP="008C0D36">
                            <w:pPr>
                              <w:pStyle w:val="OikoTables09"/>
                            </w:pPr>
                            <w:r>
                              <w:rPr>
                                <w:u w:val="single"/>
                              </w:rPr>
                              <w:t>Technical feasibility</w:t>
                            </w:r>
                            <w:r>
                              <w:t xml:space="preserve"> (weight: 0.10) expresses ease of implementation, maintenance, and required expertise. The interpretations of the anchor value are 1 = Complex, high technical requirements, low local feasibility; 3 = Moderate complexity, requires some training/support and 5 = Simple to implement, compatible with local practices and capacities.</w:t>
                            </w:r>
                          </w:p>
                          <w:p w14:paraId="71907369" w14:textId="77777777" w:rsidR="005A01DE" w:rsidRPr="0006389F" w:rsidRDefault="005A01DE" w:rsidP="008C0D36">
                            <w:pPr>
                              <w:pStyle w:val="OikoTables09"/>
                            </w:pPr>
                            <w:r>
                              <w:rPr>
                                <w:u w:val="single"/>
                              </w:rPr>
                              <w:t>Time to benefit</w:t>
                            </w:r>
                            <w:r>
                              <w:t xml:space="preserve"> (weight: 0.10) expresses the speed at which benefits are realized. The interpretations of the anchor value are 1 = Long-term benefits only (&gt;5 years); 3 = Medium-term benefits (2–5 years) and 5 = Short-term benefits (&lt;2 years).</w:t>
                            </w:r>
                          </w:p>
                          <w:p w14:paraId="4DA889F1" w14:textId="77777777" w:rsidR="005A01DE" w:rsidRPr="00C30316" w:rsidRDefault="005A01DE" w:rsidP="008C0D36">
                            <w:pPr>
                              <w:pStyle w:val="OikoTables09"/>
                              <w:rPr>
                                <w:rFonts w:ascii="Times New Roman" w:hAnsi="Times New Roman"/>
                                <w:sz w:val="22"/>
                                <w:u w:val="single"/>
                                <w:lang w:val="en-GB"/>
                              </w:rPr>
                            </w:pPr>
                            <w:r>
                              <w:rPr>
                                <w:u w:val="single"/>
                              </w:rPr>
                              <w:t>Scalability</w:t>
                            </w:r>
                            <w:r>
                              <w:t xml:space="preserve"> (weight: 0.10) expresses the potential for replication and scaling across regions. The interpretations of the anchor value are 1 = Difficult to replicate (high cost or constraints); 3 = Moderate scalability (context-dependent) and 5 = High scalability (easily replicable across similar environments).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FF25012" id="_x0000_t202" coordsize="21600,21600" o:spt="202" path="m,l,21600r21600,l21600,xe">
                <v:stroke joinstyle="miter"/>
                <v:path gradientshapeok="t" o:connecttype="rect"/>
              </v:shapetype>
              <v:shape id="Text Box 1" o:spid="_x0000_s1027" type="#_x0000_t202" style="position:absolute;left:0;text-align:left;margin-left:0;margin-top:0;width:2in;height:2in;z-index:25165826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jzSAIAAMYEAAAOAAAAZHJzL2Uyb0RvYy54bWysVE2P0zAQvSPxHyzfadpugVI1XZWuipCW&#10;3ZW6aM+u47SRHI9lu03Kr+fZ6RcLB4S4OPPlmfGbN5netrVme+V8RSbng16fM2UkFZXZ5Pz78/Ld&#10;mDMfhCmEJqNyflCe387evpk2dqKGtCVdKMeQxPhJY3O+DcFOsszLraqF75FVBs6SXC0CVLfJCica&#10;ZK91Nuz3P2QNucI6ksp7WO86J5+l/GWpZHgsS68C0zlHbyGdLp3reGazqZhsnLDbSh7bEP/QRS0q&#10;g6LnVHciCLZz1W+p6ko68lSGnqQ6o7KspEpvwGsG/VevWW2FVektAMfbM0z+/6WVD/uVfXIstJ+p&#10;xQAjII31Ew9jfE9bujp+0SmDHxAezrCpNjAZL42H43EfLgnfSUGe7HLdOh++KKpZFHLuMJcEl9jf&#10;+9CFnkJiNU+6KpaV1kmJXFAL7dheYIpCSmXCTbqud/U3Kjo72IAe0jxhxtQ7MxrrzOgmsSpmSr39&#10;UkQb1uT8ZjxA8N920PV9lQYltEHuC4BRCu26ZVVxBe6aigMwd9TR0Vu5rIDLvfDhSTjwD1hip8Ij&#10;jlITGqOjxNmW3I8/2WM8aAEvZw34nHODheNMfzWgy6fBaBTpn5TR+49DKO7as772mF29IEA9wO5a&#10;mcQYH/RJLB3VL1i8eawJlzASlXMeTuIidDuGxZVqPk9BILwV4d6srIypI8px5s/ti3D2SIwATj3Q&#10;ifdi8oofXWyaj53vAi2rRJ6IcofpEXwsSxrxcbHjNl7rKery+5n9BAAA//8DAFBLAwQUAAYACAAA&#10;ACEAI+n5sNgAAAAFAQAADwAAAGRycy9kb3ducmV2LnhtbEyPQUvDQBCF70L/wzIFb3ZjDiXEbIoU&#10;RA8iWs3B2zY7JqHZmZDdJvHfO4qgl2Eeb3jzvWK3+F5NOIaOycD1JgGFVLPrqDHw9np3lYEK0ZKz&#10;PRMa+MQAu3J1Udjc8UwvOB1ioySEQm4NtDEOudahbtHbsOEBSbwPHr2NIsdGu9HOEu57nSbJVnvb&#10;kXxo7YD7FuvT4ewN8H2s3qfHtPLD07x9Th4qXrgy5nK93N6AirjEv2P4xhd0KIXpyGdyQfUGpEj8&#10;meKlWSby+LvostD/6csvAAAA//8DAFBLAQItABQABgAIAAAAIQC2gziS/gAAAOEBAAATAAAAAAAA&#10;AAAAAAAAAAAAAABbQ29udGVudF9UeXBlc10ueG1sUEsBAi0AFAAGAAgAAAAhADj9If/WAAAAlAEA&#10;AAsAAAAAAAAAAAAAAAAALwEAAF9yZWxzLy5yZWxzUEsBAi0AFAAGAAgAAAAhAE88WPNIAgAAxgQA&#10;AA4AAAAAAAAAAAAAAAAALgIAAGRycy9lMm9Eb2MueG1sUEsBAi0AFAAGAAgAAAAhACPp+bDYAAAA&#10;BQEAAA8AAAAAAAAAAAAAAAAAogQAAGRycy9kb3ducmV2LnhtbFBLBQYAAAAABAAEAPMAAACnBQAA&#10;AAA=&#10;" fillcolor="#faebe1 [662]" strokecolor="#e99e6d [3206]" strokeweight="3pt">
                <v:textbox style="mso-fit-shape-to-text:t">
                  <w:txbxContent>
                    <w:p w14:paraId="32E0A048" w14:textId="00E027B5" w:rsidR="005A01DE" w:rsidRDefault="005A01DE" w:rsidP="008C0D36">
                      <w:pPr>
                        <w:pStyle w:val="OikoTables02"/>
                      </w:pPr>
                      <w:r>
                        <w:t>Box 2. Scoring logic</w:t>
                      </w:r>
                    </w:p>
                    <w:p w14:paraId="33CC25E9" w14:textId="29C62E08" w:rsidR="005A01DE" w:rsidRPr="00E35798" w:rsidRDefault="005A01DE" w:rsidP="008C0D36">
                      <w:pPr>
                        <w:pStyle w:val="OikoTables03Content"/>
                      </w:pPr>
                      <w:r>
                        <w:t>Each agroforestry model is evaluated using a semi-quantitative scoring system from 1 to 5, (1 = Very low performance 2 = Low performance 3 = Moderate performance 4 = High performance 5 = Very high performance), whereas to improve transparency and consistency, anchor values (1–3–5) are defined for each criterion, allowing intermediate scores (2 and 4) to be assigned where appropriate. The final score is calculated using a weighted linear combination: Final Score = Σ (Score × Weight). Irrigation system &amp; greenhouse development were taken in consideration for the score of each agroforestry model.</w:t>
                      </w:r>
                    </w:p>
                    <w:p w14:paraId="39D72141" w14:textId="197A3B62" w:rsidR="005A01DE" w:rsidRPr="0006389F" w:rsidRDefault="005A01DE" w:rsidP="008C0D36">
                      <w:pPr>
                        <w:pStyle w:val="OikoTables03Content"/>
                      </w:pPr>
                      <w:r>
                        <w:t>Scoring guidance for each criterion is provided below</w:t>
                      </w:r>
                      <w:r w:rsidR="000B72C6">
                        <w:t>:</w:t>
                      </w:r>
                    </w:p>
                    <w:p w14:paraId="0D238AA4" w14:textId="77777777" w:rsidR="005A01DE" w:rsidRDefault="005A01DE" w:rsidP="008C0D36">
                      <w:pPr>
                        <w:pStyle w:val="OikoTables03Content"/>
                        <w:rPr>
                          <w:rFonts w:cs="Times New Roman"/>
                          <w:u w:val="single"/>
                        </w:rPr>
                      </w:pPr>
                    </w:p>
                    <w:p w14:paraId="278A68C2" w14:textId="77777777" w:rsidR="005A01DE" w:rsidRDefault="005A01DE" w:rsidP="008C0D36">
                      <w:pPr>
                        <w:pStyle w:val="OikoTables09"/>
                      </w:pPr>
                      <w:r>
                        <w:rPr>
                          <w:u w:val="single"/>
                        </w:rPr>
                        <w:t>Water efficiency</w:t>
                      </w:r>
                      <w:r>
                        <w:t xml:space="preserve"> (weight: 0.20) expresses the ability of the system to reduce water demand and improve water retention. The anchor values for scoring are interpreted as 1 = No impact on water use; high water demand; 3 = Moderate improvement (partial moisture retention, limited efficiency gains); and 5 = Strong improvement (significant water savings, enhanced soil moisture retention, reduced evaporation).</w:t>
                      </w:r>
                    </w:p>
                    <w:p w14:paraId="03E19047" w14:textId="77777777" w:rsidR="005A01DE" w:rsidRDefault="005A01DE" w:rsidP="008C0D36">
                      <w:pPr>
                        <w:pStyle w:val="OikoTables09"/>
                      </w:pPr>
                      <w:r>
                        <w:rPr>
                          <w:u w:val="single"/>
                        </w:rPr>
                        <w:t>Climate resilience</w:t>
                      </w:r>
                      <w:r>
                        <w:t xml:space="preserve"> (weight: 0.20) expresses the capacity to withstand drought, wind, and extreme temperatures. The interpretations of the anchor value are 1 = Limited resilience contribution; 3 = Moderate resilience gains (partial protection from climate stressors) and 5 = Strong resilience contribution (significant buffering against wind, drought, and temperature extremes) </w:t>
                      </w:r>
                    </w:p>
                    <w:p w14:paraId="7F68B74D" w14:textId="77777777" w:rsidR="005A01DE" w:rsidRPr="00E35798" w:rsidRDefault="005A01DE" w:rsidP="008C0D36">
                      <w:pPr>
                        <w:pStyle w:val="OikoTables09"/>
                      </w:pPr>
                      <w:r>
                        <w:rPr>
                          <w:u w:val="single"/>
                        </w:rPr>
                        <w:t>Soil restoration</w:t>
                      </w:r>
                      <w:r>
                        <w:t xml:space="preserve"> (weight: 0.15) expresses contribution to soil fertility, structure, and erosion control. The interpretations of the anchor value are 1 = No improvement in soil condition; 3 = Moderate improvement (some erosion control or organic matter increase); 5 = Strong improvement (significant soil stabilization, fertility enhancement, and erosion reduction).</w:t>
                      </w:r>
                    </w:p>
                    <w:p w14:paraId="6F4CF80F" w14:textId="77777777" w:rsidR="005A01DE" w:rsidRPr="0006389F" w:rsidRDefault="005A01DE" w:rsidP="008C0D36">
                      <w:pPr>
                        <w:pStyle w:val="OikoTables09"/>
                      </w:pPr>
                      <w:r>
                        <w:rPr>
                          <w:u w:val="single"/>
                        </w:rPr>
                        <w:t>Economic potential</w:t>
                      </w:r>
                      <w:r>
                        <w:t xml:space="preserve"> (weight: 0.15) expressed the capacity to generate income (short- and long-term). The interpretations of the anchor value are 1 = No or very limited income generation; 3 = Moderate income potential (indirect or delayed returns) and 5 = Diversified income generation (multiple revenue streams).</w:t>
                      </w:r>
                    </w:p>
                    <w:p w14:paraId="76D557A6" w14:textId="77777777" w:rsidR="005A01DE" w:rsidRPr="0006389F" w:rsidRDefault="005A01DE" w:rsidP="008C0D36">
                      <w:pPr>
                        <w:pStyle w:val="OikoTables09"/>
                      </w:pPr>
                      <w:r>
                        <w:rPr>
                          <w:u w:val="single"/>
                        </w:rPr>
                        <w:t>Technical feasibility</w:t>
                      </w:r>
                      <w:r>
                        <w:t xml:space="preserve"> (weight: 0.10) expresses ease of implementation, maintenance, and required expertise. The interpretations of the anchor value are 1 = Complex, high technical requirements, low local feasibility; 3 = Moderate complexity, requires some training/support and 5 = Simple to implement, compatible with local practices and capacities.</w:t>
                      </w:r>
                    </w:p>
                    <w:p w14:paraId="71907369" w14:textId="77777777" w:rsidR="005A01DE" w:rsidRPr="0006389F" w:rsidRDefault="005A01DE" w:rsidP="008C0D36">
                      <w:pPr>
                        <w:pStyle w:val="OikoTables09"/>
                      </w:pPr>
                      <w:r>
                        <w:rPr>
                          <w:u w:val="single"/>
                        </w:rPr>
                        <w:t>Time to benefit</w:t>
                      </w:r>
                      <w:r>
                        <w:t xml:space="preserve"> (weight: 0.10) expresses the speed at which benefits are realized. The interpretations of the anchor value are 1 = Long-term benefits only (&gt;5 years); 3 = Medium-term benefits (2–5 years) and 5 = Short-term benefits (&lt;2 years).</w:t>
                      </w:r>
                    </w:p>
                    <w:p w14:paraId="4DA889F1" w14:textId="77777777" w:rsidR="005A01DE" w:rsidRPr="00C30316" w:rsidRDefault="005A01DE" w:rsidP="008C0D36">
                      <w:pPr>
                        <w:pStyle w:val="OikoTables09"/>
                        <w:rPr>
                          <w:rFonts w:ascii="Times New Roman" w:hAnsi="Times New Roman"/>
                          <w:sz w:val="22"/>
                          <w:u w:val="single"/>
                          <w:lang w:val="en-GB"/>
                        </w:rPr>
                      </w:pPr>
                      <w:r>
                        <w:rPr>
                          <w:u w:val="single"/>
                        </w:rPr>
                        <w:t>Scalability</w:t>
                      </w:r>
                      <w:r>
                        <w:t xml:space="preserve"> (weight: 0.10) expresses the potential for replication and scaling across regions. The interpretations of the anchor value are 1 = Difficult to replicate (high cost or constraints); 3 = Moderate scalability (context-dependent) and 5 = High scalability (easily replicable across similar environments).</w:t>
                      </w:r>
                    </w:p>
                  </w:txbxContent>
                </v:textbox>
                <w10:wrap type="square"/>
              </v:shape>
            </w:pict>
          </mc:Fallback>
        </mc:AlternateContent>
      </w:r>
      <w:r w:rsidR="00875B59">
        <w:rPr>
          <w:b/>
          <w:bCs/>
          <w:lang w:val="en-US"/>
        </w:rPr>
        <w:t>Result</w:t>
      </w:r>
      <w:r w:rsidR="00875B59">
        <w:rPr>
          <w:lang w:val="en-US"/>
        </w:rPr>
        <w:t xml:space="preserve">. The top ranked agroforestry models include the </w:t>
      </w:r>
      <w:proofErr w:type="spellStart"/>
      <w:r w:rsidR="00875B59">
        <w:rPr>
          <w:lang w:val="en-US"/>
        </w:rPr>
        <w:t>agro-silvo</w:t>
      </w:r>
      <w:proofErr w:type="spellEnd"/>
      <w:r w:rsidR="00875B59">
        <w:rPr>
          <w:lang w:val="en-US"/>
        </w:rPr>
        <w:t xml:space="preserve"> model (oasis agroforestry) and windbreaks/shelterbelt model.</w:t>
      </w:r>
    </w:p>
    <w:p w14:paraId="5D4DC203" w14:textId="77777777" w:rsidR="003A0149" w:rsidRDefault="003A0149" w:rsidP="00EB489E">
      <w:pPr>
        <w:rPr>
          <w:lang w:val="en-US"/>
        </w:rPr>
      </w:pPr>
    </w:p>
    <w:p w14:paraId="4018809D" w14:textId="3A3F1EA0" w:rsidR="00603FFC" w:rsidRPr="00603FFC" w:rsidRDefault="00603FFC" w:rsidP="00581B21">
      <w:pPr>
        <w:pStyle w:val="Caption"/>
        <w:framePr w:wrap="notBeside"/>
      </w:pPr>
      <w:r>
        <w:t xml:space="preserve">Table </w:t>
      </w:r>
      <w:r w:rsidR="000E5B0A">
        <w:t>42</w:t>
      </w:r>
      <w:r>
        <w:t>. Agroforestry MCA – weighted scores</w:t>
      </w:r>
    </w:p>
    <w:tbl>
      <w:tblPr>
        <w:tblStyle w:val="PlainTable2"/>
        <w:tblW w:w="0" w:type="auto"/>
        <w:tblLook w:val="04A0" w:firstRow="1" w:lastRow="0" w:firstColumn="1" w:lastColumn="0" w:noHBand="0" w:noVBand="1"/>
      </w:tblPr>
      <w:tblGrid>
        <w:gridCol w:w="2510"/>
        <w:gridCol w:w="766"/>
        <w:gridCol w:w="927"/>
        <w:gridCol w:w="679"/>
        <w:gridCol w:w="1111"/>
        <w:gridCol w:w="1094"/>
        <w:gridCol w:w="739"/>
        <w:gridCol w:w="723"/>
        <w:gridCol w:w="1089"/>
      </w:tblGrid>
      <w:tr w:rsidR="51DE7E91" w:rsidRPr="00E35798" w14:paraId="3FD75A02" w14:textId="77777777" w:rsidTr="000A1E4F">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510" w:type="dxa"/>
            <w:shd w:val="clear" w:color="auto" w:fill="E99E6D" w:themeFill="accent3"/>
          </w:tcPr>
          <w:p w14:paraId="07BB0147" w14:textId="309F7AD8" w:rsidR="51DE7E91" w:rsidRPr="00E35798" w:rsidRDefault="51DE7E91" w:rsidP="00D16E24">
            <w:pPr>
              <w:pStyle w:val="OikoTables03Content"/>
              <w:spacing w:after="120" w:line="240" w:lineRule="auto"/>
              <w:rPr>
                <w:lang w:val="en-GB"/>
              </w:rPr>
            </w:pPr>
            <w:r>
              <w:rPr>
                <w:lang w:val="en-GB"/>
              </w:rPr>
              <w:t>Model</w:t>
            </w:r>
          </w:p>
        </w:tc>
        <w:tc>
          <w:tcPr>
            <w:tcW w:w="766" w:type="dxa"/>
            <w:shd w:val="clear" w:color="auto" w:fill="E99E6D" w:themeFill="accent3"/>
          </w:tcPr>
          <w:p w14:paraId="59169EEB" w14:textId="28773A16"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Water</w:t>
            </w:r>
          </w:p>
        </w:tc>
        <w:tc>
          <w:tcPr>
            <w:tcW w:w="927" w:type="dxa"/>
            <w:shd w:val="clear" w:color="auto" w:fill="E99E6D" w:themeFill="accent3"/>
          </w:tcPr>
          <w:p w14:paraId="303B1850" w14:textId="7CBBCE86"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Climate</w:t>
            </w:r>
          </w:p>
        </w:tc>
        <w:tc>
          <w:tcPr>
            <w:tcW w:w="679" w:type="dxa"/>
            <w:shd w:val="clear" w:color="auto" w:fill="E99E6D" w:themeFill="accent3"/>
          </w:tcPr>
          <w:p w14:paraId="3F7AFEB2" w14:textId="5626C33E"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Soil</w:t>
            </w:r>
          </w:p>
        </w:tc>
        <w:tc>
          <w:tcPr>
            <w:tcW w:w="1111" w:type="dxa"/>
            <w:shd w:val="clear" w:color="auto" w:fill="E99E6D" w:themeFill="accent3"/>
          </w:tcPr>
          <w:p w14:paraId="75E425BB" w14:textId="35084571"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Economic</w:t>
            </w:r>
          </w:p>
        </w:tc>
        <w:tc>
          <w:tcPr>
            <w:tcW w:w="1094" w:type="dxa"/>
            <w:shd w:val="clear" w:color="auto" w:fill="E99E6D" w:themeFill="accent3"/>
          </w:tcPr>
          <w:p w14:paraId="2D44711B" w14:textId="33AD69F9"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Technical</w:t>
            </w:r>
          </w:p>
        </w:tc>
        <w:tc>
          <w:tcPr>
            <w:tcW w:w="739" w:type="dxa"/>
            <w:shd w:val="clear" w:color="auto" w:fill="E99E6D" w:themeFill="accent3"/>
          </w:tcPr>
          <w:p w14:paraId="5CD34404" w14:textId="0366672F"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Time</w:t>
            </w:r>
          </w:p>
        </w:tc>
        <w:tc>
          <w:tcPr>
            <w:tcW w:w="723" w:type="dxa"/>
            <w:shd w:val="clear" w:color="auto" w:fill="E99E6D" w:themeFill="accent3"/>
          </w:tcPr>
          <w:p w14:paraId="088F67E3" w14:textId="1A935C95"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Scale</w:t>
            </w:r>
          </w:p>
        </w:tc>
        <w:tc>
          <w:tcPr>
            <w:tcW w:w="1089" w:type="dxa"/>
            <w:shd w:val="clear" w:color="auto" w:fill="E99E6D" w:themeFill="accent3"/>
          </w:tcPr>
          <w:p w14:paraId="05827EEE" w14:textId="739D68FD" w:rsidR="51DE7E91" w:rsidRPr="00E35798" w:rsidRDefault="51DE7E91"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Weighted Score</w:t>
            </w:r>
          </w:p>
        </w:tc>
      </w:tr>
      <w:tr w:rsidR="000A1E4F" w:rsidRPr="00E35798" w14:paraId="11475CB4" w14:textId="77777777" w:rsidTr="000A1E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510" w:type="dxa"/>
            <w:shd w:val="clear" w:color="auto" w:fill="F6D7C4" w:themeFill="accent3" w:themeFillTint="66"/>
          </w:tcPr>
          <w:p w14:paraId="6968A45D" w14:textId="2ED1E1D7" w:rsidR="000A1E4F" w:rsidRPr="003152E6" w:rsidRDefault="000A1E4F" w:rsidP="00D16E24">
            <w:pPr>
              <w:pStyle w:val="OikoTables03Content"/>
              <w:spacing w:after="120" w:line="240" w:lineRule="auto"/>
              <w:rPr>
                <w:b w:val="0"/>
                <w:bCs w:val="0"/>
                <w:lang w:val="en-GB"/>
              </w:rPr>
            </w:pPr>
            <w:r>
              <w:rPr>
                <w:b w:val="0"/>
                <w:bCs w:val="0"/>
              </w:rPr>
              <w:t>Windbreaks/shelterbelts</w:t>
            </w:r>
          </w:p>
        </w:tc>
        <w:tc>
          <w:tcPr>
            <w:tcW w:w="766" w:type="dxa"/>
          </w:tcPr>
          <w:p w14:paraId="7A0B9509" w14:textId="7C41D672"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5</w:t>
            </w:r>
          </w:p>
        </w:tc>
        <w:tc>
          <w:tcPr>
            <w:tcW w:w="927" w:type="dxa"/>
          </w:tcPr>
          <w:p w14:paraId="72140CD9" w14:textId="40552C5A"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5</w:t>
            </w:r>
          </w:p>
        </w:tc>
        <w:tc>
          <w:tcPr>
            <w:tcW w:w="679" w:type="dxa"/>
          </w:tcPr>
          <w:p w14:paraId="596D1843" w14:textId="16B22DD9"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4</w:t>
            </w:r>
          </w:p>
        </w:tc>
        <w:tc>
          <w:tcPr>
            <w:tcW w:w="1111" w:type="dxa"/>
          </w:tcPr>
          <w:p w14:paraId="0A3D98FA" w14:textId="213C3224"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1094" w:type="dxa"/>
          </w:tcPr>
          <w:p w14:paraId="39BB0036" w14:textId="792F9F36"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4</w:t>
            </w:r>
          </w:p>
        </w:tc>
        <w:tc>
          <w:tcPr>
            <w:tcW w:w="739" w:type="dxa"/>
          </w:tcPr>
          <w:p w14:paraId="2FE666AA" w14:textId="7F3807CD"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723" w:type="dxa"/>
          </w:tcPr>
          <w:p w14:paraId="26F24090" w14:textId="6D145D1C"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5</w:t>
            </w:r>
          </w:p>
        </w:tc>
        <w:tc>
          <w:tcPr>
            <w:tcW w:w="1089" w:type="dxa"/>
          </w:tcPr>
          <w:p w14:paraId="7219B6CB" w14:textId="0F15FC12"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4.25</w:t>
            </w:r>
          </w:p>
        </w:tc>
      </w:tr>
      <w:tr w:rsidR="000A1E4F" w:rsidRPr="00E35798" w14:paraId="178D5373" w14:textId="77777777" w:rsidTr="000A1E4F">
        <w:trPr>
          <w:trHeight w:val="345"/>
        </w:trPr>
        <w:tc>
          <w:tcPr>
            <w:cnfStyle w:val="001000000000" w:firstRow="0" w:lastRow="0" w:firstColumn="1" w:lastColumn="0" w:oddVBand="0" w:evenVBand="0" w:oddHBand="0" w:evenHBand="0" w:firstRowFirstColumn="0" w:firstRowLastColumn="0" w:lastRowFirstColumn="0" w:lastRowLastColumn="0"/>
            <w:tcW w:w="2510" w:type="dxa"/>
            <w:shd w:val="clear" w:color="auto" w:fill="F6D7C4" w:themeFill="accent3" w:themeFillTint="66"/>
          </w:tcPr>
          <w:p w14:paraId="77ACE1A5" w14:textId="65E61C38" w:rsidR="000A1E4F" w:rsidRPr="003152E6" w:rsidRDefault="000A1E4F" w:rsidP="00D16E24">
            <w:pPr>
              <w:pStyle w:val="OikoTables03Content"/>
              <w:spacing w:after="120" w:line="240" w:lineRule="auto"/>
              <w:rPr>
                <w:b w:val="0"/>
                <w:bCs w:val="0"/>
                <w:lang w:val="en-GB"/>
              </w:rPr>
            </w:pPr>
            <w:proofErr w:type="spellStart"/>
            <w:r>
              <w:rPr>
                <w:b w:val="0"/>
                <w:bCs w:val="0"/>
              </w:rPr>
              <w:t>Agro-silvo</w:t>
            </w:r>
            <w:proofErr w:type="spellEnd"/>
            <w:r>
              <w:rPr>
                <w:b w:val="0"/>
                <w:bCs w:val="0"/>
              </w:rPr>
              <w:t xml:space="preserve"> (oasis agroforestry)</w:t>
            </w:r>
          </w:p>
        </w:tc>
        <w:tc>
          <w:tcPr>
            <w:tcW w:w="766" w:type="dxa"/>
          </w:tcPr>
          <w:p w14:paraId="4150CB1F" w14:textId="6AE64718"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5</w:t>
            </w:r>
          </w:p>
        </w:tc>
        <w:tc>
          <w:tcPr>
            <w:tcW w:w="927" w:type="dxa"/>
          </w:tcPr>
          <w:p w14:paraId="3B9D2036" w14:textId="50F1C734"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5</w:t>
            </w:r>
          </w:p>
        </w:tc>
        <w:tc>
          <w:tcPr>
            <w:tcW w:w="679" w:type="dxa"/>
          </w:tcPr>
          <w:p w14:paraId="0846E8F9" w14:textId="081CD1FB"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4</w:t>
            </w:r>
          </w:p>
        </w:tc>
        <w:tc>
          <w:tcPr>
            <w:tcW w:w="1111" w:type="dxa"/>
          </w:tcPr>
          <w:p w14:paraId="4EFA2794" w14:textId="08DE26B3"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5</w:t>
            </w:r>
          </w:p>
        </w:tc>
        <w:tc>
          <w:tcPr>
            <w:tcW w:w="1094" w:type="dxa"/>
          </w:tcPr>
          <w:p w14:paraId="10874A0D" w14:textId="28135376"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739" w:type="dxa"/>
          </w:tcPr>
          <w:p w14:paraId="1AC845F0" w14:textId="22700C22"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4</w:t>
            </w:r>
          </w:p>
        </w:tc>
        <w:tc>
          <w:tcPr>
            <w:tcW w:w="723" w:type="dxa"/>
          </w:tcPr>
          <w:p w14:paraId="28822C7A" w14:textId="4B69E3E3"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1089" w:type="dxa"/>
          </w:tcPr>
          <w:p w14:paraId="2FBD7120" w14:textId="2EBC4F4C" w:rsidR="000A1E4F" w:rsidRPr="000A1E4F"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Pr>
                <w:b/>
                <w:bCs/>
              </w:rPr>
              <w:t>4.35</w:t>
            </w:r>
          </w:p>
        </w:tc>
      </w:tr>
      <w:tr w:rsidR="000A1E4F" w:rsidRPr="00E35798" w14:paraId="253A266A" w14:textId="77777777" w:rsidTr="000A1E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510" w:type="dxa"/>
            <w:shd w:val="clear" w:color="auto" w:fill="F6D7C4" w:themeFill="accent3" w:themeFillTint="66"/>
          </w:tcPr>
          <w:p w14:paraId="05CA997A" w14:textId="093AD182" w:rsidR="000A1E4F" w:rsidRPr="003152E6" w:rsidRDefault="000A1E4F" w:rsidP="00D16E24">
            <w:pPr>
              <w:pStyle w:val="OikoTables03Content"/>
              <w:spacing w:after="120" w:line="240" w:lineRule="auto"/>
              <w:rPr>
                <w:b w:val="0"/>
                <w:bCs w:val="0"/>
                <w:lang w:val="en-GB"/>
              </w:rPr>
            </w:pPr>
            <w:proofErr w:type="spellStart"/>
            <w:r>
              <w:rPr>
                <w:b w:val="0"/>
                <w:bCs w:val="0"/>
              </w:rPr>
              <w:t>Silvopastoral</w:t>
            </w:r>
            <w:proofErr w:type="spellEnd"/>
            <w:r>
              <w:rPr>
                <w:b w:val="0"/>
                <w:bCs w:val="0"/>
              </w:rPr>
              <w:t xml:space="preserve"> </w:t>
            </w:r>
          </w:p>
        </w:tc>
        <w:tc>
          <w:tcPr>
            <w:tcW w:w="766" w:type="dxa"/>
          </w:tcPr>
          <w:p w14:paraId="486E8ABA" w14:textId="308412DD"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927" w:type="dxa"/>
          </w:tcPr>
          <w:p w14:paraId="53CCDE41" w14:textId="55D46952"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679" w:type="dxa"/>
          </w:tcPr>
          <w:p w14:paraId="757757E6" w14:textId="50D9621A"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4</w:t>
            </w:r>
          </w:p>
        </w:tc>
        <w:tc>
          <w:tcPr>
            <w:tcW w:w="1111" w:type="dxa"/>
          </w:tcPr>
          <w:p w14:paraId="7E740F28" w14:textId="3E956E31"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4</w:t>
            </w:r>
          </w:p>
        </w:tc>
        <w:tc>
          <w:tcPr>
            <w:tcW w:w="1094" w:type="dxa"/>
          </w:tcPr>
          <w:p w14:paraId="4576746E" w14:textId="05B1131D"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739" w:type="dxa"/>
          </w:tcPr>
          <w:p w14:paraId="6C5D8663" w14:textId="7536F3AF"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723" w:type="dxa"/>
          </w:tcPr>
          <w:p w14:paraId="5AF9696B" w14:textId="582F6A99"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w:t>
            </w:r>
          </w:p>
        </w:tc>
        <w:tc>
          <w:tcPr>
            <w:tcW w:w="1089" w:type="dxa"/>
          </w:tcPr>
          <w:p w14:paraId="2D4E059D" w14:textId="2E194A52" w:rsidR="000A1E4F" w:rsidRPr="00E35798" w:rsidRDefault="000A1E4F"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t>3.30</w:t>
            </w:r>
          </w:p>
        </w:tc>
      </w:tr>
      <w:tr w:rsidR="000A1E4F" w:rsidRPr="00E35798" w14:paraId="2E1E9652" w14:textId="77777777" w:rsidTr="000A1E4F">
        <w:trPr>
          <w:trHeight w:val="345"/>
        </w:trPr>
        <w:tc>
          <w:tcPr>
            <w:cnfStyle w:val="001000000000" w:firstRow="0" w:lastRow="0" w:firstColumn="1" w:lastColumn="0" w:oddVBand="0" w:evenVBand="0" w:oddHBand="0" w:evenHBand="0" w:firstRowFirstColumn="0" w:firstRowLastColumn="0" w:lastRowFirstColumn="0" w:lastRowLastColumn="0"/>
            <w:tcW w:w="2510" w:type="dxa"/>
            <w:shd w:val="clear" w:color="auto" w:fill="F6D7C4" w:themeFill="accent3" w:themeFillTint="66"/>
          </w:tcPr>
          <w:p w14:paraId="2CCFA120" w14:textId="41C4E55C" w:rsidR="000A1E4F" w:rsidRPr="003152E6" w:rsidRDefault="000A1E4F" w:rsidP="00D16E24">
            <w:pPr>
              <w:pStyle w:val="OikoTables03Content"/>
              <w:spacing w:after="120" w:line="240" w:lineRule="auto"/>
              <w:rPr>
                <w:b w:val="0"/>
                <w:bCs w:val="0"/>
                <w:lang w:val="en-GB"/>
              </w:rPr>
            </w:pPr>
            <w:r>
              <w:rPr>
                <w:b w:val="0"/>
                <w:bCs w:val="0"/>
              </w:rPr>
              <w:t>Riparian</w:t>
            </w:r>
          </w:p>
        </w:tc>
        <w:tc>
          <w:tcPr>
            <w:tcW w:w="766" w:type="dxa"/>
          </w:tcPr>
          <w:p w14:paraId="6857658C" w14:textId="428DCC4C"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927" w:type="dxa"/>
          </w:tcPr>
          <w:p w14:paraId="4A6681DE" w14:textId="3207F5A6"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679" w:type="dxa"/>
          </w:tcPr>
          <w:p w14:paraId="526C31EF" w14:textId="00CBD6ED"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1111" w:type="dxa"/>
          </w:tcPr>
          <w:p w14:paraId="7DC42E01" w14:textId="683EF814"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2</w:t>
            </w:r>
          </w:p>
        </w:tc>
        <w:tc>
          <w:tcPr>
            <w:tcW w:w="1094" w:type="dxa"/>
          </w:tcPr>
          <w:p w14:paraId="535C7553" w14:textId="29C66C9E"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739" w:type="dxa"/>
          </w:tcPr>
          <w:p w14:paraId="4C37316A" w14:textId="3F39EBDF"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3</w:t>
            </w:r>
          </w:p>
        </w:tc>
        <w:tc>
          <w:tcPr>
            <w:tcW w:w="723" w:type="dxa"/>
          </w:tcPr>
          <w:p w14:paraId="18C27EE9" w14:textId="13B98321"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1</w:t>
            </w:r>
          </w:p>
        </w:tc>
        <w:tc>
          <w:tcPr>
            <w:tcW w:w="1089" w:type="dxa"/>
          </w:tcPr>
          <w:p w14:paraId="2761E3D5" w14:textId="4235C6EF" w:rsidR="000A1E4F" w:rsidRPr="00E35798" w:rsidRDefault="000A1E4F"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t>2.65</w:t>
            </w:r>
          </w:p>
        </w:tc>
      </w:tr>
    </w:tbl>
    <w:p w14:paraId="4AC1DA06" w14:textId="20853866" w:rsidR="5BE4E3AE" w:rsidRPr="00E35798" w:rsidRDefault="5BE4E3AE" w:rsidP="00EB489E">
      <w:r>
        <w:t xml:space="preserve"> </w:t>
      </w:r>
    </w:p>
    <w:p w14:paraId="3715D22D" w14:textId="32552E60" w:rsidR="00611638" w:rsidRDefault="00611638" w:rsidP="00EB489E">
      <w:r>
        <w:t>The MCA results highlight two complementary agroforestry development pathways for southern Mongolia, reflecting the balance between scalability and system performance.</w:t>
      </w:r>
    </w:p>
    <w:p w14:paraId="6437887E" w14:textId="77777777" w:rsidR="003A0149" w:rsidRDefault="003A0149" w:rsidP="00603FFC">
      <w:pPr>
        <w:pStyle w:val="BodyText"/>
        <w:rPr>
          <w:b/>
          <w:bCs/>
        </w:rPr>
      </w:pPr>
    </w:p>
    <w:p w14:paraId="50886029" w14:textId="05929A56" w:rsidR="00603FFC" w:rsidRPr="00603FFC" w:rsidRDefault="00603FFC" w:rsidP="00603FFC">
      <w:pPr>
        <w:pStyle w:val="BodyText"/>
        <w:rPr>
          <w:b/>
          <w:bCs/>
        </w:rPr>
      </w:pPr>
      <w:r>
        <w:rPr>
          <w:b/>
          <w:bCs/>
        </w:rPr>
        <w:t xml:space="preserve">Model 1. </w:t>
      </w:r>
      <w:proofErr w:type="spellStart"/>
      <w:r>
        <w:rPr>
          <w:b/>
          <w:bCs/>
        </w:rPr>
        <w:t>Agro</w:t>
      </w:r>
      <w:proofErr w:type="spellEnd"/>
      <w:r>
        <w:rPr>
          <w:b/>
          <w:bCs/>
        </w:rPr>
        <w:t>-Silvo (oasis agroforestry) – weighted score: 4.35</w:t>
      </w:r>
    </w:p>
    <w:p w14:paraId="52C076F5" w14:textId="08B961E3" w:rsidR="00603FFC" w:rsidRDefault="00603FFC" w:rsidP="00EB489E">
      <w:r>
        <w:rPr>
          <w:lang w:val="en-US"/>
        </w:rPr>
        <w:lastRenderedPageBreak/>
        <w:t xml:space="preserve">The </w:t>
      </w:r>
      <w:proofErr w:type="spellStart"/>
      <w:r>
        <w:rPr>
          <w:lang w:val="en-US"/>
        </w:rPr>
        <w:t>Agro-silvo</w:t>
      </w:r>
      <w:proofErr w:type="spellEnd"/>
      <w:r>
        <w:rPr>
          <w:lang w:val="en-US"/>
        </w:rPr>
        <w:t xml:space="preserve"> system achieves the highest score, reflecting its role as a high-performance integrated system. In this system, the use of drip irrigation combined with tree cover maximizes water-use efficiency and reduces evaporation. The combination of trees (wind buffering) and greenhouses (controlled environment) provides strong protection against climate variability. The </w:t>
      </w:r>
      <w:proofErr w:type="spellStart"/>
      <w:r>
        <w:rPr>
          <w:lang w:val="en-US"/>
        </w:rPr>
        <w:t>agro-silvo</w:t>
      </w:r>
      <w:proofErr w:type="spellEnd"/>
      <w:r>
        <w:rPr>
          <w:lang w:val="en-US"/>
        </w:rPr>
        <w:t xml:space="preserve"> system is the most economically productive system, combining greenhouse and/or open-field vegetable production, and tree-based outputs such as fruit, biomass, fodder. Greenhouse production allows short-term returns, unlike traditional agroforestry systems. The downsides of this model include extensive requirement of irrigation infrastructure, and technical knowledge, as well as limited scalability depending water availability, investment costs, technical capacity and climate constraints (much more complicated for Dundgovi for instance). </w:t>
      </w:r>
      <w:r>
        <w:t xml:space="preserve">In conclusion, this model represents a “high-input, high-output system”, best suited for pilot areas, peri-urban zones and supported projects. It delivers the highest </w:t>
      </w:r>
      <w:proofErr w:type="gramStart"/>
      <w:r>
        <w:t>performance, but</w:t>
      </w:r>
      <w:proofErr w:type="gramEnd"/>
      <w:r>
        <w:t xml:space="preserve"> is less easily scalable.</w:t>
      </w:r>
    </w:p>
    <w:p w14:paraId="03E415F4" w14:textId="77777777" w:rsidR="00B844B8" w:rsidRDefault="00B844B8" w:rsidP="00603FFC">
      <w:pPr>
        <w:pStyle w:val="BodyText"/>
        <w:rPr>
          <w:b/>
          <w:bCs/>
        </w:rPr>
      </w:pPr>
    </w:p>
    <w:p w14:paraId="6A9B4353" w14:textId="558C8DD9" w:rsidR="306618DF" w:rsidRPr="00603FFC" w:rsidRDefault="306618DF" w:rsidP="00603FFC">
      <w:pPr>
        <w:pStyle w:val="BodyText"/>
        <w:rPr>
          <w:b/>
          <w:bCs/>
        </w:rPr>
      </w:pPr>
      <w:r>
        <w:rPr>
          <w:b/>
          <w:bCs/>
        </w:rPr>
        <w:t xml:space="preserve">Model </w:t>
      </w:r>
      <w:r w:rsidR="003A0149">
        <w:rPr>
          <w:b/>
          <w:bCs/>
        </w:rPr>
        <w:t>2</w:t>
      </w:r>
      <w:r>
        <w:rPr>
          <w:b/>
          <w:bCs/>
        </w:rPr>
        <w:t>: Windbreaks / Shelterbelts – weighted score: 4.25</w:t>
      </w:r>
    </w:p>
    <w:p w14:paraId="14C7BC0F" w14:textId="7844A1C8" w:rsidR="4AF092CD" w:rsidRPr="00E35798" w:rsidRDefault="306618DF" w:rsidP="00EB489E">
      <w:r>
        <w:t>Windbreak systems achieve a very high overall score, confirming their role as the most robust and scalable baseline solution for southern Mongolia. Benefits are mostly indirect (yield stabilization, risk reduction), with limited direct income generation, except when integrating fruit (berry) trees/shrubs and/or more valuable timber tree species when possible. In terms of water efficiency, windbreaks significantly reduce evapotranspiration and improve soil moisture retention. When combined with drip irrigation in adjacent fields, they further enhance water-use efficiency by protecting crops from desiccation. For climate resilience, these systems provide strong protection against wind, which is a dominant stress factor in the region, improving both open-field and greenhouse performance. By reducing wind erosion windbreak systems, they contribute to soil protection, and help stabilize topsoil, limit nutrient loss, and promote gradual improvements in soil structure and organic matter over time. Already widely implemented, windbreaks/shelterbelts can be deployed across large areas with relatively low complexity. The systems are relatively simple to design and implement, thus accessible and manageable for smallholders with limited technical capacity. They require basic knowledge of species selection, spacing, and alignment with prevailing winds, but do not involve complex infrastructure or high technical dependency. Windbreaks and shelterbelts are thus the</w:t>
      </w:r>
      <w:r>
        <w:rPr>
          <w:b/>
          <w:bCs/>
        </w:rPr>
        <w:t xml:space="preserve"> </w:t>
      </w:r>
      <w:r>
        <w:t xml:space="preserve">most reliable large-scale </w:t>
      </w:r>
      <w:proofErr w:type="spellStart"/>
      <w:r>
        <w:t>EbA</w:t>
      </w:r>
      <w:proofErr w:type="spellEnd"/>
      <w:r>
        <w:t xml:space="preserve"> solution</w:t>
      </w:r>
      <w:r>
        <w:rPr>
          <w:b/>
          <w:bCs/>
        </w:rPr>
        <w:t xml:space="preserve">, </w:t>
      </w:r>
      <w:r>
        <w:t>particularly suited to protect both open-field crops and greenhouse systems, but they are not a primary income-generating system.</w:t>
      </w:r>
    </w:p>
    <w:p w14:paraId="295C7E55" w14:textId="77777777" w:rsidR="00B844B8" w:rsidRDefault="00B844B8" w:rsidP="00EB489E"/>
    <w:p w14:paraId="41953352" w14:textId="13F14122" w:rsidR="00603FFC" w:rsidRDefault="00603FFC" w:rsidP="00EB489E">
      <w:r>
        <w:t>The results demonstrate that while windbreak systems provide the most scalable and robust adaptation measure under arid conditions, integrated agroforestry systems combining drip irrigation and greenhouse production achieve the highest overall performance in terms of productivity, water efficiency, and climate resilience. A combined approach, integrating both systems, offers the most effective strategy for sustainable agricultural development in southern Mongolia.</w:t>
      </w:r>
    </w:p>
    <w:p w14:paraId="0AAC6D7E" w14:textId="77777777" w:rsidR="00B844B8" w:rsidRDefault="00B844B8" w:rsidP="00EB489E"/>
    <w:p w14:paraId="3D4A1B5E" w14:textId="43395CDD" w:rsidR="003152E6" w:rsidRDefault="003152E6" w:rsidP="00EB489E">
      <w:r>
        <w:t xml:space="preserve">An additional agroforestry model that is feasible in rural Mongolia is the </w:t>
      </w:r>
      <w:proofErr w:type="spellStart"/>
      <w:r>
        <w:t>silvopastoral</w:t>
      </w:r>
      <w:proofErr w:type="spellEnd"/>
      <w:r>
        <w:t xml:space="preserve"> system, which achieved a moderate weighted score of 3.30 in MCA. They improve rangeland condition and soil fertility (aided by livestock manure) and raise livestock productivity through better fodder and reduced climate losses, but their benefits are largely indirect for specialised horticulture and depend on adapting grazing practices. </w:t>
      </w:r>
    </w:p>
    <w:p w14:paraId="2A61B377" w14:textId="7B723DB6" w:rsidR="004928A5" w:rsidRDefault="004928A5" w:rsidP="00603FFC">
      <w:pPr>
        <w:pStyle w:val="Heading3"/>
        <w:spacing w:before="240" w:line="240" w:lineRule="auto"/>
        <w:contextualSpacing w:val="0"/>
      </w:pPr>
      <w:bookmarkStart w:id="144" w:name="_Toc233981349"/>
      <w:r>
        <w:t>Province-specific application and species recommended</w:t>
      </w:r>
      <w:bookmarkEnd w:id="144"/>
    </w:p>
    <w:p w14:paraId="3A93E12B" w14:textId="5F5BDEF7" w:rsidR="00D31341" w:rsidRPr="001F34CC" w:rsidRDefault="00D31341" w:rsidP="00EB489E">
      <w:pPr>
        <w:rPr>
          <w:lang w:eastAsia="zh-CN"/>
        </w:rPr>
      </w:pPr>
      <w:r>
        <w:rPr>
          <w:lang w:eastAsia="zh-CN"/>
        </w:rPr>
        <w:t>Across both provinces, agroforestry development is constrained by arid climate (100–250 mm annual rainfall), poor and often alkaline soils, high evapotranspiration and strong winds, ongoing desertification and land degradation and limited water infrastructure and irrigation capacity.</w:t>
      </w:r>
    </w:p>
    <w:p w14:paraId="31D63C8E" w14:textId="77777777" w:rsidR="00B844B8" w:rsidRDefault="00B844B8" w:rsidP="00EB489E">
      <w:pPr>
        <w:rPr>
          <w:lang w:val="en-US" w:eastAsia="zh-CN"/>
        </w:rPr>
      </w:pPr>
    </w:p>
    <w:p w14:paraId="5CD4F558" w14:textId="7D15366F" w:rsidR="00D31341" w:rsidRPr="001F34CC" w:rsidRDefault="00D31341" w:rsidP="00EB489E">
      <w:pPr>
        <w:rPr>
          <w:lang w:val="en-US" w:eastAsia="zh-CN"/>
        </w:rPr>
      </w:pPr>
      <w:r>
        <w:rPr>
          <w:lang w:val="en-US" w:eastAsia="zh-CN"/>
        </w:rPr>
        <w:t xml:space="preserve">Agroforestry systems remain largely protective rather than fully productive at scale. At this stage, the MCA scoring is not quantitatively differentiated between Dundgovi and Uvurkhangai, however, a qualitative differentiation can be introduced based on local conditions. In other words, the two provinces should apply the same models with different emphasis. Dundgovi should </w:t>
      </w:r>
      <w:proofErr w:type="spellStart"/>
      <w:r>
        <w:rPr>
          <w:lang w:val="en-US" w:eastAsia="zh-CN"/>
        </w:rPr>
        <w:t>prioritise</w:t>
      </w:r>
      <w:proofErr w:type="spellEnd"/>
      <w:r>
        <w:rPr>
          <w:lang w:val="en-US" w:eastAsia="zh-CN"/>
        </w:rPr>
        <w:t xml:space="preserve"> windbreaks and shelterbelts for their protective and resilience functions; the harsher aridity and water scarcity make </w:t>
      </w:r>
      <w:proofErr w:type="spellStart"/>
      <w:r>
        <w:rPr>
          <w:lang w:val="en-US" w:eastAsia="zh-CN"/>
        </w:rPr>
        <w:t>agro-silvo</w:t>
      </w:r>
      <w:proofErr w:type="spellEnd"/>
      <w:r>
        <w:rPr>
          <w:lang w:val="en-US" w:eastAsia="zh-CN"/>
        </w:rPr>
        <w:t xml:space="preserve"> systems difficult and, for now, secondary. Uvurkhangai, with better soils, water and irrigation potential, can begin with windbreaks and evolve toward more productive, diversified, income-generating </w:t>
      </w:r>
      <w:proofErr w:type="spellStart"/>
      <w:r>
        <w:rPr>
          <w:lang w:val="en-US" w:eastAsia="zh-CN"/>
        </w:rPr>
        <w:t>agro-silvo</w:t>
      </w:r>
      <w:proofErr w:type="spellEnd"/>
      <w:r>
        <w:rPr>
          <w:lang w:val="en-US" w:eastAsia="zh-CN"/>
        </w:rPr>
        <w:t xml:space="preserve"> (oasis-based) systems, while continuing to use shelterbelts as the protective backbone. In addition,</w:t>
      </w:r>
      <w:r>
        <w:rPr>
          <w:b/>
          <w:bCs/>
          <w:lang w:val="en-US" w:eastAsia="zh-CN"/>
        </w:rPr>
        <w:t xml:space="preserve"> </w:t>
      </w:r>
      <w:r>
        <w:rPr>
          <w:lang w:val="en-US" w:eastAsia="zh-CN"/>
        </w:rPr>
        <w:t>windbreak/shelterbelts could be implemented</w:t>
      </w:r>
      <w:r>
        <w:rPr>
          <w:b/>
          <w:bCs/>
          <w:lang w:val="en-US" w:eastAsia="zh-CN"/>
        </w:rPr>
        <w:t xml:space="preserve"> </w:t>
      </w:r>
      <w:r>
        <w:rPr>
          <w:lang w:val="en-US" w:eastAsia="zh-CN"/>
        </w:rPr>
        <w:t>in the field border of plots.</w:t>
      </w:r>
    </w:p>
    <w:p w14:paraId="389667B4" w14:textId="77777777" w:rsidR="00B844B8" w:rsidRDefault="00B844B8" w:rsidP="00EB489E">
      <w:pPr>
        <w:rPr>
          <w:lang w:val="en-US" w:eastAsia="zh-CN"/>
        </w:rPr>
      </w:pPr>
    </w:p>
    <w:p w14:paraId="68A45F0F" w14:textId="0A2B422D" w:rsidR="00675308" w:rsidRDefault="003F0A6B" w:rsidP="00EB489E">
      <w:pPr>
        <w:rPr>
          <w:lang w:val="en-US" w:eastAsia="zh-CN"/>
        </w:rPr>
      </w:pPr>
      <w:r>
        <w:rPr>
          <w:lang w:val="en-US" w:eastAsia="zh-CN"/>
        </w:rPr>
        <w:t xml:space="preserve">Species selection </w:t>
      </w:r>
      <w:proofErr w:type="spellStart"/>
      <w:r>
        <w:rPr>
          <w:lang w:val="en-US" w:eastAsia="zh-CN"/>
        </w:rPr>
        <w:t>favours</w:t>
      </w:r>
      <w:proofErr w:type="spellEnd"/>
      <w:r>
        <w:rPr>
          <w:lang w:val="en-US" w:eastAsia="zh-CN"/>
        </w:rPr>
        <w:t xml:space="preserve"> hardy, drought-tolerant, multipurpose trees and shrubs. Additional selection criteria include local adaptability and economic value. Importantly — and following the recommendation to accelerate farmer income — shelterbelts around vegetable fields should deliberately incorporate fruiting berry shrubs, </w:t>
      </w:r>
      <w:r>
        <w:rPr>
          <w:lang w:val="en-US" w:eastAsia="zh-CN"/>
        </w:rPr>
        <w:lastRenderedPageBreak/>
        <w:t>which return income to farmers far sooner than timber trees. Sea buckthorn (</w:t>
      </w:r>
      <w:proofErr w:type="spellStart"/>
      <w:r>
        <w:rPr>
          <w:i/>
          <w:iCs/>
          <w:lang w:val="en-US" w:eastAsia="zh-CN"/>
        </w:rPr>
        <w:t>Hippophae</w:t>
      </w:r>
      <w:proofErr w:type="spellEnd"/>
      <w:r>
        <w:rPr>
          <w:i/>
          <w:iCs/>
          <w:lang w:val="en-US" w:eastAsia="zh-CN"/>
        </w:rPr>
        <w:t xml:space="preserve"> </w:t>
      </w:r>
      <w:proofErr w:type="spellStart"/>
      <w:r>
        <w:rPr>
          <w:i/>
          <w:iCs/>
          <w:lang w:val="en-US" w:eastAsia="zh-CN"/>
        </w:rPr>
        <w:t>rhamnoides</w:t>
      </w:r>
      <w:proofErr w:type="spellEnd"/>
      <w:r>
        <w:rPr>
          <w:lang w:val="en-US" w:eastAsia="zh-CN"/>
        </w:rPr>
        <w:t>) is especially suitable: it is already widely grown in Mongolia, nitrogen-fixing, drought- and cold-hardy, and yields a high-value berry with food and medicinal markets; honeyberry (</w:t>
      </w:r>
      <w:r>
        <w:rPr>
          <w:i/>
          <w:iCs/>
          <w:lang w:val="en-US" w:eastAsia="zh-CN"/>
        </w:rPr>
        <w:t>Lonicera caerulea</w:t>
      </w:r>
      <w:r>
        <w:rPr>
          <w:lang w:val="en-US" w:eastAsia="zh-CN"/>
        </w:rPr>
        <w:t>) and blackcurrant (</w:t>
      </w:r>
      <w:r>
        <w:rPr>
          <w:i/>
          <w:iCs/>
          <w:lang w:val="en-US" w:eastAsia="zh-CN"/>
        </w:rPr>
        <w:t>Ribes spp.</w:t>
      </w:r>
      <w:r>
        <w:rPr>
          <w:lang w:val="en-US" w:eastAsia="zh-CN"/>
        </w:rPr>
        <w:t>) are further options where water allows. A multi-layer shelterbelt design combines an outer wind-bearing row of tall trees (</w:t>
      </w:r>
      <w:r>
        <w:rPr>
          <w:i/>
          <w:iCs/>
          <w:lang w:val="en-US" w:eastAsia="zh-CN"/>
        </w:rPr>
        <w:t>Populus, Ulmus</w:t>
      </w:r>
      <w:r>
        <w:rPr>
          <w:lang w:val="en-US" w:eastAsia="zh-CN"/>
        </w:rPr>
        <w:t>) with a middle layer of shrubs (</w:t>
      </w:r>
      <w:r>
        <w:rPr>
          <w:i/>
          <w:iCs/>
          <w:lang w:val="en-US" w:eastAsia="zh-CN"/>
        </w:rPr>
        <w:t>Caragana</w:t>
      </w:r>
      <w:r>
        <w:rPr>
          <w:lang w:val="en-US" w:eastAsia="zh-CN"/>
        </w:rPr>
        <w:t>, sea buckthorn) and, on irrigated sites, an inner layer of fruit trees.</w:t>
      </w:r>
    </w:p>
    <w:p w14:paraId="546D7FCB" w14:textId="77777777" w:rsidR="00B844B8" w:rsidRPr="003F0A6B" w:rsidRDefault="00B844B8" w:rsidP="00EB489E">
      <w:pPr>
        <w:rPr>
          <w:lang w:val="en-US" w:eastAsia="zh-CN"/>
        </w:rPr>
      </w:pPr>
    </w:p>
    <w:p w14:paraId="7B48F855" w14:textId="0AC562A5" w:rsidR="00BC35D0" w:rsidRPr="00E35798" w:rsidRDefault="00BC35D0" w:rsidP="00D16E24">
      <w:pPr>
        <w:pStyle w:val="Caption"/>
        <w:keepNext/>
        <w:framePr w:wrap="notBeside"/>
        <w:spacing w:after="120"/>
        <w:contextualSpacing w:val="0"/>
      </w:pPr>
      <w:r>
        <w:t xml:space="preserve">Table </w:t>
      </w:r>
      <w:r w:rsidR="000E5B0A">
        <w:t>43</w:t>
      </w:r>
      <w:r>
        <w:t>. Recommended tree and shrub species</w:t>
      </w:r>
    </w:p>
    <w:tbl>
      <w:tblPr>
        <w:tblStyle w:val="PlainTable2"/>
        <w:tblW w:w="4855" w:type="pct"/>
        <w:tblBorders>
          <w:top w:val="single" w:sz="4" w:space="0" w:color="BCBCBC" w:themeColor="background1"/>
          <w:bottom w:val="single" w:sz="4" w:space="0" w:color="BCBCBC" w:themeColor="background1"/>
          <w:insideH w:val="single" w:sz="4" w:space="0" w:color="BCBCBC" w:themeColor="background1"/>
        </w:tblBorders>
        <w:tblLook w:val="04A0" w:firstRow="1" w:lastRow="0" w:firstColumn="1" w:lastColumn="0" w:noHBand="0" w:noVBand="1"/>
      </w:tblPr>
      <w:tblGrid>
        <w:gridCol w:w="2359"/>
        <w:gridCol w:w="1611"/>
        <w:gridCol w:w="2377"/>
        <w:gridCol w:w="3011"/>
      </w:tblGrid>
      <w:tr w:rsidR="008403A8" w:rsidRPr="003F0A6B" w14:paraId="406E8A92" w14:textId="77777777" w:rsidTr="00B844B8">
        <w:trPr>
          <w:cnfStyle w:val="100000000000" w:firstRow="1" w:lastRow="0" w:firstColumn="0" w:lastColumn="0" w:oddVBand="0" w:evenVBand="0" w:oddHBand="0"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1260" w:type="pct"/>
            <w:tcBorders>
              <w:bottom w:val="none" w:sz="0" w:space="0" w:color="auto"/>
            </w:tcBorders>
            <w:shd w:val="clear" w:color="auto" w:fill="E99E6D" w:themeFill="accent3"/>
            <w:hideMark/>
          </w:tcPr>
          <w:p w14:paraId="18FEBF54" w14:textId="77777777" w:rsidR="008403A8" w:rsidRPr="003F0A6B" w:rsidRDefault="008403A8" w:rsidP="00B844B8">
            <w:pPr>
              <w:pStyle w:val="OikoTables02"/>
            </w:pPr>
            <w:r>
              <w:t>Species</w:t>
            </w:r>
          </w:p>
        </w:tc>
        <w:tc>
          <w:tcPr>
            <w:tcW w:w="861" w:type="pct"/>
            <w:tcBorders>
              <w:bottom w:val="none" w:sz="0" w:space="0" w:color="auto"/>
            </w:tcBorders>
            <w:shd w:val="clear" w:color="auto" w:fill="E99E6D" w:themeFill="accent3"/>
            <w:hideMark/>
          </w:tcPr>
          <w:p w14:paraId="7FFEC9D6" w14:textId="77777777" w:rsidR="008403A8" w:rsidRPr="003F0A6B" w:rsidRDefault="008403A8" w:rsidP="00B844B8">
            <w:pPr>
              <w:pStyle w:val="OikoTables02"/>
              <w:cnfStyle w:val="100000000000" w:firstRow="1" w:lastRow="0" w:firstColumn="0" w:lastColumn="0" w:oddVBand="0" w:evenVBand="0" w:oddHBand="0" w:evenHBand="0" w:firstRowFirstColumn="0" w:firstRowLastColumn="0" w:lastRowFirstColumn="0" w:lastRowLastColumn="0"/>
            </w:pPr>
            <w:r>
              <w:t>Type</w:t>
            </w:r>
          </w:p>
        </w:tc>
        <w:tc>
          <w:tcPr>
            <w:tcW w:w="1270" w:type="pct"/>
            <w:tcBorders>
              <w:bottom w:val="none" w:sz="0" w:space="0" w:color="auto"/>
            </w:tcBorders>
            <w:shd w:val="clear" w:color="auto" w:fill="E99E6D" w:themeFill="accent3"/>
            <w:hideMark/>
          </w:tcPr>
          <w:p w14:paraId="6C920C27" w14:textId="77777777" w:rsidR="008403A8" w:rsidRPr="003F0A6B" w:rsidRDefault="008403A8" w:rsidP="00B844B8">
            <w:pPr>
              <w:pStyle w:val="OikoTables02"/>
              <w:cnfStyle w:val="100000000000" w:firstRow="1" w:lastRow="0" w:firstColumn="0" w:lastColumn="0" w:oddVBand="0" w:evenVBand="0" w:oddHBand="0" w:evenHBand="0" w:firstRowFirstColumn="0" w:firstRowLastColumn="0" w:lastRowFirstColumn="0" w:lastRowLastColumn="0"/>
            </w:pPr>
            <w:r>
              <w:t>Functions</w:t>
            </w:r>
          </w:p>
        </w:tc>
        <w:tc>
          <w:tcPr>
            <w:tcW w:w="1609" w:type="pct"/>
            <w:tcBorders>
              <w:bottom w:val="none" w:sz="0" w:space="0" w:color="auto"/>
            </w:tcBorders>
            <w:shd w:val="clear" w:color="auto" w:fill="E99E6D" w:themeFill="accent3"/>
            <w:hideMark/>
          </w:tcPr>
          <w:p w14:paraId="39E92649" w14:textId="77777777" w:rsidR="008403A8" w:rsidRPr="003F0A6B" w:rsidRDefault="008403A8" w:rsidP="00B844B8">
            <w:pPr>
              <w:pStyle w:val="OikoTables02"/>
              <w:cnfStyle w:val="100000000000" w:firstRow="1" w:lastRow="0" w:firstColumn="0" w:lastColumn="0" w:oddVBand="0" w:evenVBand="0" w:oddHBand="0" w:evenHBand="0" w:firstRowFirstColumn="0" w:firstRowLastColumn="0" w:lastRowFirstColumn="0" w:lastRowLastColumn="0"/>
            </w:pPr>
            <w:r>
              <w:t>Justification</w:t>
            </w:r>
          </w:p>
        </w:tc>
      </w:tr>
      <w:tr w:rsidR="00D4127B" w:rsidRPr="003F0A6B" w14:paraId="0AF0E549" w14:textId="77777777" w:rsidTr="00B844B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60" w:type="pct"/>
            <w:tcBorders>
              <w:top w:val="none" w:sz="0" w:space="0" w:color="auto"/>
              <w:bottom w:val="none" w:sz="0" w:space="0" w:color="auto"/>
            </w:tcBorders>
            <w:hideMark/>
          </w:tcPr>
          <w:p w14:paraId="6BC6EAE3" w14:textId="35057C4D" w:rsidR="00D4127B" w:rsidRPr="003F0A6B" w:rsidRDefault="00D4127B" w:rsidP="00B844B8">
            <w:pPr>
              <w:pStyle w:val="OikoTables03Content"/>
              <w:rPr>
                <w:b w:val="0"/>
                <w:bCs w:val="0"/>
                <w:i/>
                <w:iCs/>
              </w:rPr>
            </w:pPr>
            <w:r>
              <w:rPr>
                <w:b w:val="0"/>
                <w:bCs w:val="0"/>
                <w:i/>
                <w:iCs/>
              </w:rPr>
              <w:t xml:space="preserve">Caragana </w:t>
            </w:r>
            <w:proofErr w:type="spellStart"/>
            <w:r>
              <w:rPr>
                <w:b w:val="0"/>
                <w:bCs w:val="0"/>
                <w:i/>
                <w:iCs/>
              </w:rPr>
              <w:t>microphylla</w:t>
            </w:r>
            <w:proofErr w:type="spellEnd"/>
          </w:p>
        </w:tc>
        <w:tc>
          <w:tcPr>
            <w:tcW w:w="861" w:type="pct"/>
            <w:tcBorders>
              <w:top w:val="none" w:sz="0" w:space="0" w:color="auto"/>
              <w:bottom w:val="none" w:sz="0" w:space="0" w:color="auto"/>
            </w:tcBorders>
            <w:hideMark/>
          </w:tcPr>
          <w:p w14:paraId="492DFD3A" w14:textId="43EA8C5B"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Shrub (legume)</w:t>
            </w:r>
          </w:p>
        </w:tc>
        <w:tc>
          <w:tcPr>
            <w:tcW w:w="1270" w:type="pct"/>
            <w:tcBorders>
              <w:top w:val="none" w:sz="0" w:space="0" w:color="auto"/>
              <w:bottom w:val="none" w:sz="0" w:space="0" w:color="auto"/>
            </w:tcBorders>
            <w:hideMark/>
          </w:tcPr>
          <w:p w14:paraId="0458702B" w14:textId="516150BF"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Nitrogen fixation, fodder, windbreak</w:t>
            </w:r>
          </w:p>
        </w:tc>
        <w:tc>
          <w:tcPr>
            <w:tcW w:w="1609" w:type="pct"/>
            <w:tcBorders>
              <w:top w:val="none" w:sz="0" w:space="0" w:color="auto"/>
              <w:bottom w:val="none" w:sz="0" w:space="0" w:color="auto"/>
            </w:tcBorders>
            <w:hideMark/>
          </w:tcPr>
          <w:p w14:paraId="4FD3C9C8" w14:textId="0DE20FC4"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Highly drought-resistant, improves soil fertility</w:t>
            </w:r>
          </w:p>
        </w:tc>
      </w:tr>
      <w:tr w:rsidR="00D4127B" w:rsidRPr="003F0A6B" w14:paraId="5F49340E" w14:textId="77777777" w:rsidTr="00B844B8">
        <w:trPr>
          <w:trHeight w:val="334"/>
        </w:trPr>
        <w:tc>
          <w:tcPr>
            <w:cnfStyle w:val="001000000000" w:firstRow="0" w:lastRow="0" w:firstColumn="1" w:lastColumn="0" w:oddVBand="0" w:evenVBand="0" w:oddHBand="0" w:evenHBand="0" w:firstRowFirstColumn="0" w:firstRowLastColumn="0" w:lastRowFirstColumn="0" w:lastRowLastColumn="0"/>
            <w:tcW w:w="1260" w:type="pct"/>
            <w:hideMark/>
          </w:tcPr>
          <w:p w14:paraId="0C546012" w14:textId="32A6CD2A" w:rsidR="00D4127B" w:rsidRPr="003F0A6B" w:rsidRDefault="00D4127B" w:rsidP="00B844B8">
            <w:pPr>
              <w:pStyle w:val="OikoTables03Content"/>
              <w:rPr>
                <w:b w:val="0"/>
                <w:bCs w:val="0"/>
              </w:rPr>
            </w:pPr>
            <w:proofErr w:type="spellStart"/>
            <w:r>
              <w:rPr>
                <w:b w:val="0"/>
                <w:bCs w:val="0"/>
                <w:i/>
                <w:iCs/>
              </w:rPr>
              <w:t>Haloxylon</w:t>
            </w:r>
            <w:proofErr w:type="spellEnd"/>
            <w:r>
              <w:rPr>
                <w:b w:val="0"/>
                <w:bCs w:val="0"/>
                <w:i/>
                <w:iCs/>
              </w:rPr>
              <w:t xml:space="preserve"> </w:t>
            </w:r>
            <w:proofErr w:type="spellStart"/>
            <w:r>
              <w:rPr>
                <w:b w:val="0"/>
                <w:bCs w:val="0"/>
                <w:i/>
                <w:iCs/>
              </w:rPr>
              <w:t>Ammodendron</w:t>
            </w:r>
            <w:proofErr w:type="spellEnd"/>
            <w:r>
              <w:rPr>
                <w:b w:val="0"/>
                <w:bCs w:val="0"/>
                <w:i/>
                <w:iCs/>
              </w:rPr>
              <w:t xml:space="preserve"> </w:t>
            </w:r>
            <w:r>
              <w:rPr>
                <w:b w:val="0"/>
                <w:bCs w:val="0"/>
              </w:rPr>
              <w:t>(Saxaul)</w:t>
            </w:r>
          </w:p>
        </w:tc>
        <w:tc>
          <w:tcPr>
            <w:tcW w:w="861" w:type="pct"/>
            <w:hideMark/>
          </w:tcPr>
          <w:p w14:paraId="1BF655AD" w14:textId="21F06381"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Shrub/tree</w:t>
            </w:r>
          </w:p>
        </w:tc>
        <w:tc>
          <w:tcPr>
            <w:tcW w:w="1270" w:type="pct"/>
            <w:hideMark/>
          </w:tcPr>
          <w:p w14:paraId="54419E18" w14:textId="33A773EF"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Desert stabilization, fuelwood</w:t>
            </w:r>
          </w:p>
        </w:tc>
        <w:tc>
          <w:tcPr>
            <w:tcW w:w="1609" w:type="pct"/>
            <w:hideMark/>
          </w:tcPr>
          <w:p w14:paraId="745AED29" w14:textId="2CF54086"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Critical for desert ecosystems</w:t>
            </w:r>
          </w:p>
        </w:tc>
      </w:tr>
      <w:tr w:rsidR="00D4127B" w:rsidRPr="003F0A6B" w14:paraId="0CDCA035" w14:textId="77777777" w:rsidTr="00B844B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60" w:type="pct"/>
            <w:tcBorders>
              <w:top w:val="none" w:sz="0" w:space="0" w:color="auto"/>
              <w:bottom w:val="none" w:sz="0" w:space="0" w:color="auto"/>
            </w:tcBorders>
            <w:hideMark/>
          </w:tcPr>
          <w:p w14:paraId="165EE829" w14:textId="7224250F" w:rsidR="00D4127B" w:rsidRPr="003F0A6B" w:rsidRDefault="00D4127B" w:rsidP="00B844B8">
            <w:pPr>
              <w:pStyle w:val="OikoTables03Content"/>
              <w:rPr>
                <w:b w:val="0"/>
                <w:bCs w:val="0"/>
              </w:rPr>
            </w:pPr>
            <w:r>
              <w:rPr>
                <w:b w:val="0"/>
                <w:bCs w:val="0"/>
                <w:i/>
                <w:iCs/>
              </w:rPr>
              <w:t>Ulmus pumila</w:t>
            </w:r>
            <w:r>
              <w:rPr>
                <w:b w:val="0"/>
                <w:bCs w:val="0"/>
              </w:rPr>
              <w:t xml:space="preserve"> (Siberian elm)</w:t>
            </w:r>
          </w:p>
        </w:tc>
        <w:tc>
          <w:tcPr>
            <w:tcW w:w="861" w:type="pct"/>
            <w:tcBorders>
              <w:top w:val="none" w:sz="0" w:space="0" w:color="auto"/>
              <w:bottom w:val="none" w:sz="0" w:space="0" w:color="auto"/>
            </w:tcBorders>
            <w:hideMark/>
          </w:tcPr>
          <w:p w14:paraId="51FD3606" w14:textId="1C400278"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Tree</w:t>
            </w:r>
          </w:p>
        </w:tc>
        <w:tc>
          <w:tcPr>
            <w:tcW w:w="1270" w:type="pct"/>
            <w:tcBorders>
              <w:top w:val="none" w:sz="0" w:space="0" w:color="auto"/>
              <w:bottom w:val="none" w:sz="0" w:space="0" w:color="auto"/>
            </w:tcBorders>
            <w:hideMark/>
          </w:tcPr>
          <w:p w14:paraId="7A0E68CE" w14:textId="723DD9F3"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Shelterbelt, fodder</w:t>
            </w:r>
          </w:p>
        </w:tc>
        <w:tc>
          <w:tcPr>
            <w:tcW w:w="1609" w:type="pct"/>
            <w:tcBorders>
              <w:top w:val="none" w:sz="0" w:space="0" w:color="auto"/>
              <w:bottom w:val="none" w:sz="0" w:space="0" w:color="auto"/>
            </w:tcBorders>
            <w:hideMark/>
          </w:tcPr>
          <w:p w14:paraId="15D7A4DE" w14:textId="109F50F5"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Extremely drought tolerant</w:t>
            </w:r>
          </w:p>
        </w:tc>
      </w:tr>
      <w:tr w:rsidR="00D4127B" w:rsidRPr="003F0A6B" w14:paraId="653F398E" w14:textId="77777777" w:rsidTr="00B844B8">
        <w:trPr>
          <w:trHeight w:val="334"/>
        </w:trPr>
        <w:tc>
          <w:tcPr>
            <w:cnfStyle w:val="001000000000" w:firstRow="0" w:lastRow="0" w:firstColumn="1" w:lastColumn="0" w:oddVBand="0" w:evenVBand="0" w:oddHBand="0" w:evenHBand="0" w:firstRowFirstColumn="0" w:firstRowLastColumn="0" w:lastRowFirstColumn="0" w:lastRowLastColumn="0"/>
            <w:tcW w:w="1260" w:type="pct"/>
            <w:hideMark/>
          </w:tcPr>
          <w:p w14:paraId="06FAD6A4" w14:textId="2CDAB385" w:rsidR="00D4127B" w:rsidRPr="003F0A6B" w:rsidRDefault="00D4127B" w:rsidP="00B844B8">
            <w:pPr>
              <w:pStyle w:val="OikoTables03Content"/>
              <w:rPr>
                <w:b w:val="0"/>
                <w:bCs w:val="0"/>
              </w:rPr>
            </w:pPr>
            <w:r>
              <w:rPr>
                <w:b w:val="0"/>
                <w:bCs w:val="0"/>
                <w:i/>
                <w:iCs/>
              </w:rPr>
              <w:t>Elaeagnus Angustifolia</w:t>
            </w:r>
            <w:r>
              <w:rPr>
                <w:b w:val="0"/>
                <w:bCs w:val="0"/>
              </w:rPr>
              <w:t xml:space="preserve"> (Russian olive)</w:t>
            </w:r>
          </w:p>
        </w:tc>
        <w:tc>
          <w:tcPr>
            <w:tcW w:w="861" w:type="pct"/>
            <w:hideMark/>
          </w:tcPr>
          <w:p w14:paraId="60090CB2" w14:textId="0E46E62E"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Shrub</w:t>
            </w:r>
          </w:p>
        </w:tc>
        <w:tc>
          <w:tcPr>
            <w:tcW w:w="1270" w:type="pct"/>
            <w:hideMark/>
          </w:tcPr>
          <w:p w14:paraId="5638EE91" w14:textId="03DE52B9"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Nitrogen fixation, fruit</w:t>
            </w:r>
          </w:p>
        </w:tc>
        <w:tc>
          <w:tcPr>
            <w:tcW w:w="1609" w:type="pct"/>
            <w:hideMark/>
          </w:tcPr>
          <w:p w14:paraId="61250BB6" w14:textId="517E1A30"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Multi-purpose, hardy, drought-resistant</w:t>
            </w:r>
          </w:p>
        </w:tc>
      </w:tr>
      <w:tr w:rsidR="00D4127B" w:rsidRPr="003F0A6B" w14:paraId="18DC519C" w14:textId="77777777" w:rsidTr="00B844B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60" w:type="pct"/>
            <w:tcBorders>
              <w:top w:val="none" w:sz="0" w:space="0" w:color="auto"/>
              <w:bottom w:val="none" w:sz="0" w:space="0" w:color="auto"/>
            </w:tcBorders>
            <w:hideMark/>
          </w:tcPr>
          <w:p w14:paraId="458FE0C4" w14:textId="44722FBD" w:rsidR="00D4127B" w:rsidRPr="003F0A6B" w:rsidRDefault="00D4127B" w:rsidP="00B844B8">
            <w:pPr>
              <w:pStyle w:val="OikoTables03Content"/>
              <w:rPr>
                <w:b w:val="0"/>
                <w:bCs w:val="0"/>
              </w:rPr>
            </w:pPr>
            <w:r>
              <w:rPr>
                <w:b w:val="0"/>
                <w:bCs w:val="0"/>
                <w:i/>
                <w:iCs/>
              </w:rPr>
              <w:t xml:space="preserve">Populus spp. </w:t>
            </w:r>
            <w:r>
              <w:rPr>
                <w:b w:val="0"/>
                <w:bCs w:val="0"/>
              </w:rPr>
              <w:t>(Poplar)</w:t>
            </w:r>
          </w:p>
        </w:tc>
        <w:tc>
          <w:tcPr>
            <w:tcW w:w="861" w:type="pct"/>
            <w:tcBorders>
              <w:top w:val="none" w:sz="0" w:space="0" w:color="auto"/>
              <w:bottom w:val="none" w:sz="0" w:space="0" w:color="auto"/>
            </w:tcBorders>
            <w:hideMark/>
          </w:tcPr>
          <w:p w14:paraId="3BAE936C" w14:textId="4EFDD8B5"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Tree</w:t>
            </w:r>
          </w:p>
        </w:tc>
        <w:tc>
          <w:tcPr>
            <w:tcW w:w="1270" w:type="pct"/>
            <w:tcBorders>
              <w:top w:val="none" w:sz="0" w:space="0" w:color="auto"/>
              <w:bottom w:val="none" w:sz="0" w:space="0" w:color="auto"/>
            </w:tcBorders>
            <w:hideMark/>
          </w:tcPr>
          <w:p w14:paraId="335A765E" w14:textId="7C29741D"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Windbreak, timber, fuelwood</w:t>
            </w:r>
          </w:p>
        </w:tc>
        <w:tc>
          <w:tcPr>
            <w:tcW w:w="1609" w:type="pct"/>
            <w:tcBorders>
              <w:top w:val="none" w:sz="0" w:space="0" w:color="auto"/>
              <w:bottom w:val="none" w:sz="0" w:space="0" w:color="auto"/>
            </w:tcBorders>
            <w:hideMark/>
          </w:tcPr>
          <w:p w14:paraId="307BCFB6" w14:textId="2596BD57"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Fast-growing, widely used historically</w:t>
            </w:r>
          </w:p>
        </w:tc>
      </w:tr>
      <w:tr w:rsidR="00D4127B" w:rsidRPr="003F0A6B" w14:paraId="2E9BB93F" w14:textId="77777777" w:rsidTr="00B844B8">
        <w:trPr>
          <w:trHeight w:val="334"/>
        </w:trPr>
        <w:tc>
          <w:tcPr>
            <w:cnfStyle w:val="001000000000" w:firstRow="0" w:lastRow="0" w:firstColumn="1" w:lastColumn="0" w:oddVBand="0" w:evenVBand="0" w:oddHBand="0" w:evenHBand="0" w:firstRowFirstColumn="0" w:firstRowLastColumn="0" w:lastRowFirstColumn="0" w:lastRowLastColumn="0"/>
            <w:tcW w:w="1260" w:type="pct"/>
            <w:hideMark/>
          </w:tcPr>
          <w:p w14:paraId="57339501" w14:textId="1A9968E8" w:rsidR="00D4127B" w:rsidRPr="003F0A6B" w:rsidRDefault="00D4127B" w:rsidP="00B844B8">
            <w:pPr>
              <w:pStyle w:val="OikoTables03Content"/>
              <w:rPr>
                <w:b w:val="0"/>
                <w:bCs w:val="0"/>
                <w:i/>
                <w:iCs/>
              </w:rPr>
            </w:pPr>
            <w:proofErr w:type="spellStart"/>
            <w:r>
              <w:rPr>
                <w:b w:val="0"/>
                <w:bCs w:val="0"/>
                <w:i/>
                <w:iCs/>
              </w:rPr>
              <w:t>Tamarix</w:t>
            </w:r>
            <w:proofErr w:type="spellEnd"/>
            <w:r>
              <w:rPr>
                <w:b w:val="0"/>
                <w:bCs w:val="0"/>
                <w:i/>
                <w:iCs/>
              </w:rPr>
              <w:t xml:space="preserve"> spp.</w:t>
            </w:r>
          </w:p>
        </w:tc>
        <w:tc>
          <w:tcPr>
            <w:tcW w:w="861" w:type="pct"/>
            <w:hideMark/>
          </w:tcPr>
          <w:p w14:paraId="70E81E34" w14:textId="4806F0B4"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Tree</w:t>
            </w:r>
          </w:p>
        </w:tc>
        <w:tc>
          <w:tcPr>
            <w:tcW w:w="1270" w:type="pct"/>
            <w:hideMark/>
          </w:tcPr>
          <w:p w14:paraId="13DB9EBD" w14:textId="1D25EFC2"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Timber, fuelwood</w:t>
            </w:r>
          </w:p>
        </w:tc>
        <w:tc>
          <w:tcPr>
            <w:tcW w:w="1609" w:type="pct"/>
            <w:hideMark/>
          </w:tcPr>
          <w:p w14:paraId="6B657739" w14:textId="61C37B37"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Saline soil, drought-resistant</w:t>
            </w:r>
          </w:p>
        </w:tc>
      </w:tr>
      <w:tr w:rsidR="00D4127B" w:rsidRPr="003F0A6B" w14:paraId="5806CD43" w14:textId="77777777" w:rsidTr="00B844B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60" w:type="pct"/>
            <w:tcBorders>
              <w:top w:val="none" w:sz="0" w:space="0" w:color="auto"/>
              <w:bottom w:val="none" w:sz="0" w:space="0" w:color="auto"/>
            </w:tcBorders>
            <w:hideMark/>
          </w:tcPr>
          <w:p w14:paraId="271E8353" w14:textId="286893E3" w:rsidR="00D4127B" w:rsidRPr="003F0A6B" w:rsidRDefault="00D4127B" w:rsidP="00B844B8">
            <w:pPr>
              <w:pStyle w:val="OikoTables03Content"/>
              <w:rPr>
                <w:b w:val="0"/>
                <w:bCs w:val="0"/>
              </w:rPr>
            </w:pPr>
            <w:r>
              <w:rPr>
                <w:b w:val="0"/>
                <w:bCs w:val="0"/>
                <w:i/>
                <w:iCs/>
              </w:rPr>
              <w:t xml:space="preserve">Salix spp. </w:t>
            </w:r>
            <w:r>
              <w:rPr>
                <w:b w:val="0"/>
                <w:bCs w:val="0"/>
              </w:rPr>
              <w:t>(Willow)</w:t>
            </w:r>
          </w:p>
        </w:tc>
        <w:tc>
          <w:tcPr>
            <w:tcW w:w="861" w:type="pct"/>
            <w:tcBorders>
              <w:top w:val="none" w:sz="0" w:space="0" w:color="auto"/>
              <w:bottom w:val="none" w:sz="0" w:space="0" w:color="auto"/>
            </w:tcBorders>
            <w:hideMark/>
          </w:tcPr>
          <w:p w14:paraId="58A0CE09" w14:textId="0B57EA8E"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Tree</w:t>
            </w:r>
          </w:p>
        </w:tc>
        <w:tc>
          <w:tcPr>
            <w:tcW w:w="1270" w:type="pct"/>
            <w:tcBorders>
              <w:top w:val="none" w:sz="0" w:space="0" w:color="auto"/>
              <w:bottom w:val="none" w:sz="0" w:space="0" w:color="auto"/>
            </w:tcBorders>
            <w:hideMark/>
          </w:tcPr>
          <w:p w14:paraId="2C0D02AB" w14:textId="66894AF5"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Biomass, soil stabilization</w:t>
            </w:r>
          </w:p>
        </w:tc>
        <w:tc>
          <w:tcPr>
            <w:tcW w:w="1609" w:type="pct"/>
            <w:tcBorders>
              <w:top w:val="none" w:sz="0" w:space="0" w:color="auto"/>
              <w:bottom w:val="none" w:sz="0" w:space="0" w:color="auto"/>
            </w:tcBorders>
            <w:hideMark/>
          </w:tcPr>
          <w:p w14:paraId="0A2C13F8" w14:textId="6EF24C7C"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Useful in irrigated zones</w:t>
            </w:r>
          </w:p>
        </w:tc>
      </w:tr>
      <w:tr w:rsidR="00D9397A" w:rsidRPr="003F0A6B" w14:paraId="0DF06B67" w14:textId="77777777" w:rsidTr="00B844B8">
        <w:trPr>
          <w:trHeight w:val="334"/>
        </w:trPr>
        <w:tc>
          <w:tcPr>
            <w:cnfStyle w:val="001000000000" w:firstRow="0" w:lastRow="0" w:firstColumn="1" w:lastColumn="0" w:oddVBand="0" w:evenVBand="0" w:oddHBand="0" w:evenHBand="0" w:firstRowFirstColumn="0" w:firstRowLastColumn="0" w:lastRowFirstColumn="0" w:lastRowLastColumn="0"/>
            <w:tcW w:w="1260" w:type="pct"/>
          </w:tcPr>
          <w:p w14:paraId="2DF61593" w14:textId="0B4857ED" w:rsidR="00D9397A" w:rsidRPr="003F0A6B" w:rsidRDefault="00D9397A" w:rsidP="00B844B8">
            <w:pPr>
              <w:pStyle w:val="OikoTables03Content"/>
              <w:rPr>
                <w:b w:val="0"/>
                <w:bCs w:val="0"/>
              </w:rPr>
            </w:pPr>
            <w:proofErr w:type="spellStart"/>
            <w:r>
              <w:rPr>
                <w:b w:val="0"/>
                <w:bCs w:val="0"/>
                <w:i/>
                <w:iCs/>
              </w:rPr>
              <w:t>Hippophae</w:t>
            </w:r>
            <w:proofErr w:type="spellEnd"/>
            <w:r>
              <w:rPr>
                <w:b w:val="0"/>
                <w:bCs w:val="0"/>
                <w:i/>
                <w:iCs/>
              </w:rPr>
              <w:t xml:space="preserve"> </w:t>
            </w:r>
            <w:proofErr w:type="spellStart"/>
            <w:r>
              <w:rPr>
                <w:b w:val="0"/>
                <w:bCs w:val="0"/>
                <w:i/>
                <w:iCs/>
              </w:rPr>
              <w:t>rhamnoides</w:t>
            </w:r>
            <w:proofErr w:type="spellEnd"/>
            <w:r>
              <w:rPr>
                <w:b w:val="0"/>
                <w:bCs w:val="0"/>
              </w:rPr>
              <w:t xml:space="preserve"> (Sea buckthorn)</w:t>
            </w:r>
          </w:p>
        </w:tc>
        <w:tc>
          <w:tcPr>
            <w:tcW w:w="861" w:type="pct"/>
          </w:tcPr>
          <w:p w14:paraId="54A66C49" w14:textId="3BF57AC6" w:rsidR="00D9397A" w:rsidRPr="003F0A6B" w:rsidRDefault="00D9397A" w:rsidP="00B844B8">
            <w:pPr>
              <w:pStyle w:val="OikoTables03Content"/>
              <w:cnfStyle w:val="000000000000" w:firstRow="0" w:lastRow="0" w:firstColumn="0" w:lastColumn="0" w:oddVBand="0" w:evenVBand="0" w:oddHBand="0" w:evenHBand="0" w:firstRowFirstColumn="0" w:firstRowLastColumn="0" w:lastRowFirstColumn="0" w:lastRowLastColumn="0"/>
            </w:pPr>
            <w:r>
              <w:t>Shrub</w:t>
            </w:r>
          </w:p>
        </w:tc>
        <w:tc>
          <w:tcPr>
            <w:tcW w:w="1270" w:type="pct"/>
          </w:tcPr>
          <w:p w14:paraId="0F951C17" w14:textId="4BF9C283" w:rsidR="00D9397A" w:rsidRPr="003F0A6B" w:rsidRDefault="00D9397A" w:rsidP="00B844B8">
            <w:pPr>
              <w:pStyle w:val="OikoTables03Content"/>
              <w:cnfStyle w:val="000000000000" w:firstRow="0" w:lastRow="0" w:firstColumn="0" w:lastColumn="0" w:oddVBand="0" w:evenVBand="0" w:oddHBand="0" w:evenHBand="0" w:firstRowFirstColumn="0" w:firstRowLastColumn="0" w:lastRowFirstColumn="0" w:lastRowLastColumn="0"/>
            </w:pPr>
            <w:r>
              <w:t>Fruit (food/medicinal), N-fixation, windbreak</w:t>
            </w:r>
          </w:p>
        </w:tc>
        <w:tc>
          <w:tcPr>
            <w:tcW w:w="1609" w:type="pct"/>
          </w:tcPr>
          <w:p w14:paraId="66636396" w14:textId="5D412221" w:rsidR="00D9397A" w:rsidRPr="003F0A6B" w:rsidRDefault="00D9397A" w:rsidP="00B844B8">
            <w:pPr>
              <w:pStyle w:val="OikoTables03Content"/>
              <w:cnfStyle w:val="000000000000" w:firstRow="0" w:lastRow="0" w:firstColumn="0" w:lastColumn="0" w:oddVBand="0" w:evenVBand="0" w:oddHBand="0" w:evenHBand="0" w:firstRowFirstColumn="0" w:firstRowLastColumn="0" w:lastRowFirstColumn="0" w:lastRowLastColumn="0"/>
            </w:pPr>
            <w:r>
              <w:t>Fast income; widely grown; very hardy</w:t>
            </w:r>
          </w:p>
        </w:tc>
      </w:tr>
      <w:tr w:rsidR="00D4127B" w:rsidRPr="003F0A6B" w14:paraId="2801C27B" w14:textId="77777777" w:rsidTr="00B844B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60" w:type="pct"/>
            <w:tcBorders>
              <w:top w:val="none" w:sz="0" w:space="0" w:color="auto"/>
              <w:bottom w:val="none" w:sz="0" w:space="0" w:color="auto"/>
            </w:tcBorders>
            <w:hideMark/>
          </w:tcPr>
          <w:p w14:paraId="776E3D4D" w14:textId="586BD18B" w:rsidR="00D4127B" w:rsidRPr="003F0A6B" w:rsidRDefault="00D4127B" w:rsidP="00B844B8">
            <w:pPr>
              <w:pStyle w:val="OikoTables03Content"/>
              <w:rPr>
                <w:rFonts w:eastAsia="Aptos"/>
                <w:b w:val="0"/>
                <w:bCs w:val="0"/>
              </w:rPr>
            </w:pPr>
            <w:r>
              <w:rPr>
                <w:b w:val="0"/>
                <w:bCs w:val="0"/>
                <w:i/>
                <w:iCs/>
              </w:rPr>
              <w:t>Malus spp.</w:t>
            </w:r>
            <w:r>
              <w:rPr>
                <w:b w:val="0"/>
                <w:bCs w:val="0"/>
              </w:rPr>
              <w:t xml:space="preserve"> (Apple)</w:t>
            </w:r>
          </w:p>
        </w:tc>
        <w:tc>
          <w:tcPr>
            <w:tcW w:w="861" w:type="pct"/>
            <w:tcBorders>
              <w:top w:val="none" w:sz="0" w:space="0" w:color="auto"/>
              <w:bottom w:val="none" w:sz="0" w:space="0" w:color="auto"/>
            </w:tcBorders>
            <w:hideMark/>
          </w:tcPr>
          <w:p w14:paraId="4C74ADE1" w14:textId="6E84FCBA"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Tree</w:t>
            </w:r>
          </w:p>
        </w:tc>
        <w:tc>
          <w:tcPr>
            <w:tcW w:w="1270" w:type="pct"/>
            <w:tcBorders>
              <w:top w:val="none" w:sz="0" w:space="0" w:color="auto"/>
              <w:bottom w:val="none" w:sz="0" w:space="0" w:color="auto"/>
            </w:tcBorders>
            <w:hideMark/>
          </w:tcPr>
          <w:p w14:paraId="43E9A3AF" w14:textId="7F5A61B7"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rPr>
                <w:rFonts w:eastAsia="Aptos"/>
              </w:rPr>
            </w:pPr>
            <w:r>
              <w:t>Fruit production</w:t>
            </w:r>
          </w:p>
        </w:tc>
        <w:tc>
          <w:tcPr>
            <w:tcW w:w="1609" w:type="pct"/>
            <w:tcBorders>
              <w:top w:val="none" w:sz="0" w:space="0" w:color="auto"/>
              <w:bottom w:val="none" w:sz="0" w:space="0" w:color="auto"/>
            </w:tcBorders>
            <w:hideMark/>
          </w:tcPr>
          <w:p w14:paraId="4B2263CC" w14:textId="0E68FC39"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rPr>
                <w:rFonts w:eastAsia="Aptos"/>
              </w:rPr>
            </w:pPr>
            <w:r>
              <w:t>Suitable in irrigated micro-systems</w:t>
            </w:r>
          </w:p>
        </w:tc>
      </w:tr>
      <w:tr w:rsidR="00D4127B" w:rsidRPr="003F0A6B" w14:paraId="7320FFA7" w14:textId="77777777" w:rsidTr="00B844B8">
        <w:trPr>
          <w:trHeight w:val="334"/>
        </w:trPr>
        <w:tc>
          <w:tcPr>
            <w:cnfStyle w:val="001000000000" w:firstRow="0" w:lastRow="0" w:firstColumn="1" w:lastColumn="0" w:oddVBand="0" w:evenVBand="0" w:oddHBand="0" w:evenHBand="0" w:firstRowFirstColumn="0" w:firstRowLastColumn="0" w:lastRowFirstColumn="0" w:lastRowLastColumn="0"/>
            <w:tcW w:w="1260" w:type="pct"/>
            <w:hideMark/>
          </w:tcPr>
          <w:p w14:paraId="68DD7D74" w14:textId="6FC6DB40" w:rsidR="00D4127B" w:rsidRPr="003F0A6B" w:rsidRDefault="00D4127B" w:rsidP="00B844B8">
            <w:pPr>
              <w:pStyle w:val="OikoTables03Content"/>
              <w:rPr>
                <w:b w:val="0"/>
                <w:bCs w:val="0"/>
              </w:rPr>
            </w:pPr>
            <w:r>
              <w:rPr>
                <w:b w:val="0"/>
                <w:bCs w:val="0"/>
                <w:i/>
                <w:iCs/>
              </w:rPr>
              <w:t>Prunus padus</w:t>
            </w:r>
            <w:r>
              <w:rPr>
                <w:b w:val="0"/>
                <w:bCs w:val="0"/>
              </w:rPr>
              <w:t xml:space="preserve"> (Bird cherry)</w:t>
            </w:r>
          </w:p>
        </w:tc>
        <w:tc>
          <w:tcPr>
            <w:tcW w:w="861" w:type="pct"/>
            <w:hideMark/>
          </w:tcPr>
          <w:p w14:paraId="7C1386DC" w14:textId="45123BF0"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Tree</w:t>
            </w:r>
          </w:p>
        </w:tc>
        <w:tc>
          <w:tcPr>
            <w:tcW w:w="1270" w:type="pct"/>
            <w:hideMark/>
          </w:tcPr>
          <w:p w14:paraId="12FFE44F" w14:textId="71FF6F15"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Fruit, biodiversity, windbreak</w:t>
            </w:r>
          </w:p>
        </w:tc>
        <w:tc>
          <w:tcPr>
            <w:tcW w:w="1609" w:type="pct"/>
            <w:hideMark/>
          </w:tcPr>
          <w:p w14:paraId="5DC406EA" w14:textId="39B39B9C"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Hardy tree, supports ecosystem services, niche processing products</w:t>
            </w:r>
          </w:p>
        </w:tc>
      </w:tr>
      <w:tr w:rsidR="00D4127B" w:rsidRPr="003F0A6B" w14:paraId="610B2497" w14:textId="77777777" w:rsidTr="00B844B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60" w:type="pct"/>
            <w:tcBorders>
              <w:top w:val="none" w:sz="0" w:space="0" w:color="auto"/>
              <w:bottom w:val="none" w:sz="0" w:space="0" w:color="auto"/>
            </w:tcBorders>
            <w:hideMark/>
          </w:tcPr>
          <w:p w14:paraId="25328E25" w14:textId="65D4A730" w:rsidR="00D4127B" w:rsidRPr="003F0A6B" w:rsidRDefault="00D4127B" w:rsidP="00B844B8">
            <w:pPr>
              <w:pStyle w:val="OikoTables03Content"/>
              <w:rPr>
                <w:rFonts w:eastAsia="Aptos"/>
                <w:b w:val="0"/>
                <w:bCs w:val="0"/>
              </w:rPr>
            </w:pPr>
            <w:r>
              <w:rPr>
                <w:b w:val="0"/>
                <w:bCs w:val="0"/>
                <w:i/>
                <w:iCs/>
              </w:rPr>
              <w:t>Lonicera caerulea</w:t>
            </w:r>
            <w:r>
              <w:rPr>
                <w:b w:val="0"/>
                <w:bCs w:val="0"/>
              </w:rPr>
              <w:t xml:space="preserve"> (Honeyberry / </w:t>
            </w:r>
            <w:proofErr w:type="spellStart"/>
            <w:r>
              <w:rPr>
                <w:b w:val="0"/>
                <w:bCs w:val="0"/>
              </w:rPr>
              <w:t>Haskap</w:t>
            </w:r>
            <w:proofErr w:type="spellEnd"/>
            <w:r>
              <w:rPr>
                <w:b w:val="0"/>
                <w:bCs w:val="0"/>
              </w:rPr>
              <w:t>)</w:t>
            </w:r>
          </w:p>
        </w:tc>
        <w:tc>
          <w:tcPr>
            <w:tcW w:w="861" w:type="pct"/>
            <w:tcBorders>
              <w:top w:val="none" w:sz="0" w:space="0" w:color="auto"/>
              <w:bottom w:val="none" w:sz="0" w:space="0" w:color="auto"/>
            </w:tcBorders>
            <w:hideMark/>
          </w:tcPr>
          <w:p w14:paraId="219A8580" w14:textId="7BE99DEC"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pPr>
            <w:r>
              <w:t>Shrub</w:t>
            </w:r>
          </w:p>
        </w:tc>
        <w:tc>
          <w:tcPr>
            <w:tcW w:w="1270" w:type="pct"/>
            <w:tcBorders>
              <w:top w:val="none" w:sz="0" w:space="0" w:color="auto"/>
              <w:bottom w:val="none" w:sz="0" w:space="0" w:color="auto"/>
            </w:tcBorders>
            <w:hideMark/>
          </w:tcPr>
          <w:p w14:paraId="79659A31" w14:textId="0D1CF703"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rPr>
                <w:rFonts w:eastAsia="Aptos"/>
              </w:rPr>
            </w:pPr>
            <w:r>
              <w:t>Fruit production</w:t>
            </w:r>
          </w:p>
        </w:tc>
        <w:tc>
          <w:tcPr>
            <w:tcW w:w="1609" w:type="pct"/>
            <w:tcBorders>
              <w:top w:val="none" w:sz="0" w:space="0" w:color="auto"/>
              <w:bottom w:val="none" w:sz="0" w:space="0" w:color="auto"/>
            </w:tcBorders>
            <w:hideMark/>
          </w:tcPr>
          <w:p w14:paraId="275A338A" w14:textId="588F75E4" w:rsidR="00D4127B" w:rsidRPr="003F0A6B" w:rsidRDefault="00D4127B" w:rsidP="00B844B8">
            <w:pPr>
              <w:pStyle w:val="OikoTables03Content"/>
              <w:cnfStyle w:val="000000100000" w:firstRow="0" w:lastRow="0" w:firstColumn="0" w:lastColumn="0" w:oddVBand="0" w:evenVBand="0" w:oddHBand="1" w:evenHBand="0" w:firstRowFirstColumn="0" w:firstRowLastColumn="0" w:lastRowFirstColumn="0" w:lastRowLastColumn="0"/>
              <w:rPr>
                <w:rFonts w:eastAsia="Aptos"/>
              </w:rPr>
            </w:pPr>
            <w:r>
              <w:t>Early harvest, high-value berries, excellent cold resistance</w:t>
            </w:r>
          </w:p>
        </w:tc>
      </w:tr>
      <w:tr w:rsidR="00D4127B" w:rsidRPr="003F0A6B" w14:paraId="7A7297E0" w14:textId="77777777" w:rsidTr="00B844B8">
        <w:trPr>
          <w:trHeight w:val="334"/>
        </w:trPr>
        <w:tc>
          <w:tcPr>
            <w:cnfStyle w:val="001000000000" w:firstRow="0" w:lastRow="0" w:firstColumn="1" w:lastColumn="0" w:oddVBand="0" w:evenVBand="0" w:oddHBand="0" w:evenHBand="0" w:firstRowFirstColumn="0" w:firstRowLastColumn="0" w:lastRowFirstColumn="0" w:lastRowLastColumn="0"/>
            <w:tcW w:w="1260" w:type="pct"/>
            <w:hideMark/>
          </w:tcPr>
          <w:p w14:paraId="42B1A54D" w14:textId="352F87C4" w:rsidR="00D4127B" w:rsidRPr="003F0A6B" w:rsidRDefault="00D4127B" w:rsidP="00B844B8">
            <w:pPr>
              <w:pStyle w:val="OikoTables03Content"/>
              <w:rPr>
                <w:rFonts w:eastAsia="Aptos"/>
                <w:b w:val="0"/>
                <w:bCs w:val="0"/>
              </w:rPr>
            </w:pPr>
            <w:r>
              <w:rPr>
                <w:b w:val="0"/>
                <w:bCs w:val="0"/>
                <w:i/>
                <w:iCs/>
              </w:rPr>
              <w:t>Ribes nigrum</w:t>
            </w:r>
            <w:r>
              <w:rPr>
                <w:b w:val="0"/>
                <w:bCs w:val="0"/>
              </w:rPr>
              <w:t xml:space="preserve"> (Blackcurrant)</w:t>
            </w:r>
          </w:p>
        </w:tc>
        <w:tc>
          <w:tcPr>
            <w:tcW w:w="861" w:type="pct"/>
            <w:hideMark/>
          </w:tcPr>
          <w:p w14:paraId="3B8D89FA" w14:textId="4D2DEA51"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pPr>
            <w:r>
              <w:t>Shrub</w:t>
            </w:r>
          </w:p>
        </w:tc>
        <w:tc>
          <w:tcPr>
            <w:tcW w:w="1270" w:type="pct"/>
            <w:hideMark/>
          </w:tcPr>
          <w:p w14:paraId="15767FA4" w14:textId="401CC7A1"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rPr>
                <w:rFonts w:eastAsia="Aptos"/>
              </w:rPr>
            </w:pPr>
            <w:r>
              <w:t>Fruit production, processing</w:t>
            </w:r>
          </w:p>
        </w:tc>
        <w:tc>
          <w:tcPr>
            <w:tcW w:w="1609" w:type="pct"/>
            <w:hideMark/>
          </w:tcPr>
          <w:p w14:paraId="3DB137DA" w14:textId="04C56692" w:rsidR="00D4127B" w:rsidRPr="003F0A6B" w:rsidRDefault="00D4127B" w:rsidP="00B844B8">
            <w:pPr>
              <w:pStyle w:val="OikoTables03Content"/>
              <w:cnfStyle w:val="000000000000" w:firstRow="0" w:lastRow="0" w:firstColumn="0" w:lastColumn="0" w:oddVBand="0" w:evenVBand="0" w:oddHBand="0" w:evenHBand="0" w:firstRowFirstColumn="0" w:firstRowLastColumn="0" w:lastRowFirstColumn="0" w:lastRowLastColumn="0"/>
              <w:rPr>
                <w:rFonts w:eastAsia="Aptos"/>
              </w:rPr>
            </w:pPr>
            <w:r>
              <w:t>High yields, strong market demand, suitable for juice and processing</w:t>
            </w:r>
          </w:p>
        </w:tc>
      </w:tr>
    </w:tbl>
    <w:p w14:paraId="35F75769" w14:textId="50BFF362" w:rsidR="003F0A6B" w:rsidRPr="00D31341" w:rsidRDefault="00D9397A" w:rsidP="00D9397A">
      <w:pPr>
        <w:pStyle w:val="Heading3"/>
        <w:spacing w:before="240" w:line="240" w:lineRule="auto"/>
        <w:contextualSpacing w:val="0"/>
        <w:rPr>
          <w:lang w:val="en-US" w:eastAsia="zh-CN"/>
        </w:rPr>
      </w:pPr>
      <w:bookmarkStart w:id="145" w:name="_Toc233981350"/>
      <w:r>
        <w:rPr>
          <w:lang w:val="en-US" w:eastAsia="zh-CN"/>
        </w:rPr>
        <w:t>Preliminary conclusions on agroforestry</w:t>
      </w:r>
      <w:bookmarkEnd w:id="145"/>
    </w:p>
    <w:p w14:paraId="53B13B17" w14:textId="6F47966D" w:rsidR="00D9397A" w:rsidRDefault="001F34CC" w:rsidP="00EB489E">
      <w:pPr>
        <w:rPr>
          <w:lang w:val="en-US" w:eastAsia="zh-CN"/>
        </w:rPr>
      </w:pPr>
      <w:r>
        <w:rPr>
          <w:lang w:val="en-US" w:eastAsia="zh-CN"/>
        </w:rPr>
        <w:t xml:space="preserve">Agroforestry development in southern Mongolia should not rely on a single model, but rather on a layered and integrated approach with windbreak systems as a foundational layer and </w:t>
      </w:r>
      <w:proofErr w:type="spellStart"/>
      <w:r>
        <w:rPr>
          <w:lang w:val="en-US" w:eastAsia="zh-CN"/>
        </w:rPr>
        <w:t>agro-silvo</w:t>
      </w:r>
      <w:proofErr w:type="spellEnd"/>
      <w:r>
        <w:rPr>
          <w:lang w:val="en-US" w:eastAsia="zh-CN"/>
        </w:rPr>
        <w:t xml:space="preserve"> systems as a productivity layer. Windbreaks and shelterbelts are the most scalable and robust adaptation </w:t>
      </w:r>
      <w:proofErr w:type="gramStart"/>
      <w:r>
        <w:rPr>
          <w:lang w:val="en-US" w:eastAsia="zh-CN"/>
        </w:rPr>
        <w:t>measure</w:t>
      </w:r>
      <w:proofErr w:type="gramEnd"/>
      <w:r>
        <w:rPr>
          <w:lang w:val="en-US" w:eastAsia="zh-CN"/>
        </w:rPr>
        <w:t xml:space="preserve"> and </w:t>
      </w:r>
      <w:proofErr w:type="gramStart"/>
      <w:r>
        <w:rPr>
          <w:lang w:val="en-US" w:eastAsia="zh-CN"/>
        </w:rPr>
        <w:t>a precondition</w:t>
      </w:r>
      <w:proofErr w:type="gramEnd"/>
      <w:r>
        <w:rPr>
          <w:lang w:val="en-US" w:eastAsia="zh-CN"/>
        </w:rPr>
        <w:t xml:space="preserve"> for the other technologies in both provinces — and their value is substantially raised when they incorporate fast-yielding berry shrubs led by sea </w:t>
      </w:r>
      <w:proofErr w:type="gramStart"/>
      <w:r>
        <w:rPr>
          <w:lang w:val="en-US" w:eastAsia="zh-CN"/>
        </w:rPr>
        <w:t>buckthorn</w:t>
      </w:r>
      <w:proofErr w:type="gramEnd"/>
      <w:r>
        <w:rPr>
          <w:lang w:val="en-US" w:eastAsia="zh-CN"/>
        </w:rPr>
        <w:t xml:space="preserve">. </w:t>
      </w:r>
      <w:proofErr w:type="spellStart"/>
      <w:r>
        <w:rPr>
          <w:lang w:val="en-US" w:eastAsia="zh-CN"/>
        </w:rPr>
        <w:t>Agro-silvo</w:t>
      </w:r>
      <w:proofErr w:type="spellEnd"/>
      <w:r>
        <w:rPr>
          <w:lang w:val="en-US" w:eastAsia="zh-CN"/>
        </w:rPr>
        <w:t xml:space="preserve"> systems are the highest-value model and a tangible objective for Uvurkhangai and for supported pilots, subject to water and capacity. Both windbreaks and </w:t>
      </w:r>
      <w:proofErr w:type="spellStart"/>
      <w:r>
        <w:rPr>
          <w:lang w:val="en-US" w:eastAsia="zh-CN"/>
        </w:rPr>
        <w:t>agro-silvo</w:t>
      </w:r>
      <w:proofErr w:type="spellEnd"/>
      <w:r>
        <w:rPr>
          <w:lang w:val="en-US" w:eastAsia="zh-CN"/>
        </w:rPr>
        <w:t xml:space="preserve"> proceed to the integrated packages in Chapter 8.</w:t>
      </w:r>
    </w:p>
    <w:p w14:paraId="43D50D5A" w14:textId="77777777" w:rsidR="00B844B8" w:rsidRDefault="00B844B8" w:rsidP="00EB489E">
      <w:pPr>
        <w:rPr>
          <w:lang w:val="en-US" w:eastAsia="zh-CN"/>
        </w:rPr>
      </w:pPr>
    </w:p>
    <w:p w14:paraId="402C7000" w14:textId="20E672F6" w:rsidR="001F34CC" w:rsidRPr="001F34CC" w:rsidRDefault="001F34CC" w:rsidP="00EB489E">
      <w:pPr>
        <w:rPr>
          <w:lang w:val="en-US" w:eastAsia="zh-CN"/>
        </w:rPr>
      </w:pPr>
      <w:r>
        <w:rPr>
          <w:lang w:val="en-US" w:eastAsia="zh-CN"/>
        </w:rPr>
        <w:t>Agroforestry models should systematically integrate water management (drip irrigation), greenhouse technologies, and risk mitigation mechanisms to ensure long-term sustainability in horticulture-based production systems.</w:t>
      </w:r>
    </w:p>
    <w:p w14:paraId="1A572377" w14:textId="77777777" w:rsidR="00B844B8" w:rsidRDefault="00B844B8" w:rsidP="00EB489E">
      <w:pPr>
        <w:rPr>
          <w:rFonts w:eastAsia="Times New Roman" w:cs="Times New Roman"/>
          <w:lang w:val="en-US" w:eastAsia="zh-CN"/>
        </w:rPr>
      </w:pPr>
    </w:p>
    <w:p w14:paraId="5F3D94E5" w14:textId="5F6E0232" w:rsidR="00D9397A" w:rsidRPr="00E35798" w:rsidRDefault="001F34CC" w:rsidP="00EB489E">
      <w:r>
        <w:rPr>
          <w:rFonts w:eastAsia="Times New Roman" w:cs="Times New Roman"/>
          <w:lang w:val="en-US" w:eastAsia="zh-CN"/>
        </w:rPr>
        <w:t xml:space="preserve">For both provinces, a layered agroforestry system </w:t>
      </w:r>
      <w:r>
        <w:t>with windbreaks (</w:t>
      </w:r>
      <w:r>
        <w:rPr>
          <w:i/>
          <w:iCs/>
        </w:rPr>
        <w:t>Populus</w:t>
      </w:r>
      <w:r>
        <w:t xml:space="preserve">, </w:t>
      </w:r>
      <w:r>
        <w:rPr>
          <w:i/>
          <w:iCs/>
        </w:rPr>
        <w:t>Ulmus</w:t>
      </w:r>
      <w:r>
        <w:t>) in the outer layer, shrubs (</w:t>
      </w:r>
      <w:r>
        <w:rPr>
          <w:i/>
          <w:iCs/>
        </w:rPr>
        <w:t>Caragana</w:t>
      </w:r>
      <w:r>
        <w:t>, sea buckthorn) in the middle layer, and crops/vegetables in the inner layer is recommended. This structure maximizes wind protection, soil fertility and economic diversification.</w:t>
      </w:r>
    </w:p>
    <w:p w14:paraId="1E51CD30" w14:textId="77777777" w:rsidR="00B844B8" w:rsidRDefault="00B844B8" w:rsidP="00EB489E">
      <w:pPr>
        <w:rPr>
          <w:lang w:eastAsia="zh-CN"/>
        </w:rPr>
      </w:pPr>
    </w:p>
    <w:p w14:paraId="7A41CEB4" w14:textId="1BF843E8" w:rsidR="003F0A6B" w:rsidRPr="001F34CC" w:rsidRDefault="003F0A6B" w:rsidP="00EB489E">
      <w:pPr>
        <w:rPr>
          <w:lang w:eastAsia="zh-CN"/>
        </w:rPr>
      </w:pPr>
      <w:r>
        <w:rPr>
          <w:lang w:eastAsia="zh-CN"/>
        </w:rPr>
        <w:t xml:space="preserve">Future agroforestry development should prioritize selection of drought-resilient species, integration with efficient irrigation systems (drip irrigation), expansion of greenhouse-based production systems, transition toward multi-functional </w:t>
      </w:r>
      <w:proofErr w:type="spellStart"/>
      <w:r>
        <w:rPr>
          <w:lang w:eastAsia="zh-CN"/>
        </w:rPr>
        <w:t>agro</w:t>
      </w:r>
      <w:proofErr w:type="spellEnd"/>
      <w:r>
        <w:rPr>
          <w:lang w:eastAsia="zh-CN"/>
        </w:rPr>
        <w:t>-</w:t>
      </w:r>
      <w:proofErr w:type="spellStart"/>
      <w:r>
        <w:rPr>
          <w:lang w:eastAsia="zh-CN"/>
        </w:rPr>
        <w:t>silvo</w:t>
      </w:r>
      <w:proofErr w:type="spellEnd"/>
      <w:r>
        <w:rPr>
          <w:lang w:eastAsia="zh-CN"/>
        </w:rPr>
        <w:t>-pastoral systems, strengthening of technical capacity and extension services, and integration of financial risk management tools (e.g. agricultural insurance). This integrated approach ensures that selected solutions are (</w:t>
      </w:r>
      <w:proofErr w:type="spellStart"/>
      <w:r>
        <w:rPr>
          <w:lang w:eastAsia="zh-CN"/>
        </w:rPr>
        <w:t>i</w:t>
      </w:r>
      <w:proofErr w:type="spellEnd"/>
      <w:r>
        <w:rPr>
          <w:lang w:eastAsia="zh-CN"/>
        </w:rPr>
        <w:t>) biophysically adapted to arid environments, (ii) technically feasible within local constraints, (iii) economically viable for farmers, and (iv) scalable under development programs.</w:t>
      </w:r>
    </w:p>
    <w:p w14:paraId="0CDC7423" w14:textId="2D90EDC6" w:rsidR="00967F7C" w:rsidRPr="00E35798" w:rsidRDefault="00DC421A" w:rsidP="00D9397A">
      <w:pPr>
        <w:pStyle w:val="Heading2"/>
        <w:spacing w:before="360" w:line="240" w:lineRule="auto"/>
        <w:contextualSpacing w:val="0"/>
      </w:pPr>
      <w:bookmarkStart w:id="146" w:name="_Toc233981351"/>
      <w:r>
        <w:lastRenderedPageBreak/>
        <w:t>Renewable energy</w:t>
      </w:r>
      <w:bookmarkEnd w:id="146"/>
    </w:p>
    <w:p w14:paraId="08655906" w14:textId="31BC27BF" w:rsidR="005760C6" w:rsidRDefault="001F34CC" w:rsidP="00EB489E">
      <w:r>
        <w:t xml:space="preserve">Energy is treated in this assessment as an enabling layer rather than as a standalone technology. It conditions the feasibility of every greenhouse and irrigation option: pumping depth, overnight heat load, greenhouse ventilation and monitoring all depend on a reliable, affordable and clean energy source. </w:t>
      </w:r>
      <w:r>
        <w:rPr>
          <w:rFonts w:eastAsia="Times New Roman" w:cs="Times New Roman"/>
        </w:rPr>
        <w:t xml:space="preserve">Consistent with the project’s ecosystem-based approach, the assessment concentrates on renewable options and, in </w:t>
      </w:r>
      <w:proofErr w:type="gramStart"/>
      <w:r>
        <w:rPr>
          <w:rFonts w:eastAsia="Times New Roman" w:cs="Times New Roman"/>
        </w:rPr>
        <w:t>particular,</w:t>
      </w:r>
      <w:proofErr w:type="gramEnd"/>
      <w:r>
        <w:rPr>
          <w:rFonts w:eastAsia="Times New Roman" w:cs="Times New Roman"/>
        </w:rPr>
        <w:t xml:space="preserve"> on solar, which is by far the best-matched source for both provinces</w:t>
      </w:r>
      <w:r>
        <w:t>.</w:t>
      </w:r>
    </w:p>
    <w:p w14:paraId="6A368A13" w14:textId="1FDDC345" w:rsidR="005760C6" w:rsidRDefault="005760C6" w:rsidP="005760C6">
      <w:pPr>
        <w:pStyle w:val="Heading3"/>
      </w:pPr>
      <w:bookmarkStart w:id="147" w:name="_Toc233981352"/>
      <w:r>
        <w:t>Solar photovoltaics and system configuration</w:t>
      </w:r>
      <w:bookmarkEnd w:id="147"/>
    </w:p>
    <w:p w14:paraId="3182E16F" w14:textId="4FB83040" w:rsidR="005760C6" w:rsidRDefault="005760C6" w:rsidP="00EB489E">
      <w:r>
        <w:t>Solar photovoltaic (PV) modules convert sunlight directly into DC electricity, feeding pumps, lighting, ventilation and — through an inverter and, where needed, a battery — auxiliary loads. Sizing is based on 7–8 effective peak-sun hours per day rather than total daylight. Solar PV matches Mongolia’s 2,600–2,800 sunshine hours a year exceptionally well, has zero fuel cost and low maintenance, scales modularly from a few hundred watts to tens of kilowatts, and offers the strongest insurability of any rural energy option. Its main constraint is intermittency: battery storage (</w:t>
      </w:r>
      <w:proofErr w:type="spellStart"/>
      <w:r>
        <w:t>LiFePO</w:t>
      </w:r>
      <w:proofErr w:type="spellEnd"/>
      <w:r>
        <w:t>₄ preferred) is required for continuous operation in Dundgovi, whereas direct-coupled operation is usually adequate in Uvurkhangai; winter output is lower than summer but broadly matches the seasonal demand profile.</w:t>
      </w:r>
    </w:p>
    <w:p w14:paraId="3C2D67CB" w14:textId="77777777" w:rsidR="00B8001B" w:rsidRDefault="00B8001B" w:rsidP="00EB489E"/>
    <w:p w14:paraId="3D76CB92" w14:textId="37D331E1" w:rsidR="00594ABC" w:rsidRPr="00594ABC" w:rsidRDefault="00594ABC" w:rsidP="00EB489E">
      <w:r>
        <w:t>The main options for application of the PV technology in Mongolian agriculture include solar-powered irrigation and solar thermal heating of greenhouses. These options are briefly explained below.</w:t>
      </w:r>
    </w:p>
    <w:p w14:paraId="711FC933" w14:textId="77777777" w:rsidR="003C78DF" w:rsidRDefault="003C78DF" w:rsidP="00EB489E">
      <w:pPr>
        <w:rPr>
          <w:i/>
          <w:iCs/>
        </w:rPr>
      </w:pPr>
    </w:p>
    <w:p w14:paraId="5766CC77" w14:textId="5718E541" w:rsidR="00594ABC" w:rsidRPr="00594ABC" w:rsidRDefault="00594ABC" w:rsidP="00EB489E">
      <w:r w:rsidRPr="00A02DA1">
        <w:rPr>
          <w:b/>
          <w:bCs/>
          <w:i/>
          <w:iCs/>
        </w:rPr>
        <w:t>Solar-powered irrigation</w:t>
      </w:r>
      <w:r>
        <w:t xml:space="preserve"> is a viable solution for agricultural irrigation. They enable water to be drawn from deep wells, rivers, or canals and distributed to the areas requiring irrigation. In economically disadvantaged regions, solar-powered agricultural pump systems provide a suitable method for irrigating crops while reducing operating costs (electricity, fuel). This solution offers the opportunity to meet energy needs for water pumping in a decentralised and environmentally friendly manner. In fact, energy-efficient and affordable solar water pumps have the potential to improve the lives of many of smallholder farmers. Solar-powered irrigation systems can play an important role in supporting the establishment of agroforestry systems in dryland environments. During the first years of tree growth, supplemental irrigation may be required to ensure adequate survival rates. The integration of agroforestry with renewable-energy-based irrigation therefore creates a synergistic adaptation strategy, improving both water-use efficiency and ecosystem resilience.</w:t>
      </w:r>
    </w:p>
    <w:p w14:paraId="0487F3A2" w14:textId="77777777" w:rsidR="00B8001B" w:rsidRDefault="00B8001B" w:rsidP="00594ABC">
      <w:pPr>
        <w:pStyle w:val="BodyText"/>
        <w:spacing w:after="80"/>
        <w:contextualSpacing w:val="0"/>
        <w:rPr>
          <w:i/>
          <w:iCs/>
        </w:rPr>
      </w:pPr>
    </w:p>
    <w:p w14:paraId="3BC0805E" w14:textId="34F3B588" w:rsidR="00594ABC" w:rsidRPr="00E35798" w:rsidRDefault="00594ABC" w:rsidP="00594ABC">
      <w:pPr>
        <w:pStyle w:val="BodyText"/>
        <w:spacing w:after="80"/>
        <w:contextualSpacing w:val="0"/>
      </w:pPr>
      <w:r w:rsidRPr="00A02DA1">
        <w:rPr>
          <w:b/>
          <w:bCs/>
          <w:i/>
          <w:iCs/>
        </w:rPr>
        <w:t>Heating the greenhouse with solar heat (solar thermal heating</w:t>
      </w:r>
      <w:r>
        <w:rPr>
          <w:i/>
          <w:iCs/>
        </w:rPr>
        <w:t>)</w:t>
      </w:r>
      <w:r>
        <w:t>: A solar-powered greenhouse heater is basically nothing more than an electric greenhouse heater. Only solar modules are added. A simple variant of solar thermal heating is offered by so-called solar tubes or solar fences made of tubes: Black hoses are filled with water and distributed on the ground in the greenhouse. Like the technically more sophisticated collectors of a solar thermal system on the roof of a greenhouse or a free-standing system, the water-filled tubes absorb the solar heat and transfer it to the greenhouse interior with a time lag.</w:t>
      </w:r>
    </w:p>
    <w:p w14:paraId="064385C2" w14:textId="3281A102" w:rsidR="094AF48E" w:rsidRPr="00594ABC" w:rsidRDefault="00594ABC" w:rsidP="00EB489E">
      <w:r>
        <w:t>The following two module configurations are relevant for the project:</w:t>
      </w:r>
    </w:p>
    <w:p w14:paraId="5DB66DF2" w14:textId="699D8ED7" w:rsidR="64CC87E1" w:rsidRDefault="4D017F5B" w:rsidP="006342DD">
      <w:pPr>
        <w:pStyle w:val="ListBullet5"/>
        <w:numPr>
          <w:ilvl w:val="0"/>
          <w:numId w:val="41"/>
        </w:numPr>
        <w:spacing w:before="0" w:line="240" w:lineRule="auto"/>
        <w:ind w:left="714" w:right="0" w:hanging="357"/>
        <w:contextualSpacing w:val="0"/>
      </w:pPr>
      <w:r>
        <w:t>Tilted solar modules are typically oriented towards the south at an angle of approximately 30 to 45 degrees; they are the default for pumping and optimal for maximizing yield around midday;</w:t>
      </w:r>
    </w:p>
    <w:p w14:paraId="25655FFA" w14:textId="48EB15E1" w:rsidR="004171B1" w:rsidRDefault="6CDDE625" w:rsidP="006342DD">
      <w:pPr>
        <w:pStyle w:val="ListBullet5"/>
        <w:numPr>
          <w:ilvl w:val="0"/>
          <w:numId w:val="41"/>
        </w:numPr>
        <w:spacing w:before="0" w:line="240" w:lineRule="auto"/>
        <w:ind w:left="714" w:right="0" w:hanging="357"/>
        <w:contextualSpacing w:val="0"/>
      </w:pPr>
      <w:r>
        <w:t>Vertical bifacial (double-sided) solar modules are installed facing east and west. They do not produce an extreme power peak during the midday sun; instead, they generate significantly more electricity during the morning and evening hours. Snow and dirt hardly accumulate on the vertical surface, and the modules can serve as a windbreak to a certain extent.</w:t>
      </w:r>
    </w:p>
    <w:p w14:paraId="7DB33559" w14:textId="77777777" w:rsidR="004171B1" w:rsidRDefault="004171B1">
      <w:pPr>
        <w:spacing w:after="160" w:line="259" w:lineRule="auto"/>
        <w:contextualSpacing w:val="0"/>
        <w:jc w:val="left"/>
      </w:pPr>
      <w:r>
        <w:br w:type="page"/>
      </w:r>
    </w:p>
    <w:p w14:paraId="50397FDD" w14:textId="77777777" w:rsidR="5DCAE8A3" w:rsidRDefault="5DCAE8A3" w:rsidP="00F804C7"/>
    <w:p w14:paraId="287CAACA" w14:textId="254725B0" w:rsidR="004171B1" w:rsidRDefault="004171B1" w:rsidP="00B85D16">
      <w:pPr>
        <w:pStyle w:val="Caption"/>
        <w:framePr w:w="4515" w:wrap="notBeside" w:hAnchor="page" w:x="6250" w:y="3113"/>
      </w:pPr>
      <w:r>
        <w:t xml:space="preserve">Figure </w:t>
      </w:r>
      <w:r>
        <w:fldChar w:fldCharType="begin"/>
      </w:r>
      <w:r>
        <w:instrText xml:space="preserve"> SEQ Figure \* ARABIC </w:instrText>
      </w:r>
      <w:r>
        <w:fldChar w:fldCharType="separate"/>
      </w:r>
      <w:r>
        <w:rPr>
          <w:noProof/>
        </w:rPr>
        <w:t>13</w:t>
      </w:r>
      <w:r>
        <w:fldChar w:fldCharType="end"/>
      </w:r>
      <w:r>
        <w:t xml:space="preserve">. </w:t>
      </w:r>
      <w:r w:rsidRPr="00A02DA1">
        <w:t>Vertical bifacial (on both sides) solar panel</w:t>
      </w:r>
      <w:r w:rsidR="00B85D16">
        <w:t>. (</w:t>
      </w:r>
      <w:r w:rsidR="00B85D16" w:rsidRPr="00AE7A57">
        <w:t>Source: Expert contribution to the CTCN Mongolia feasibility study, 2026</w:t>
      </w:r>
      <w:r w:rsidR="00B85D16">
        <w:t>)</w:t>
      </w:r>
    </w:p>
    <w:p w14:paraId="209219C5" w14:textId="5AC27423" w:rsidR="004171B1" w:rsidRDefault="004171B1" w:rsidP="00B85D16">
      <w:pPr>
        <w:pStyle w:val="Caption"/>
        <w:framePr w:w="5023" w:h="749" w:hRule="exact" w:wrap="notBeside" w:hAnchor="page" w:x="1211" w:y="3076"/>
      </w:pPr>
      <w:r>
        <w:t xml:space="preserve">Figure </w:t>
      </w:r>
      <w:r>
        <w:fldChar w:fldCharType="begin"/>
      </w:r>
      <w:r>
        <w:instrText xml:space="preserve"> SEQ Figure \* ARABIC </w:instrText>
      </w:r>
      <w:r>
        <w:fldChar w:fldCharType="separate"/>
      </w:r>
      <w:r>
        <w:rPr>
          <w:noProof/>
        </w:rPr>
        <w:t>12</w:t>
      </w:r>
      <w:r>
        <w:fldChar w:fldCharType="end"/>
      </w:r>
      <w:r>
        <w:t xml:space="preserve">. </w:t>
      </w:r>
      <w:r w:rsidRPr="00A02DA1">
        <w:t>Tilted solar pan</w:t>
      </w:r>
      <w:r w:rsidR="00B85D16">
        <w:t>e</w:t>
      </w:r>
      <w:r w:rsidRPr="00A02DA1">
        <w:t>l</w:t>
      </w:r>
      <w:r w:rsidR="00B85D16">
        <w:t>. (</w:t>
      </w:r>
      <w:r w:rsidR="00B85D16" w:rsidRPr="00AE7A57">
        <w:t>Source: Expert contribution to the CTCN Mongolia feasibility study, 2026</w:t>
      </w:r>
      <w:r w:rsidR="00B85D1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130"/>
        <w:gridCol w:w="4500"/>
      </w:tblGrid>
      <w:tr w:rsidR="5DCAE8A3" w14:paraId="2C430EF0" w14:textId="77777777" w:rsidTr="00594ABC">
        <w:trPr>
          <w:trHeight w:val="300"/>
        </w:trPr>
        <w:tc>
          <w:tcPr>
            <w:tcW w:w="5130" w:type="dxa"/>
          </w:tcPr>
          <w:p w14:paraId="65A77390" w14:textId="09ACF433" w:rsidR="4C69FA18" w:rsidRDefault="00594ABC" w:rsidP="00840FE7">
            <w:pPr>
              <w:spacing w:after="120" w:line="240" w:lineRule="auto"/>
              <w:contextualSpacing w:val="0"/>
              <w:jc w:val="center"/>
            </w:pPr>
            <w:r>
              <w:rPr>
                <w:noProof/>
              </w:rPr>
              <w:drawing>
                <wp:inline distT="0" distB="0" distL="0" distR="0" wp14:anchorId="7E44C64A" wp14:editId="2F77F80D">
                  <wp:extent cx="2622216" cy="1838512"/>
                  <wp:effectExtent l="0" t="0" r="0" b="0"/>
                  <wp:docPr id="6118186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18624" name="Picture 611818624"/>
                          <pic:cNvPicPr/>
                        </pic:nvPicPr>
                        <pic:blipFill>
                          <a:blip r:embed="rId50">
                            <a:extLst>
                              <a:ext uri="{28A0092B-C50C-407E-A947-70E740481C1C}">
                                <a14:useLocalDpi xmlns:a14="http://schemas.microsoft.com/office/drawing/2010/main"/>
                              </a:ext>
                            </a:extLst>
                          </a:blip>
                          <a:stretch>
                            <a:fillRect/>
                          </a:stretch>
                        </pic:blipFill>
                        <pic:spPr>
                          <a:xfrm>
                            <a:off x="0" y="0"/>
                            <a:ext cx="2622216" cy="1838512"/>
                          </a:xfrm>
                          <a:prstGeom prst="rect">
                            <a:avLst/>
                          </a:prstGeom>
                        </pic:spPr>
                      </pic:pic>
                    </a:graphicData>
                  </a:graphic>
                </wp:inline>
              </w:drawing>
            </w:r>
          </w:p>
        </w:tc>
        <w:tc>
          <w:tcPr>
            <w:tcW w:w="4500" w:type="dxa"/>
          </w:tcPr>
          <w:p w14:paraId="30C7D0AE" w14:textId="187B35FA" w:rsidR="56AFB49E" w:rsidRDefault="00594ABC" w:rsidP="00840FE7">
            <w:pPr>
              <w:spacing w:after="120" w:line="240" w:lineRule="auto"/>
              <w:contextualSpacing w:val="0"/>
              <w:jc w:val="center"/>
            </w:pPr>
            <w:r>
              <w:rPr>
                <w:noProof/>
              </w:rPr>
              <w:drawing>
                <wp:inline distT="0" distB="0" distL="0" distR="0" wp14:anchorId="49D26AB2" wp14:editId="28541551">
                  <wp:extent cx="2631752" cy="1868925"/>
                  <wp:effectExtent l="0" t="0" r="0" b="0"/>
                  <wp:docPr id="990978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78741" name="Picture 990978741"/>
                          <pic:cNvPicPr/>
                        </pic:nvPicPr>
                        <pic:blipFill>
                          <a:blip r:embed="rId51">
                            <a:extLst>
                              <a:ext uri="{28A0092B-C50C-407E-A947-70E740481C1C}">
                                <a14:useLocalDpi xmlns:a14="http://schemas.microsoft.com/office/drawing/2010/main"/>
                              </a:ext>
                            </a:extLst>
                          </a:blip>
                          <a:stretch>
                            <a:fillRect/>
                          </a:stretch>
                        </pic:blipFill>
                        <pic:spPr>
                          <a:xfrm>
                            <a:off x="0" y="0"/>
                            <a:ext cx="2631752" cy="1868925"/>
                          </a:xfrm>
                          <a:prstGeom prst="rect">
                            <a:avLst/>
                          </a:prstGeom>
                        </pic:spPr>
                      </pic:pic>
                    </a:graphicData>
                  </a:graphic>
                </wp:inline>
              </w:drawing>
            </w:r>
          </w:p>
        </w:tc>
      </w:tr>
    </w:tbl>
    <w:p w14:paraId="7F78AC19" w14:textId="5CD7921F" w:rsidR="7EE0BACF" w:rsidRDefault="4D0DBD17" w:rsidP="00840FE7">
      <w:pPr>
        <w:spacing w:before="120" w:after="120" w:line="240" w:lineRule="auto"/>
        <w:contextualSpacing w:val="0"/>
      </w:pPr>
      <w:r>
        <w:t>Vertical solar panels offer static advantages over inclined solar panels in hurricane-force winds due to their upright design:</w:t>
      </w:r>
    </w:p>
    <w:p w14:paraId="3DAE1E6E" w14:textId="4E885B4B" w:rsidR="7EE0BACF" w:rsidRDefault="7EE0BACF" w:rsidP="003C78DF">
      <w:pPr>
        <w:pStyle w:val="ListBullet2"/>
      </w:pPr>
      <w:r>
        <w:t>No lift; the vertical orientation causes the wind to act differently, preventing dangerous suction forces that could lift the panel off the ground;</w:t>
      </w:r>
    </w:p>
    <w:p w14:paraId="721AA6BF" w14:textId="314FAE73" w:rsidR="7EE0BACF" w:rsidRDefault="7EE0BACF" w:rsidP="003C78DF">
      <w:pPr>
        <w:pStyle w:val="ListBullet2"/>
      </w:pPr>
      <w:r>
        <w:t>Small surface area; the wind tends to flow around the surface;</w:t>
      </w:r>
    </w:p>
    <w:p w14:paraId="674B7940" w14:textId="77777777" w:rsidR="00840FE7" w:rsidRDefault="7EE0BACF" w:rsidP="003C78DF">
      <w:pPr>
        <w:pStyle w:val="ListBullet2"/>
      </w:pPr>
      <w:r>
        <w:t>Standards and stability: High-quality solar panels and mounting systems must withstand wind speeds exceeding 120 km/h (hurricane force) according to standards from Japan and Germany;</w:t>
      </w:r>
    </w:p>
    <w:p w14:paraId="3F7E9F07" w14:textId="116A4981" w:rsidR="7EE0BACF" w:rsidRDefault="00840FE7" w:rsidP="003C78DF">
      <w:pPr>
        <w:pStyle w:val="ListBullet2"/>
      </w:pPr>
      <w:r>
        <w:t>No exposed parts: Flying branches, roof tiles, or other debris pose the greatest risk to the plastic film/glass during hurricanes.</w:t>
      </w:r>
    </w:p>
    <w:p w14:paraId="57C50A1F" w14:textId="2FDC82F0" w:rsidR="37DEFC12" w:rsidRDefault="00840FE7" w:rsidP="00051682">
      <w:pPr>
        <w:pStyle w:val="Heading3"/>
        <w:spacing w:before="240"/>
        <w:rPr>
          <w:lang w:val="en-US"/>
        </w:rPr>
      </w:pPr>
      <w:bookmarkStart w:id="148" w:name="_Toc233981353"/>
      <w:r>
        <w:rPr>
          <w:lang w:val="en-US"/>
        </w:rPr>
        <w:t>Overview of alternative renewable energy sources</w:t>
      </w:r>
      <w:bookmarkEnd w:id="148"/>
    </w:p>
    <w:p w14:paraId="5CD1EA32" w14:textId="77777777" w:rsidR="00840FE7" w:rsidRDefault="02894E39" w:rsidP="00EB489E">
      <w:r>
        <w:rPr>
          <w:b/>
          <w:bCs/>
        </w:rPr>
        <w:t>Biogas</w:t>
      </w:r>
      <w:r>
        <w:t xml:space="preserve"> is produced through anaerobic digestion of livestock manure or other organic waste in a sealed digester. Methanogenic bacteria decompose organic matter in the absence of oxygen at 25–40 °C; the resulting gas (50–70 % CH₄) is stored and combusted or fed to a generator. The methane-rich biogas is used for cooking, heating or electricity. The by-product of biogas production is a nutrient-rich digestate that is usable as fertilizer. </w:t>
      </w:r>
    </w:p>
    <w:p w14:paraId="219D569D" w14:textId="7AA01051" w:rsidR="00840FE7" w:rsidRDefault="00840FE7" w:rsidP="00EB489E">
      <w:r>
        <w:t>Considering the livestock population in Mongolia and growing demand for milk production, technologies that help treating animal waste and converting animal waste into renewable energy have substantial scope for development and implementation, and biogas technology is one of them. One of the major advantages in using biogas technology for treating animal waste is that it is relatively simple to develop, easily scalable, and produces a source of energy, and demand for energy in Mongolia is consistently increasing. Anyone who operates a Combined Heat and Power (CHP) Station in combination with the biogas plant can also produce electricity and heat from the liquid manure.</w:t>
      </w:r>
    </w:p>
    <w:p w14:paraId="6F9F1E59" w14:textId="77777777" w:rsidR="00581B21" w:rsidRDefault="00581B21" w:rsidP="00EB489E"/>
    <w:p w14:paraId="1858AF31" w14:textId="3A0F14D6" w:rsidR="003931B5" w:rsidRPr="00E35798" w:rsidRDefault="00585918" w:rsidP="00EB489E">
      <w:r>
        <w:t>However, biogas production in Mongolia will face serious climate-related constraints. In addition to limited installer and maintenance ecosystem, Mongolia’s 8–9-month cold season requires insulated or heated digesters, which in turn require high capital cost per m³ of gas since performance falls sharply at temperatures below 15°C.</w:t>
      </w:r>
    </w:p>
    <w:p w14:paraId="025CB818" w14:textId="77777777" w:rsidR="00581B21" w:rsidRDefault="00581B21" w:rsidP="00EB489E">
      <w:pPr>
        <w:rPr>
          <w:b/>
          <w:bCs/>
        </w:rPr>
      </w:pPr>
    </w:p>
    <w:p w14:paraId="1B24FCCF" w14:textId="38D299A2" w:rsidR="003931B5" w:rsidRPr="00E35798" w:rsidRDefault="16BFF339" w:rsidP="00EB489E">
      <w:r>
        <w:rPr>
          <w:b/>
          <w:bCs/>
        </w:rPr>
        <w:t xml:space="preserve">Wind energy </w:t>
      </w:r>
      <w:r>
        <w:t>has been used since ancient times to move ships, and for hundreds of years to pump water or grind grain into flour, now it is usually changed into electricity using wind turbines. Most modern wind power is generated in the form of electricity by converting the rotation of a turbine blades into electrical current by means of an electrical generator. However – similar to biogas production – rural areas in Mongolia lack installer and maintenance services and the initial investment in wind turbines and maintenance costs are relatively high, thus nor affordable by the majority of Mongolian farmers.</w:t>
      </w:r>
    </w:p>
    <w:p w14:paraId="75577FE6" w14:textId="77777777" w:rsidR="00581B21" w:rsidRDefault="00581B21" w:rsidP="00EB489E">
      <w:pPr>
        <w:rPr>
          <w:b/>
          <w:bCs/>
        </w:rPr>
      </w:pPr>
    </w:p>
    <w:p w14:paraId="5C01C9D4" w14:textId="340D1DF3" w:rsidR="00585918" w:rsidRDefault="16BFF339" w:rsidP="00EB489E">
      <w:r>
        <w:rPr>
          <w:b/>
          <w:bCs/>
        </w:rPr>
        <w:t xml:space="preserve">Geothermal energy (heat pumps): </w:t>
      </w:r>
      <w:r>
        <w:t xml:space="preserve">A heat pump is a heating system that uses geothermal energy or environmental heat from the air or groundwater as renewable energy. For their own operation, heat pumps use a second energy source: either electricity or gas. In principle, the heat pump works like a refrigerator, only the other way around: It draws the heat from the soil around a building and releases it back into the building. Earth collectors made of synthetic material, laid in several circles at a depth of 1.50 m and more, utilise the heat of </w:t>
      </w:r>
      <w:r>
        <w:lastRenderedPageBreak/>
        <w:t xml:space="preserve">10° and 16°C. Various technologies are used to get to the heat under the earth’s surface at different depths. Coefficient of performance (COP) is typically 3–4, meaning 3–4 kWh of heat </w:t>
      </w:r>
      <w:proofErr w:type="gramStart"/>
      <w:r>
        <w:t>are</w:t>
      </w:r>
      <w:proofErr w:type="gramEnd"/>
      <w:r>
        <w:t xml:space="preserve"> delivered per 1 kWh of electricity consumed. Advantages of heat pumps include a high end-use efficiency; low GHG emissions if electricity is renewable; and reliability and quietness. Wide use of these pumps, however, is constrained by very high capital cost; requirement for deep wells or extensive ground loops; dependency on a reliable electricity supply, and limited domestic technical capacity.</w:t>
      </w:r>
    </w:p>
    <w:p w14:paraId="577F7D92" w14:textId="6EC1FFDA" w:rsidR="004D069D" w:rsidRPr="00E35798" w:rsidRDefault="00585918" w:rsidP="006D51E5">
      <w:pPr>
        <w:spacing w:before="120" w:after="120" w:line="240" w:lineRule="auto"/>
        <w:contextualSpacing w:val="0"/>
      </w:pPr>
      <w:r>
        <w:t xml:space="preserve">In conclusion, the alternative renewable energy sources are not feasible and/or economically viable at smallholder scale in the target </w:t>
      </w:r>
      <w:proofErr w:type="spellStart"/>
      <w:r>
        <w:t>aimags</w:t>
      </w:r>
      <w:proofErr w:type="spellEnd"/>
      <w:r>
        <w:t>. On the contrary, b</w:t>
      </w:r>
      <w:r>
        <w:rPr>
          <w:rFonts w:eastAsia="Times New Roman" w:cs="Times New Roman"/>
        </w:rPr>
        <w:t xml:space="preserve">iogas, wind and geothermal energy sources are retained for possible later elaboration but are not considered as priorities for small-scale vegetable farming. </w:t>
      </w:r>
      <w:r>
        <w:t>Justification of the project’s focus on application of solar energy in smallholder vegetable farming is further examined through the MCA in the next section.</w:t>
      </w:r>
    </w:p>
    <w:p w14:paraId="6049E050" w14:textId="681631E1" w:rsidR="00B7489F" w:rsidRPr="00E35798" w:rsidRDefault="00051682" w:rsidP="00051682">
      <w:pPr>
        <w:pStyle w:val="Heading3"/>
        <w:spacing w:before="240"/>
      </w:pPr>
      <w:bookmarkStart w:id="149" w:name="_Toc233981354"/>
      <w:r>
        <w:t>Multi-criteria analysis</w:t>
      </w:r>
      <w:bookmarkEnd w:id="149"/>
    </w:p>
    <w:p w14:paraId="5BF122F5" w14:textId="0D22A9B2" w:rsidR="003C2038" w:rsidRDefault="00051682" w:rsidP="00EB489E">
      <w:r>
        <w:t>The four renewable energy options described above are assessed against five criteria used in the technology assessments, although energy is treated as an enabling layer rather than as a standalone technology. Insurability is not used as a differentiating criterion here: index-based insurance can in principle cover assets under any energy source, so it does not meaningfully separate the options. The differentiating factors are cost, reliability, environmental performance, technical simplicity and real rural availability. As with irrigation, the same criteria weights apply to both provinces; differentiation is handled through configuration (battery storage in Dundgovi, no battery in Uvurkhangai).</w:t>
      </w:r>
    </w:p>
    <w:p w14:paraId="6FECBE08" w14:textId="77777777" w:rsidR="00581B21" w:rsidRDefault="00581B21" w:rsidP="00EB489E"/>
    <w:p w14:paraId="05D4CA77" w14:textId="56395132" w:rsidR="006D51E5" w:rsidRDefault="00FF1CE4" w:rsidP="00EB489E">
      <w:r>
        <w:t xml:space="preserve">Affordability receives the highest weight (0.35) because energy is the largest recurrent cost in any solar-pumping package. Reliability and environmental are tied at 0.20 because they are the two non-negotiable constraints (an unreliable system cannot serve agronomic load; high-emission options conflict with the </w:t>
      </w:r>
      <w:proofErr w:type="spellStart"/>
      <w:r>
        <w:t>EbA</w:t>
      </w:r>
      <w:proofErr w:type="spellEnd"/>
      <w:r>
        <w:t xml:space="preserve"> mandate). Technical simplicity is 0.15 because rural service capacity is limited. Rural availability is 0.10 because it is an enabling cross-output consideration rather than primary selection driver.</w:t>
      </w:r>
    </w:p>
    <w:p w14:paraId="6814E594" w14:textId="77777777" w:rsidR="003C78DF" w:rsidRDefault="003C78DF" w:rsidP="00EB489E"/>
    <w:p w14:paraId="4A909AF4" w14:textId="2EAFD0F9" w:rsidR="00051682" w:rsidRPr="00BA7FAC" w:rsidRDefault="00BA7FAC" w:rsidP="003C78DF">
      <w:pPr>
        <w:pStyle w:val="Caption"/>
        <w:framePr w:wrap="notBeside"/>
      </w:pPr>
      <w:r>
        <w:t xml:space="preserve">Table </w:t>
      </w:r>
      <w:r w:rsidR="000E5B0A">
        <w:t>44</w:t>
      </w:r>
      <w:r>
        <w:t>. Renewable energy MCA - definitions and weights of the assessment criteria</w:t>
      </w:r>
    </w:p>
    <w:tbl>
      <w:tblPr>
        <w:tblStyle w:val="PlainTable2"/>
        <w:tblW w:w="5000" w:type="pct"/>
        <w:tblLook w:val="04A0" w:firstRow="1" w:lastRow="0" w:firstColumn="1" w:lastColumn="0" w:noHBand="0" w:noVBand="1"/>
      </w:tblPr>
      <w:tblGrid>
        <w:gridCol w:w="1559"/>
        <w:gridCol w:w="3817"/>
        <w:gridCol w:w="862"/>
        <w:gridCol w:w="3400"/>
      </w:tblGrid>
      <w:tr w:rsidR="003C2038" w:rsidRPr="006D51E5" w14:paraId="33464AF2" w14:textId="77777777" w:rsidTr="00391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shd w:val="clear" w:color="auto" w:fill="E99E6D" w:themeFill="accent3"/>
          </w:tcPr>
          <w:p w14:paraId="018E916F" w14:textId="77777777" w:rsidR="003C2038" w:rsidRPr="006D51E5" w:rsidRDefault="003C2038" w:rsidP="003C78DF">
            <w:pPr>
              <w:pStyle w:val="OikoTables03Content"/>
              <w:rPr>
                <w:b w:val="0"/>
                <w:lang w:val="en-GB"/>
              </w:rPr>
            </w:pPr>
            <w:r>
              <w:t>Criterion</w:t>
            </w:r>
          </w:p>
        </w:tc>
        <w:tc>
          <w:tcPr>
            <w:tcW w:w="1980" w:type="pct"/>
            <w:shd w:val="clear" w:color="auto" w:fill="E99E6D" w:themeFill="accent3"/>
          </w:tcPr>
          <w:p w14:paraId="556E0798" w14:textId="77777777" w:rsidR="003C2038" w:rsidRPr="006D51E5" w:rsidRDefault="003C2038" w:rsidP="003C78DF">
            <w:pPr>
              <w:pStyle w:val="OikoTables03Content"/>
              <w:cnfStyle w:val="100000000000" w:firstRow="1" w:lastRow="0" w:firstColumn="0" w:lastColumn="0" w:oddVBand="0" w:evenVBand="0" w:oddHBand="0" w:evenHBand="0" w:firstRowFirstColumn="0" w:firstRowLastColumn="0" w:lastRowFirstColumn="0" w:lastRowLastColumn="0"/>
              <w:rPr>
                <w:b w:val="0"/>
                <w:lang w:val="en-GB"/>
              </w:rPr>
            </w:pPr>
            <w:r>
              <w:t xml:space="preserve">Description </w:t>
            </w:r>
          </w:p>
        </w:tc>
        <w:tc>
          <w:tcPr>
            <w:tcW w:w="447" w:type="pct"/>
            <w:shd w:val="clear" w:color="auto" w:fill="E99E6D" w:themeFill="accent3"/>
          </w:tcPr>
          <w:p w14:paraId="79263BDE" w14:textId="77777777" w:rsidR="003C2038" w:rsidRPr="006D51E5" w:rsidRDefault="003C2038" w:rsidP="003C78DF">
            <w:pPr>
              <w:pStyle w:val="OikoTables03Content"/>
              <w:cnfStyle w:val="100000000000" w:firstRow="1" w:lastRow="0" w:firstColumn="0" w:lastColumn="0" w:oddVBand="0" w:evenVBand="0" w:oddHBand="0" w:evenHBand="0" w:firstRowFirstColumn="0" w:firstRowLastColumn="0" w:lastRowFirstColumn="0" w:lastRowLastColumn="0"/>
              <w:rPr>
                <w:b w:val="0"/>
                <w:lang w:val="en-GB"/>
              </w:rPr>
            </w:pPr>
            <w:r>
              <w:t>Weight</w:t>
            </w:r>
          </w:p>
        </w:tc>
        <w:tc>
          <w:tcPr>
            <w:tcW w:w="1764" w:type="pct"/>
            <w:shd w:val="clear" w:color="auto" w:fill="E99E6D" w:themeFill="accent3"/>
          </w:tcPr>
          <w:p w14:paraId="4AD39D4C" w14:textId="77777777" w:rsidR="003C2038" w:rsidRPr="006D51E5" w:rsidRDefault="003C2038" w:rsidP="003C78DF">
            <w:pPr>
              <w:pStyle w:val="OikoTables03Content"/>
              <w:cnfStyle w:val="100000000000" w:firstRow="1" w:lastRow="0" w:firstColumn="0" w:lastColumn="0" w:oddVBand="0" w:evenVBand="0" w:oddHBand="0" w:evenHBand="0" w:firstRowFirstColumn="0" w:firstRowLastColumn="0" w:lastRowFirstColumn="0" w:lastRowLastColumn="0"/>
              <w:rPr>
                <w:b w:val="0"/>
                <w:lang w:val="en-GB"/>
              </w:rPr>
            </w:pPr>
            <w:r>
              <w:t>Justification (rationale for weighting)</w:t>
            </w:r>
          </w:p>
        </w:tc>
      </w:tr>
      <w:tr w:rsidR="00D341D6" w:rsidRPr="006D51E5" w14:paraId="7E494FED" w14:textId="77777777" w:rsidTr="003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2AB5F3B1" w14:textId="48A096B5" w:rsidR="00D341D6" w:rsidRPr="006D51E5" w:rsidRDefault="00D341D6" w:rsidP="003C78DF">
            <w:pPr>
              <w:pStyle w:val="OikoTables03Content"/>
              <w:rPr>
                <w:b w:val="0"/>
                <w:bCs w:val="0"/>
                <w:lang w:val="en-GB"/>
              </w:rPr>
            </w:pPr>
            <w:r>
              <w:rPr>
                <w:b w:val="0"/>
                <w:bCs w:val="0"/>
              </w:rPr>
              <w:t>Affordability</w:t>
            </w:r>
          </w:p>
        </w:tc>
        <w:tc>
          <w:tcPr>
            <w:tcW w:w="1980" w:type="pct"/>
          </w:tcPr>
          <w:p w14:paraId="2152959C" w14:textId="53C276EB"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proofErr w:type="spellStart"/>
            <w:r>
              <w:t>Levelised</w:t>
            </w:r>
            <w:proofErr w:type="spellEnd"/>
            <w:r>
              <w:t xml:space="preserve"> cost of useful energy delivered (LCOE) for irrigation pumping and greenhouse load profiles, including capital, fuel and O&amp;M.</w:t>
            </w:r>
          </w:p>
        </w:tc>
        <w:tc>
          <w:tcPr>
            <w:tcW w:w="447" w:type="pct"/>
          </w:tcPr>
          <w:p w14:paraId="78424002" w14:textId="31398386"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0.35</w:t>
            </w:r>
          </w:p>
        </w:tc>
        <w:tc>
          <w:tcPr>
            <w:tcW w:w="1764" w:type="pct"/>
          </w:tcPr>
          <w:p w14:paraId="209E91BA" w14:textId="7DBDF233"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Highest weight: energy is the largest recurrent cost in solar irrigation packages and the largest barrier for smallholder adoption.</w:t>
            </w:r>
          </w:p>
        </w:tc>
      </w:tr>
      <w:tr w:rsidR="00D341D6" w:rsidRPr="006D51E5" w14:paraId="21A518B0" w14:textId="77777777" w:rsidTr="00391A3D">
        <w:tc>
          <w:tcPr>
            <w:cnfStyle w:val="001000000000" w:firstRow="0" w:lastRow="0" w:firstColumn="1" w:lastColumn="0" w:oddVBand="0" w:evenVBand="0" w:oddHBand="0" w:evenHBand="0" w:firstRowFirstColumn="0" w:firstRowLastColumn="0" w:lastRowFirstColumn="0" w:lastRowLastColumn="0"/>
            <w:tcW w:w="809" w:type="pct"/>
          </w:tcPr>
          <w:p w14:paraId="5D8C429D" w14:textId="7B017FBE" w:rsidR="00D341D6" w:rsidRPr="006D51E5" w:rsidRDefault="00D341D6" w:rsidP="003C78DF">
            <w:pPr>
              <w:pStyle w:val="OikoTables03Content"/>
              <w:rPr>
                <w:b w:val="0"/>
                <w:bCs w:val="0"/>
                <w:lang w:val="en-GB"/>
              </w:rPr>
            </w:pPr>
            <w:r>
              <w:rPr>
                <w:b w:val="0"/>
                <w:bCs w:val="0"/>
              </w:rPr>
              <w:t>Reliability</w:t>
            </w:r>
          </w:p>
        </w:tc>
        <w:tc>
          <w:tcPr>
            <w:tcW w:w="1980" w:type="pct"/>
          </w:tcPr>
          <w:p w14:paraId="68E46344" w14:textId="038E878D" w:rsidR="00D341D6" w:rsidRPr="006D51E5" w:rsidRDefault="00D341D6"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r>
              <w:t>Capacity to deliver energy when the agronomic load requires it (pumping during May–September; greenhouse ventilation Feb–Nov).</w:t>
            </w:r>
          </w:p>
        </w:tc>
        <w:tc>
          <w:tcPr>
            <w:tcW w:w="447" w:type="pct"/>
          </w:tcPr>
          <w:p w14:paraId="1CC10691" w14:textId="0DF2D284" w:rsidR="00D341D6" w:rsidRPr="006D51E5" w:rsidRDefault="00D341D6"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r>
              <w:t>0.20</w:t>
            </w:r>
          </w:p>
        </w:tc>
        <w:tc>
          <w:tcPr>
            <w:tcW w:w="1764" w:type="pct"/>
          </w:tcPr>
          <w:p w14:paraId="34259A81" w14:textId="3782BE76" w:rsidR="00D341D6" w:rsidRPr="006D51E5" w:rsidRDefault="00D341D6"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r>
              <w:t>If energy fails during the irrigation window, the entire technology package fails.</w:t>
            </w:r>
          </w:p>
        </w:tc>
      </w:tr>
      <w:tr w:rsidR="00D341D6" w:rsidRPr="006D51E5" w14:paraId="72DC5486" w14:textId="77777777" w:rsidTr="003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55B0D8E6" w14:textId="2DD18AA9" w:rsidR="00D341D6" w:rsidRPr="006D51E5" w:rsidRDefault="00D341D6" w:rsidP="003C78DF">
            <w:pPr>
              <w:pStyle w:val="OikoTables03Content"/>
              <w:rPr>
                <w:b w:val="0"/>
                <w:bCs w:val="0"/>
                <w:lang w:val="en-GB"/>
              </w:rPr>
            </w:pPr>
            <w:r>
              <w:rPr>
                <w:b w:val="0"/>
                <w:bCs w:val="0"/>
              </w:rPr>
              <w:t>Environmental</w:t>
            </w:r>
          </w:p>
        </w:tc>
        <w:tc>
          <w:tcPr>
            <w:tcW w:w="1980" w:type="pct"/>
          </w:tcPr>
          <w:p w14:paraId="7C7DDBE6" w14:textId="5AC14E68"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 xml:space="preserve">GHG and local-air emissions, broader </w:t>
            </w:r>
            <w:proofErr w:type="spellStart"/>
            <w:r>
              <w:t>EbA</w:t>
            </w:r>
            <w:proofErr w:type="spellEnd"/>
            <w:r>
              <w:t xml:space="preserve"> compatibility.</w:t>
            </w:r>
          </w:p>
        </w:tc>
        <w:tc>
          <w:tcPr>
            <w:tcW w:w="447" w:type="pct"/>
          </w:tcPr>
          <w:p w14:paraId="0369F96C" w14:textId="44E9E3E4"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0.20</w:t>
            </w:r>
          </w:p>
        </w:tc>
        <w:tc>
          <w:tcPr>
            <w:tcW w:w="1764" w:type="pct"/>
          </w:tcPr>
          <w:p w14:paraId="1392693F" w14:textId="5BD8822F"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proofErr w:type="spellStart"/>
            <w:r>
              <w:t>EbA</w:t>
            </w:r>
            <w:proofErr w:type="spellEnd"/>
            <w:r>
              <w:t xml:space="preserve"> mandate of the project; coal and diesel are explicitly identified in the report as maladaptation risks.</w:t>
            </w:r>
          </w:p>
        </w:tc>
      </w:tr>
      <w:tr w:rsidR="00D341D6" w:rsidRPr="006D51E5" w14:paraId="1A336D71" w14:textId="77777777" w:rsidTr="00391A3D">
        <w:tc>
          <w:tcPr>
            <w:cnfStyle w:val="001000000000" w:firstRow="0" w:lastRow="0" w:firstColumn="1" w:lastColumn="0" w:oddVBand="0" w:evenVBand="0" w:oddHBand="0" w:evenHBand="0" w:firstRowFirstColumn="0" w:firstRowLastColumn="0" w:lastRowFirstColumn="0" w:lastRowLastColumn="0"/>
            <w:tcW w:w="809" w:type="pct"/>
          </w:tcPr>
          <w:p w14:paraId="09A39331" w14:textId="018015C9" w:rsidR="00D341D6" w:rsidRPr="006D51E5" w:rsidRDefault="00D341D6" w:rsidP="003C78DF">
            <w:pPr>
              <w:pStyle w:val="OikoTables03Content"/>
              <w:rPr>
                <w:b w:val="0"/>
                <w:bCs w:val="0"/>
                <w:lang w:val="en-GB"/>
              </w:rPr>
            </w:pPr>
            <w:r>
              <w:rPr>
                <w:b w:val="0"/>
                <w:bCs w:val="0"/>
              </w:rPr>
              <w:t>Technical simplicity</w:t>
            </w:r>
          </w:p>
        </w:tc>
        <w:tc>
          <w:tcPr>
            <w:tcW w:w="1980" w:type="pct"/>
          </w:tcPr>
          <w:p w14:paraId="635271AD" w14:textId="5B9DE19F" w:rsidR="00D341D6" w:rsidRPr="006D51E5" w:rsidRDefault="00D341D6"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r>
              <w:t>O&amp;M complexity and reliance on imported parts or specialist technicians.</w:t>
            </w:r>
          </w:p>
        </w:tc>
        <w:tc>
          <w:tcPr>
            <w:tcW w:w="447" w:type="pct"/>
          </w:tcPr>
          <w:p w14:paraId="6CDFE07F" w14:textId="52E57F94" w:rsidR="00D341D6" w:rsidRPr="006D51E5" w:rsidRDefault="00D341D6"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r>
              <w:t>0.15</w:t>
            </w:r>
          </w:p>
        </w:tc>
        <w:tc>
          <w:tcPr>
            <w:tcW w:w="1764" w:type="pct"/>
          </w:tcPr>
          <w:p w14:paraId="63B4627E" w14:textId="495C4368" w:rsidR="00D341D6" w:rsidRPr="006D51E5" w:rsidRDefault="00D341D6"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r>
              <w:t xml:space="preserve">Smallholder service capacity is limited; failures must be </w:t>
            </w:r>
            <w:proofErr w:type="gramStart"/>
            <w:r>
              <w:t>diagnosable</w:t>
            </w:r>
            <w:proofErr w:type="gramEnd"/>
            <w:r>
              <w:t xml:space="preserve"> locally.</w:t>
            </w:r>
          </w:p>
        </w:tc>
      </w:tr>
      <w:tr w:rsidR="00D341D6" w:rsidRPr="006D51E5" w14:paraId="606201D5" w14:textId="77777777" w:rsidTr="003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pct"/>
          </w:tcPr>
          <w:p w14:paraId="6AC08590" w14:textId="6B767849" w:rsidR="00D341D6" w:rsidRPr="006D51E5" w:rsidRDefault="00D341D6" w:rsidP="003C78DF">
            <w:pPr>
              <w:pStyle w:val="OikoTables03Content"/>
              <w:rPr>
                <w:b w:val="0"/>
                <w:bCs w:val="0"/>
                <w:lang w:val="en-GB"/>
              </w:rPr>
            </w:pPr>
            <w:r>
              <w:rPr>
                <w:b w:val="0"/>
                <w:bCs w:val="0"/>
              </w:rPr>
              <w:t>Rural availability</w:t>
            </w:r>
          </w:p>
        </w:tc>
        <w:tc>
          <w:tcPr>
            <w:tcW w:w="1980" w:type="pct"/>
          </w:tcPr>
          <w:p w14:paraId="76D0DDB8" w14:textId="5613EC2B"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Real availability of fuel, fuel logistics, or grid access in target soums of Uvurkhangai and Dundgovi.</w:t>
            </w:r>
          </w:p>
        </w:tc>
        <w:tc>
          <w:tcPr>
            <w:tcW w:w="447" w:type="pct"/>
          </w:tcPr>
          <w:p w14:paraId="45D6D813" w14:textId="59F6EA73"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0.10</w:t>
            </w:r>
          </w:p>
        </w:tc>
        <w:tc>
          <w:tcPr>
            <w:tcW w:w="1764" w:type="pct"/>
          </w:tcPr>
          <w:p w14:paraId="5E2C3109" w14:textId="708D1764" w:rsidR="00D341D6" w:rsidRPr="006D51E5" w:rsidRDefault="00D341D6" w:rsidP="003C78DF">
            <w:pPr>
              <w:pStyle w:val="OikoTables03Content"/>
              <w:cnfStyle w:val="000000100000" w:firstRow="0" w:lastRow="0" w:firstColumn="0" w:lastColumn="0" w:oddVBand="0" w:evenVBand="0" w:oddHBand="1" w:evenHBand="0" w:firstRowFirstColumn="0" w:firstRowLastColumn="0" w:lastRowFirstColumn="0" w:lastRowLastColumn="0"/>
              <w:rPr>
                <w:lang w:val="en-GB"/>
              </w:rPr>
            </w:pPr>
            <w:r>
              <w:t>Reflects empirical access constraint in target soums; provides a realistic check against urban / lab-derived rankings.</w:t>
            </w:r>
          </w:p>
        </w:tc>
      </w:tr>
      <w:tr w:rsidR="003C2038" w:rsidRPr="006D51E5" w14:paraId="15F96F47" w14:textId="77777777" w:rsidTr="00391A3D">
        <w:tc>
          <w:tcPr>
            <w:cnfStyle w:val="001000000000" w:firstRow="0" w:lastRow="0" w:firstColumn="1" w:lastColumn="0" w:oddVBand="0" w:evenVBand="0" w:oddHBand="0" w:evenHBand="0" w:firstRowFirstColumn="0" w:firstRowLastColumn="0" w:lastRowFirstColumn="0" w:lastRowLastColumn="0"/>
            <w:tcW w:w="809" w:type="pct"/>
            <w:shd w:val="clear" w:color="auto" w:fill="FAEBE1" w:themeFill="accent3" w:themeFillTint="33"/>
          </w:tcPr>
          <w:p w14:paraId="22EACE47" w14:textId="77777777" w:rsidR="003C2038" w:rsidRPr="006D51E5" w:rsidRDefault="003C2038" w:rsidP="003C78DF">
            <w:pPr>
              <w:pStyle w:val="OikoTables03Content"/>
              <w:rPr>
                <w:lang w:val="en-GB"/>
              </w:rPr>
            </w:pPr>
            <w:r>
              <w:t>TOTAL</w:t>
            </w:r>
          </w:p>
        </w:tc>
        <w:tc>
          <w:tcPr>
            <w:tcW w:w="1980" w:type="pct"/>
            <w:shd w:val="clear" w:color="auto" w:fill="FAEBE1" w:themeFill="accent3" w:themeFillTint="33"/>
          </w:tcPr>
          <w:p w14:paraId="24F830B8" w14:textId="77777777" w:rsidR="003C2038" w:rsidRPr="006D51E5" w:rsidRDefault="003C2038"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p>
        </w:tc>
        <w:tc>
          <w:tcPr>
            <w:tcW w:w="447" w:type="pct"/>
            <w:shd w:val="clear" w:color="auto" w:fill="FAEBE1" w:themeFill="accent3" w:themeFillTint="33"/>
          </w:tcPr>
          <w:p w14:paraId="6071BBCA" w14:textId="77777777" w:rsidR="003C2038" w:rsidRPr="009A5644" w:rsidRDefault="003C2038" w:rsidP="003C78DF">
            <w:pPr>
              <w:pStyle w:val="OikoTables03Content"/>
              <w:cnfStyle w:val="000000000000" w:firstRow="0" w:lastRow="0" w:firstColumn="0" w:lastColumn="0" w:oddVBand="0" w:evenVBand="0" w:oddHBand="0" w:evenHBand="0" w:firstRowFirstColumn="0" w:firstRowLastColumn="0" w:lastRowFirstColumn="0" w:lastRowLastColumn="0"/>
              <w:rPr>
                <w:b/>
                <w:bCs/>
                <w:lang w:val="en-GB"/>
              </w:rPr>
            </w:pPr>
            <w:r w:rsidRPr="009A5644">
              <w:rPr>
                <w:b/>
                <w:bCs/>
              </w:rPr>
              <w:t>1.00</w:t>
            </w:r>
          </w:p>
        </w:tc>
        <w:tc>
          <w:tcPr>
            <w:tcW w:w="1764" w:type="pct"/>
            <w:shd w:val="clear" w:color="auto" w:fill="FAEBE1" w:themeFill="accent3" w:themeFillTint="33"/>
          </w:tcPr>
          <w:p w14:paraId="063E1006" w14:textId="77777777" w:rsidR="003C2038" w:rsidRPr="006D51E5" w:rsidRDefault="003C2038" w:rsidP="003C78DF">
            <w:pPr>
              <w:pStyle w:val="OikoTables03Content"/>
              <w:cnfStyle w:val="000000000000" w:firstRow="0" w:lastRow="0" w:firstColumn="0" w:lastColumn="0" w:oddVBand="0" w:evenVBand="0" w:oddHBand="0" w:evenHBand="0" w:firstRowFirstColumn="0" w:firstRowLastColumn="0" w:lastRowFirstColumn="0" w:lastRowLastColumn="0"/>
              <w:rPr>
                <w:lang w:val="en-GB"/>
              </w:rPr>
            </w:pPr>
          </w:p>
        </w:tc>
      </w:tr>
    </w:tbl>
    <w:p w14:paraId="53001F64" w14:textId="5DA9F609" w:rsidR="003C2038" w:rsidRDefault="00051682" w:rsidP="006D51E5">
      <w:pPr>
        <w:spacing w:before="120" w:after="120" w:line="240" w:lineRule="auto"/>
        <w:contextualSpacing w:val="0"/>
      </w:pPr>
      <w:r>
        <w:rPr>
          <w:b/>
          <w:bCs/>
        </w:rPr>
        <w:t>Scoring logic</w:t>
      </w:r>
      <w:r>
        <w:t>: Each option is scored from 1 (very low) to 5 (very high). Weighted Score Formula: Final Score = Σ (Score × Weight). Several distinct indicator types are used depending on criterion: USD/kWh for affordability, digester operating temperature and seasonal capacity factor for reliability, kg CO₂-</w:t>
      </w:r>
      <w:proofErr w:type="spellStart"/>
      <w:r>
        <w:t>eq</w:t>
      </w:r>
      <w:proofErr w:type="spellEnd"/>
      <w:r>
        <w:t>/MWh for environmental, and a binary specialist-vs-local indicator for technical simplicity.</w:t>
      </w:r>
    </w:p>
    <w:p w14:paraId="72DFFD3A" w14:textId="5B8796C2" w:rsidR="006D51E5" w:rsidRPr="00E35798" w:rsidRDefault="006D51E5" w:rsidP="00EB489E">
      <w:r>
        <w:rPr>
          <w:b/>
          <w:bCs/>
        </w:rPr>
        <w:t xml:space="preserve">Result: </w:t>
      </w:r>
      <w:r>
        <w:t xml:space="preserve">Solar PV scores highest (4.23/5.00) by a significant margin and is the primary energy source for both provinces’ technology packages. </w:t>
      </w:r>
      <w:proofErr w:type="spellStart"/>
      <w:r>
        <w:t>LiFePO</w:t>
      </w:r>
      <w:proofErr w:type="spellEnd"/>
      <w:r>
        <w:t xml:space="preserve">₄ battery storage is mandatory in Dundgovi (deep boreholes, harsher climate) and optional in Uvurkhangai (shallow wells, direct-coupled solar often adequate). Biogas is carried to later consideration, subject to cold-climate digester design and adequate livestock-waste supply; wind and geothermal are not smallholder-scale priorities currently but may be revisited for specific cooperative or institutional installations. Solar PV therefore underpins both the solar-drip irrigation and the passive-solar greenhouse components carried into the integrated packages in Chapter 8. </w:t>
      </w:r>
    </w:p>
    <w:p w14:paraId="594C3F61" w14:textId="77777777" w:rsidR="00581B21" w:rsidRDefault="00581B21" w:rsidP="00EB489E"/>
    <w:p w14:paraId="627376F5" w14:textId="11927985" w:rsidR="00BA7FAC" w:rsidRDefault="00BA7FAC" w:rsidP="00581B21">
      <w:pPr>
        <w:pStyle w:val="Caption"/>
        <w:framePr w:wrap="notBeside"/>
      </w:pPr>
      <w:r>
        <w:lastRenderedPageBreak/>
        <w:t>Table 4</w:t>
      </w:r>
      <w:r w:rsidR="000E5B0A">
        <w:t>5</w:t>
      </w:r>
      <w:r>
        <w:t>. Renewable energy MCA - weighted scores</w:t>
      </w:r>
    </w:p>
    <w:tbl>
      <w:tblPr>
        <w:tblStyle w:val="PlainTable2"/>
        <w:tblW w:w="9639" w:type="dxa"/>
        <w:tblLook w:val="04A0" w:firstRow="1" w:lastRow="0" w:firstColumn="1" w:lastColumn="0" w:noHBand="0" w:noVBand="1"/>
      </w:tblPr>
      <w:tblGrid>
        <w:gridCol w:w="3544"/>
        <w:gridCol w:w="1523"/>
        <w:gridCol w:w="1524"/>
        <w:gridCol w:w="1524"/>
        <w:gridCol w:w="1524"/>
      </w:tblGrid>
      <w:tr w:rsidR="005760C6" w:rsidRPr="00E35798" w14:paraId="6E616B6E" w14:textId="77777777" w:rsidTr="00576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shd w:val="clear" w:color="auto" w:fill="E99E6D" w:themeFill="accent3"/>
          </w:tcPr>
          <w:p w14:paraId="6B67303F" w14:textId="77777777" w:rsidR="005760C6" w:rsidRPr="00E35798" w:rsidRDefault="005760C6" w:rsidP="00D16E24">
            <w:pPr>
              <w:pStyle w:val="OikoTables03Content"/>
              <w:spacing w:after="120" w:line="240" w:lineRule="auto"/>
              <w:rPr>
                <w:lang w:val="en-GB"/>
              </w:rPr>
            </w:pPr>
            <w:r>
              <w:rPr>
                <w:lang w:val="en-GB"/>
              </w:rPr>
              <w:t>Criterion</w:t>
            </w:r>
          </w:p>
        </w:tc>
        <w:tc>
          <w:tcPr>
            <w:tcW w:w="1523" w:type="dxa"/>
            <w:shd w:val="clear" w:color="auto" w:fill="E99E6D" w:themeFill="accent3"/>
          </w:tcPr>
          <w:p w14:paraId="4F17CA84" w14:textId="77777777" w:rsidR="005760C6" w:rsidRPr="00E35798" w:rsidRDefault="005760C6"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Solar PV</w:t>
            </w:r>
          </w:p>
        </w:tc>
        <w:tc>
          <w:tcPr>
            <w:tcW w:w="1524" w:type="dxa"/>
            <w:shd w:val="clear" w:color="auto" w:fill="E99E6D" w:themeFill="accent3"/>
          </w:tcPr>
          <w:p w14:paraId="5EC10597" w14:textId="77777777" w:rsidR="005760C6" w:rsidRPr="00E35798" w:rsidRDefault="005760C6"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Biogas</w:t>
            </w:r>
          </w:p>
        </w:tc>
        <w:tc>
          <w:tcPr>
            <w:tcW w:w="1524" w:type="dxa"/>
            <w:shd w:val="clear" w:color="auto" w:fill="E99E6D" w:themeFill="accent3"/>
          </w:tcPr>
          <w:p w14:paraId="2E005151" w14:textId="77777777" w:rsidR="005760C6" w:rsidRPr="00E35798" w:rsidRDefault="005760C6"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Wind</w:t>
            </w:r>
          </w:p>
        </w:tc>
        <w:tc>
          <w:tcPr>
            <w:tcW w:w="1524" w:type="dxa"/>
            <w:shd w:val="clear" w:color="auto" w:fill="E99E6D" w:themeFill="accent3"/>
          </w:tcPr>
          <w:p w14:paraId="5D3C53A3" w14:textId="77777777" w:rsidR="005760C6" w:rsidRPr="00E35798" w:rsidRDefault="005760C6" w:rsidP="00D16E24">
            <w:pPr>
              <w:pStyle w:val="OikoTables03Content"/>
              <w:spacing w:after="120" w:line="240" w:lineRule="auto"/>
              <w:cnfStyle w:val="100000000000" w:firstRow="1" w:lastRow="0" w:firstColumn="0" w:lastColumn="0" w:oddVBand="0" w:evenVBand="0" w:oddHBand="0" w:evenHBand="0" w:firstRowFirstColumn="0" w:firstRowLastColumn="0" w:lastRowFirstColumn="0" w:lastRowLastColumn="0"/>
              <w:rPr>
                <w:lang w:val="en-GB"/>
              </w:rPr>
            </w:pPr>
            <w:r>
              <w:rPr>
                <w:lang w:val="en-GB"/>
              </w:rPr>
              <w:t>Geothermal</w:t>
            </w:r>
          </w:p>
        </w:tc>
      </w:tr>
      <w:tr w:rsidR="005760C6" w:rsidRPr="00E35798" w14:paraId="342619CC" w14:textId="77777777" w:rsidTr="00576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A634549" w14:textId="3186315B" w:rsidR="005760C6" w:rsidRPr="00051682" w:rsidRDefault="005760C6" w:rsidP="00D16E24">
            <w:pPr>
              <w:pStyle w:val="OikoTables03Content"/>
              <w:spacing w:after="120" w:line="240" w:lineRule="auto"/>
              <w:rPr>
                <w:b w:val="0"/>
                <w:bCs w:val="0"/>
                <w:lang w:val="en-GB"/>
              </w:rPr>
            </w:pPr>
            <w:r>
              <w:rPr>
                <w:b w:val="0"/>
                <w:bCs w:val="0"/>
                <w:lang w:val="en-GB"/>
              </w:rPr>
              <w:t>Affordability (0.35)</w:t>
            </w:r>
          </w:p>
        </w:tc>
        <w:tc>
          <w:tcPr>
            <w:tcW w:w="1523" w:type="dxa"/>
          </w:tcPr>
          <w:p w14:paraId="13364A72"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3.5</w:t>
            </w:r>
          </w:p>
        </w:tc>
        <w:tc>
          <w:tcPr>
            <w:tcW w:w="1524" w:type="dxa"/>
          </w:tcPr>
          <w:p w14:paraId="24D2B994"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3.0</w:t>
            </w:r>
          </w:p>
        </w:tc>
        <w:tc>
          <w:tcPr>
            <w:tcW w:w="1524" w:type="dxa"/>
          </w:tcPr>
          <w:p w14:paraId="43262527"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2.5</w:t>
            </w:r>
          </w:p>
        </w:tc>
        <w:tc>
          <w:tcPr>
            <w:tcW w:w="1524" w:type="dxa"/>
          </w:tcPr>
          <w:p w14:paraId="296C2076"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w:t>
            </w:r>
          </w:p>
        </w:tc>
      </w:tr>
      <w:tr w:rsidR="005760C6" w:rsidRPr="00E35798" w14:paraId="050932C0" w14:textId="77777777" w:rsidTr="005760C6">
        <w:tc>
          <w:tcPr>
            <w:cnfStyle w:val="001000000000" w:firstRow="0" w:lastRow="0" w:firstColumn="1" w:lastColumn="0" w:oddVBand="0" w:evenVBand="0" w:oddHBand="0" w:evenHBand="0" w:firstRowFirstColumn="0" w:firstRowLastColumn="0" w:lastRowFirstColumn="0" w:lastRowLastColumn="0"/>
            <w:tcW w:w="3544" w:type="dxa"/>
          </w:tcPr>
          <w:p w14:paraId="34B8732A" w14:textId="77777777" w:rsidR="005760C6" w:rsidRPr="00051682" w:rsidRDefault="005760C6" w:rsidP="00D16E24">
            <w:pPr>
              <w:pStyle w:val="OikoTables03Content"/>
              <w:spacing w:after="120" w:line="240" w:lineRule="auto"/>
              <w:rPr>
                <w:b w:val="0"/>
                <w:bCs w:val="0"/>
                <w:lang w:val="en-GB"/>
              </w:rPr>
            </w:pPr>
            <w:r>
              <w:rPr>
                <w:b w:val="0"/>
                <w:bCs w:val="0"/>
                <w:lang w:val="en-GB"/>
              </w:rPr>
              <w:t>Reliability (0.20)</w:t>
            </w:r>
          </w:p>
        </w:tc>
        <w:tc>
          <w:tcPr>
            <w:tcW w:w="1523" w:type="dxa"/>
          </w:tcPr>
          <w:p w14:paraId="031C8E32"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4.5</w:t>
            </w:r>
          </w:p>
        </w:tc>
        <w:tc>
          <w:tcPr>
            <w:tcW w:w="1524" w:type="dxa"/>
          </w:tcPr>
          <w:p w14:paraId="7987B32E"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2.5</w:t>
            </w:r>
          </w:p>
        </w:tc>
        <w:tc>
          <w:tcPr>
            <w:tcW w:w="1524" w:type="dxa"/>
          </w:tcPr>
          <w:p w14:paraId="65F1F38E"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3.0</w:t>
            </w:r>
          </w:p>
        </w:tc>
        <w:tc>
          <w:tcPr>
            <w:tcW w:w="1524" w:type="dxa"/>
          </w:tcPr>
          <w:p w14:paraId="0E198B7F"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4.5</w:t>
            </w:r>
          </w:p>
        </w:tc>
      </w:tr>
      <w:tr w:rsidR="005760C6" w:rsidRPr="00E35798" w14:paraId="6606FC27" w14:textId="77777777" w:rsidTr="00576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CEC9849" w14:textId="77777777" w:rsidR="005760C6" w:rsidRPr="00051682" w:rsidRDefault="005760C6" w:rsidP="00D16E24">
            <w:pPr>
              <w:pStyle w:val="OikoTables03Content"/>
              <w:spacing w:after="120" w:line="240" w:lineRule="auto"/>
              <w:rPr>
                <w:b w:val="0"/>
                <w:bCs w:val="0"/>
                <w:lang w:val="en-GB"/>
              </w:rPr>
            </w:pPr>
            <w:r>
              <w:rPr>
                <w:b w:val="0"/>
                <w:bCs w:val="0"/>
                <w:lang w:val="en-GB"/>
              </w:rPr>
              <w:t>Environmental (0.20)</w:t>
            </w:r>
          </w:p>
        </w:tc>
        <w:tc>
          <w:tcPr>
            <w:tcW w:w="1523" w:type="dxa"/>
          </w:tcPr>
          <w:p w14:paraId="4FB71353"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5.0</w:t>
            </w:r>
          </w:p>
        </w:tc>
        <w:tc>
          <w:tcPr>
            <w:tcW w:w="1524" w:type="dxa"/>
          </w:tcPr>
          <w:p w14:paraId="3D6D411A"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4.5</w:t>
            </w:r>
          </w:p>
        </w:tc>
        <w:tc>
          <w:tcPr>
            <w:tcW w:w="1524" w:type="dxa"/>
          </w:tcPr>
          <w:p w14:paraId="23675624"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5.0</w:t>
            </w:r>
          </w:p>
        </w:tc>
        <w:tc>
          <w:tcPr>
            <w:tcW w:w="1524" w:type="dxa"/>
          </w:tcPr>
          <w:p w14:paraId="4E6078CC"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5.0</w:t>
            </w:r>
          </w:p>
        </w:tc>
      </w:tr>
      <w:tr w:rsidR="005760C6" w:rsidRPr="00E35798" w14:paraId="438FE2C7" w14:textId="77777777" w:rsidTr="005760C6">
        <w:tc>
          <w:tcPr>
            <w:cnfStyle w:val="001000000000" w:firstRow="0" w:lastRow="0" w:firstColumn="1" w:lastColumn="0" w:oddVBand="0" w:evenVBand="0" w:oddHBand="0" w:evenHBand="0" w:firstRowFirstColumn="0" w:firstRowLastColumn="0" w:lastRowFirstColumn="0" w:lastRowLastColumn="0"/>
            <w:tcW w:w="3544" w:type="dxa"/>
          </w:tcPr>
          <w:p w14:paraId="35046066" w14:textId="77777777" w:rsidR="005760C6" w:rsidRPr="00051682" w:rsidRDefault="005760C6" w:rsidP="00D16E24">
            <w:pPr>
              <w:pStyle w:val="OikoTables03Content"/>
              <w:spacing w:after="120" w:line="240" w:lineRule="auto"/>
              <w:rPr>
                <w:b w:val="0"/>
                <w:bCs w:val="0"/>
                <w:lang w:val="en-GB"/>
              </w:rPr>
            </w:pPr>
            <w:r>
              <w:rPr>
                <w:b w:val="0"/>
                <w:bCs w:val="0"/>
                <w:lang w:val="en-GB"/>
              </w:rPr>
              <w:t>Technical Simplicity (0.15)</w:t>
            </w:r>
          </w:p>
        </w:tc>
        <w:tc>
          <w:tcPr>
            <w:tcW w:w="1523" w:type="dxa"/>
          </w:tcPr>
          <w:p w14:paraId="715FE2B2"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4.0</w:t>
            </w:r>
          </w:p>
        </w:tc>
        <w:tc>
          <w:tcPr>
            <w:tcW w:w="1524" w:type="dxa"/>
          </w:tcPr>
          <w:p w14:paraId="0688CAEB"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2.5</w:t>
            </w:r>
          </w:p>
        </w:tc>
        <w:tc>
          <w:tcPr>
            <w:tcW w:w="1524" w:type="dxa"/>
          </w:tcPr>
          <w:p w14:paraId="48DD3D69"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2.5</w:t>
            </w:r>
          </w:p>
        </w:tc>
        <w:tc>
          <w:tcPr>
            <w:tcW w:w="1524" w:type="dxa"/>
          </w:tcPr>
          <w:p w14:paraId="6A89CD25" w14:textId="77777777"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w:t>
            </w:r>
          </w:p>
        </w:tc>
      </w:tr>
      <w:tr w:rsidR="005760C6" w:rsidRPr="00E35798" w14:paraId="1B4AF18B" w14:textId="77777777" w:rsidTr="00576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F4F3128" w14:textId="77777777" w:rsidR="005760C6" w:rsidRPr="00051682" w:rsidRDefault="005760C6" w:rsidP="00D16E24">
            <w:pPr>
              <w:pStyle w:val="OikoTables03Content"/>
              <w:spacing w:after="120" w:line="240" w:lineRule="auto"/>
              <w:rPr>
                <w:b w:val="0"/>
                <w:bCs w:val="0"/>
                <w:lang w:val="en-GB"/>
              </w:rPr>
            </w:pPr>
            <w:r>
              <w:rPr>
                <w:b w:val="0"/>
                <w:bCs w:val="0"/>
                <w:lang w:val="en-GB"/>
              </w:rPr>
              <w:t>Rural Availability (0.10)</w:t>
            </w:r>
          </w:p>
        </w:tc>
        <w:tc>
          <w:tcPr>
            <w:tcW w:w="1523" w:type="dxa"/>
          </w:tcPr>
          <w:p w14:paraId="6E6E61CF"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5.0</w:t>
            </w:r>
          </w:p>
        </w:tc>
        <w:tc>
          <w:tcPr>
            <w:tcW w:w="1524" w:type="dxa"/>
          </w:tcPr>
          <w:p w14:paraId="1BAB2DB9"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3.0</w:t>
            </w:r>
          </w:p>
        </w:tc>
        <w:tc>
          <w:tcPr>
            <w:tcW w:w="1524" w:type="dxa"/>
          </w:tcPr>
          <w:p w14:paraId="1105DEDD"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4.0</w:t>
            </w:r>
          </w:p>
        </w:tc>
        <w:tc>
          <w:tcPr>
            <w:tcW w:w="1524" w:type="dxa"/>
          </w:tcPr>
          <w:p w14:paraId="294370CB" w14:textId="77777777" w:rsidR="005760C6" w:rsidRPr="00E35798" w:rsidRDefault="005760C6" w:rsidP="00D16E24">
            <w:pPr>
              <w:pStyle w:val="OikoTables03Content"/>
              <w:spacing w:after="120" w:line="240"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w:t>
            </w:r>
          </w:p>
        </w:tc>
      </w:tr>
      <w:tr w:rsidR="005760C6" w:rsidRPr="00E35798" w14:paraId="4EE92849" w14:textId="77777777" w:rsidTr="005760C6">
        <w:tc>
          <w:tcPr>
            <w:cnfStyle w:val="001000000000" w:firstRow="0" w:lastRow="0" w:firstColumn="1" w:lastColumn="0" w:oddVBand="0" w:evenVBand="0" w:oddHBand="0" w:evenHBand="0" w:firstRowFirstColumn="0" w:firstRowLastColumn="0" w:lastRowFirstColumn="0" w:lastRowLastColumn="0"/>
            <w:tcW w:w="3544" w:type="dxa"/>
            <w:shd w:val="clear" w:color="auto" w:fill="FAEBE1" w:themeFill="accent3" w:themeFillTint="33"/>
          </w:tcPr>
          <w:p w14:paraId="25211426" w14:textId="77777777" w:rsidR="005760C6" w:rsidRPr="00E35798" w:rsidRDefault="005760C6" w:rsidP="00D16E24">
            <w:pPr>
              <w:pStyle w:val="OikoTables03Content"/>
              <w:spacing w:after="120" w:line="240" w:lineRule="auto"/>
              <w:rPr>
                <w:lang w:val="en-GB"/>
              </w:rPr>
            </w:pPr>
            <w:r>
              <w:rPr>
                <w:lang w:val="en-GB"/>
              </w:rPr>
              <w:t>WEIGHTED SCORE</w:t>
            </w:r>
          </w:p>
        </w:tc>
        <w:tc>
          <w:tcPr>
            <w:tcW w:w="1523" w:type="dxa"/>
            <w:shd w:val="clear" w:color="auto" w:fill="FAEBE1" w:themeFill="accent3" w:themeFillTint="33"/>
          </w:tcPr>
          <w:p w14:paraId="6A7D676C" w14:textId="0EA19D05"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b/>
                <w:bCs/>
                <w:lang w:val="en-GB"/>
              </w:rPr>
            </w:pPr>
            <w:r>
              <w:rPr>
                <w:b/>
                <w:bCs/>
                <w:lang w:val="en-GB"/>
              </w:rPr>
              <w:t>4.23</w:t>
            </w:r>
          </w:p>
        </w:tc>
        <w:tc>
          <w:tcPr>
            <w:tcW w:w="1524" w:type="dxa"/>
            <w:shd w:val="clear" w:color="auto" w:fill="FAEBE1" w:themeFill="accent3" w:themeFillTint="33"/>
          </w:tcPr>
          <w:p w14:paraId="67F597AA" w14:textId="5E0E0419"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3.13</w:t>
            </w:r>
          </w:p>
        </w:tc>
        <w:tc>
          <w:tcPr>
            <w:tcW w:w="1524" w:type="dxa"/>
            <w:shd w:val="clear" w:color="auto" w:fill="FAEBE1" w:themeFill="accent3" w:themeFillTint="33"/>
          </w:tcPr>
          <w:p w14:paraId="53C83125" w14:textId="50E139BB"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3.25</w:t>
            </w:r>
          </w:p>
        </w:tc>
        <w:tc>
          <w:tcPr>
            <w:tcW w:w="1524" w:type="dxa"/>
            <w:shd w:val="clear" w:color="auto" w:fill="FAEBE1" w:themeFill="accent3" w:themeFillTint="33"/>
          </w:tcPr>
          <w:p w14:paraId="421230DB" w14:textId="60F05879" w:rsidR="005760C6" w:rsidRPr="00E35798" w:rsidRDefault="005760C6" w:rsidP="00D16E24">
            <w:pPr>
              <w:pStyle w:val="OikoTables03Content"/>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3.10</w:t>
            </w:r>
          </w:p>
        </w:tc>
      </w:tr>
      <w:bookmarkEnd w:id="126"/>
    </w:tbl>
    <w:p w14:paraId="71C11855" w14:textId="17CF6D97" w:rsidR="006D51E5" w:rsidRDefault="006D51E5" w:rsidP="00EB489E"/>
    <w:p w14:paraId="0BAC0550" w14:textId="67D57779" w:rsidR="006D51E5" w:rsidRDefault="00FF1CE4" w:rsidP="00FF1CE4">
      <w:pPr>
        <w:pStyle w:val="Heading2"/>
      </w:pPr>
      <w:bookmarkStart w:id="150" w:name="_Toc233981355"/>
      <w:r>
        <w:t>Comparative screening and technology shortlisting</w:t>
      </w:r>
      <w:bookmarkEnd w:id="150"/>
    </w:p>
    <w:p w14:paraId="49C1D490" w14:textId="77777777" w:rsidR="000E6DFC" w:rsidRDefault="000E6DFC" w:rsidP="000E6DFC">
      <w:pPr>
        <w:spacing w:before="120" w:after="120" w:line="240" w:lineRule="auto"/>
        <w:contextualSpacing w:val="0"/>
        <w:rPr>
          <w:rFonts w:eastAsia="Times New Roman" w:cs="Times New Roman"/>
        </w:rPr>
      </w:pPr>
      <w:r>
        <w:rPr>
          <w:rFonts w:eastAsia="Times New Roman" w:cs="Times New Roman"/>
        </w:rPr>
        <w:t xml:space="preserve">Comparative screening is based on the MCA results and proceeds in two stages. In stage 1, comparative scoring ranks the options within each technology category on the common weighted 1–5 matrix, identifying the performance leaders and exposing the laggards, and makes the trade-offs between productivity, resilience and feasibility explicit. Stage 2 (strategic filtering) then tests the highest-scoring options against deployment realities including alignment with smallholder horticulture and integration potential with irrigation, greenhouses and insurance systems; feasibility under extreme aridity; and scalability under institutional and financial constraints. The shortlist produced after stage 2 reflects not only what performs best on </w:t>
      </w:r>
      <w:proofErr w:type="gramStart"/>
      <w:r>
        <w:rPr>
          <w:rFonts w:eastAsia="Times New Roman" w:cs="Times New Roman"/>
        </w:rPr>
        <w:t>paper</w:t>
      </w:r>
      <w:proofErr w:type="gramEnd"/>
      <w:r>
        <w:rPr>
          <w:rFonts w:eastAsia="Times New Roman" w:cs="Times New Roman"/>
        </w:rPr>
        <w:t xml:space="preserve"> but what is implementable at scale in the two provinces. </w:t>
      </w:r>
    </w:p>
    <w:p w14:paraId="71C917EE" w14:textId="5E949A95" w:rsidR="000E6DFC" w:rsidRDefault="00C368E8" w:rsidP="000E6DFC">
      <w:pPr>
        <w:pStyle w:val="Heading3"/>
      </w:pPr>
      <w:bookmarkStart w:id="151" w:name="_Toc233981356"/>
      <w:r>
        <w:t>Summary of comparative screening</w:t>
      </w:r>
      <w:bookmarkEnd w:id="151"/>
      <w:r>
        <w:t xml:space="preserve"> </w:t>
      </w:r>
    </w:p>
    <w:p w14:paraId="61FE904C" w14:textId="77777777" w:rsidR="000E6DFC" w:rsidRDefault="000E6DFC" w:rsidP="00EB489E">
      <w:r>
        <w:t>The same principle used throughout the report applies here: options are judged not only on technical performance but on their system-level contribution to climate resilience and livelihoods, against the binding constraints of the target context — severe water scarcity, high climate variability (wind, drought, temperature extremes), soil degradation and desertification, and the limited financial and technical capacity of smallholders.</w:t>
      </w:r>
    </w:p>
    <w:p w14:paraId="15C58184" w14:textId="68CD0026" w:rsidR="00FF1CE4" w:rsidRDefault="00FF1CE4" w:rsidP="00EB489E">
      <w:r>
        <w:t>Table 41 consolidates the outcome of comparative screening. The shortlisted technologies represent complementary functional roles rather than competing alternatives.</w:t>
      </w:r>
    </w:p>
    <w:p w14:paraId="52211CD1" w14:textId="77777777" w:rsidR="00581B21" w:rsidRDefault="00581B21" w:rsidP="00EB489E"/>
    <w:p w14:paraId="4A213177" w14:textId="05081280" w:rsidR="00D532A3" w:rsidRDefault="00D532A3" w:rsidP="00581B21">
      <w:pPr>
        <w:pStyle w:val="Caption"/>
        <w:framePr w:wrap="notBeside"/>
      </w:pPr>
      <w:r>
        <w:t>Table 4</w:t>
      </w:r>
      <w:r w:rsidR="000E5B0A">
        <w:t>6</w:t>
      </w:r>
      <w:r>
        <w:t>. Comparative screening summary</w:t>
      </w:r>
    </w:p>
    <w:tbl>
      <w:tblPr>
        <w:tblStyle w:val="Table"/>
        <w:tblW w:w="5000" w:type="pct"/>
        <w:tblBorders>
          <w:top w:val="single" w:sz="4" w:space="0" w:color="BCBCBC" w:themeColor="background1"/>
          <w:bottom w:val="single" w:sz="4" w:space="0" w:color="BCBCBC" w:themeColor="background1"/>
          <w:insideH w:val="single" w:sz="4" w:space="0" w:color="BCBCBC" w:themeColor="background1"/>
        </w:tblBorders>
        <w:tblLook w:val="0020" w:firstRow="1" w:lastRow="0" w:firstColumn="0" w:lastColumn="0" w:noHBand="0" w:noVBand="0"/>
      </w:tblPr>
      <w:tblGrid>
        <w:gridCol w:w="1523"/>
        <w:gridCol w:w="2452"/>
        <w:gridCol w:w="2669"/>
        <w:gridCol w:w="2994"/>
      </w:tblGrid>
      <w:tr w:rsidR="000E6DFC" w:rsidRPr="00D532A3" w14:paraId="16D72BE8" w14:textId="77777777" w:rsidTr="00580366">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shd w:val="clear" w:color="auto" w:fill="E99E6D" w:themeFill="accent3"/>
            <w:vAlign w:val="top"/>
          </w:tcPr>
          <w:p w14:paraId="76736C55" w14:textId="7EA028F9" w:rsidR="00D532A3" w:rsidRPr="00D532A3" w:rsidRDefault="00D532A3" w:rsidP="00580366">
            <w:pPr>
              <w:pStyle w:val="OikoTables02"/>
            </w:pPr>
            <w:proofErr w:type="spellStart"/>
            <w:r>
              <w:t>Technology</w:t>
            </w:r>
            <w:proofErr w:type="spellEnd"/>
            <w:r>
              <w:t xml:space="preserve"> </w:t>
            </w:r>
            <w:proofErr w:type="spellStart"/>
            <w:r>
              <w:t>category</w:t>
            </w:r>
            <w:proofErr w:type="spellEnd"/>
          </w:p>
        </w:tc>
        <w:tc>
          <w:tcPr>
            <w:tcW w:w="0" w:type="auto"/>
            <w:tcBorders>
              <w:bottom w:val="none" w:sz="0" w:space="0" w:color="auto"/>
            </w:tcBorders>
            <w:shd w:val="clear" w:color="auto" w:fill="E99E6D" w:themeFill="accent3"/>
            <w:vAlign w:val="top"/>
          </w:tcPr>
          <w:p w14:paraId="450FEB5F" w14:textId="77777777" w:rsidR="00D532A3" w:rsidRPr="00D532A3" w:rsidRDefault="00D532A3" w:rsidP="00580366">
            <w:pPr>
              <w:pStyle w:val="OikoTables02"/>
            </w:pPr>
            <w:r>
              <w:t xml:space="preserve">Leading </w:t>
            </w:r>
            <w:proofErr w:type="spellStart"/>
            <w:r>
              <w:t>option</w:t>
            </w:r>
            <w:proofErr w:type="spellEnd"/>
            <w:r>
              <w:t xml:space="preserve"> (MCA score)</w:t>
            </w:r>
          </w:p>
        </w:tc>
        <w:tc>
          <w:tcPr>
            <w:tcW w:w="0" w:type="auto"/>
            <w:tcBorders>
              <w:bottom w:val="none" w:sz="0" w:space="0" w:color="auto"/>
            </w:tcBorders>
            <w:shd w:val="clear" w:color="auto" w:fill="E99E6D" w:themeFill="accent3"/>
            <w:vAlign w:val="top"/>
          </w:tcPr>
          <w:p w14:paraId="0EC563F9" w14:textId="77777777" w:rsidR="00D532A3" w:rsidRPr="00D532A3" w:rsidRDefault="00D532A3" w:rsidP="00580366">
            <w:pPr>
              <w:pStyle w:val="OikoTables02"/>
            </w:pPr>
            <w:r>
              <w:t>Principal role</w:t>
            </w:r>
          </w:p>
        </w:tc>
        <w:tc>
          <w:tcPr>
            <w:tcW w:w="0" w:type="auto"/>
            <w:tcBorders>
              <w:bottom w:val="none" w:sz="0" w:space="0" w:color="auto"/>
            </w:tcBorders>
            <w:shd w:val="clear" w:color="auto" w:fill="E99E6D" w:themeFill="accent3"/>
            <w:vAlign w:val="top"/>
          </w:tcPr>
          <w:p w14:paraId="4598ED5F" w14:textId="77777777" w:rsidR="00D532A3" w:rsidRPr="00D532A3" w:rsidRDefault="00D532A3" w:rsidP="00580366">
            <w:pPr>
              <w:pStyle w:val="OikoTables02"/>
            </w:pPr>
            <w:r>
              <w:t xml:space="preserve">Screening </w:t>
            </w:r>
            <w:proofErr w:type="spellStart"/>
            <w:r>
              <w:t>decision</w:t>
            </w:r>
            <w:proofErr w:type="spellEnd"/>
          </w:p>
        </w:tc>
      </w:tr>
      <w:tr w:rsidR="000E6DFC" w:rsidRPr="00D532A3" w14:paraId="1024DDA2" w14:textId="77777777" w:rsidTr="00581B21">
        <w:tc>
          <w:tcPr>
            <w:tcW w:w="0" w:type="auto"/>
          </w:tcPr>
          <w:p w14:paraId="57BC2751" w14:textId="77777777" w:rsidR="00D532A3" w:rsidRPr="00D532A3" w:rsidRDefault="00D532A3" w:rsidP="00581B21">
            <w:pPr>
              <w:pStyle w:val="OikoTables03Content"/>
            </w:pPr>
            <w:r>
              <w:t>Greenhouse</w:t>
            </w:r>
          </w:p>
        </w:tc>
        <w:tc>
          <w:tcPr>
            <w:tcW w:w="0" w:type="auto"/>
          </w:tcPr>
          <w:p w14:paraId="683D2591" w14:textId="310A0776" w:rsidR="00D532A3" w:rsidRPr="00D532A3" w:rsidRDefault="00D532A3" w:rsidP="00581B21">
            <w:pPr>
              <w:pStyle w:val="OikoTables03Content"/>
            </w:pPr>
            <w:r>
              <w:t>Earth-</w:t>
            </w:r>
            <w:proofErr w:type="spellStart"/>
            <w:r>
              <w:t>sheltered</w:t>
            </w:r>
            <w:proofErr w:type="spellEnd"/>
            <w:r>
              <w:t xml:space="preserve"> </w:t>
            </w:r>
            <w:proofErr w:type="spellStart"/>
            <w:r>
              <w:t>passive</w:t>
            </w:r>
            <w:proofErr w:type="spellEnd"/>
            <w:r>
              <w:t xml:space="preserve"> solar (4.25)</w:t>
            </w:r>
          </w:p>
        </w:tc>
        <w:tc>
          <w:tcPr>
            <w:tcW w:w="0" w:type="auto"/>
          </w:tcPr>
          <w:p w14:paraId="0CD70F09" w14:textId="77777777" w:rsidR="00D532A3" w:rsidRPr="00E8296F" w:rsidRDefault="00D532A3" w:rsidP="00581B21">
            <w:pPr>
              <w:pStyle w:val="OikoTables03Content"/>
              <w:rPr>
                <w:lang w:val="en-GB"/>
              </w:rPr>
            </w:pPr>
            <w:r w:rsidRPr="00E8296F">
              <w:rPr>
                <w:lang w:val="en-GB"/>
              </w:rPr>
              <w:t>Season extension, climate protection, yield gain</w:t>
            </w:r>
          </w:p>
        </w:tc>
        <w:tc>
          <w:tcPr>
            <w:tcW w:w="0" w:type="auto"/>
          </w:tcPr>
          <w:p w14:paraId="31687A34" w14:textId="77777777" w:rsidR="00D532A3" w:rsidRPr="00D532A3" w:rsidRDefault="00D532A3" w:rsidP="00581B21">
            <w:pPr>
              <w:pStyle w:val="OikoTables03Content"/>
            </w:pPr>
            <w:proofErr w:type="spellStart"/>
            <w:r>
              <w:t>Shortlisted</w:t>
            </w:r>
            <w:proofErr w:type="spellEnd"/>
            <w:r>
              <w:t xml:space="preserve"> — </w:t>
            </w:r>
            <w:proofErr w:type="spellStart"/>
            <w:r>
              <w:t>primary</w:t>
            </w:r>
            <w:proofErr w:type="spellEnd"/>
            <w:r>
              <w:t xml:space="preserve"> productive </w:t>
            </w:r>
            <w:proofErr w:type="spellStart"/>
            <w:r>
              <w:t>asset</w:t>
            </w:r>
            <w:proofErr w:type="spellEnd"/>
          </w:p>
        </w:tc>
      </w:tr>
      <w:tr w:rsidR="000E6DFC" w:rsidRPr="00D532A3" w14:paraId="419AFA40" w14:textId="77777777" w:rsidTr="00581B21">
        <w:tc>
          <w:tcPr>
            <w:tcW w:w="0" w:type="auto"/>
          </w:tcPr>
          <w:p w14:paraId="715740ED" w14:textId="77777777" w:rsidR="00D532A3" w:rsidRPr="00D532A3" w:rsidRDefault="00D532A3" w:rsidP="00581B21">
            <w:pPr>
              <w:pStyle w:val="OikoTables03Content"/>
            </w:pPr>
            <w:proofErr w:type="spellStart"/>
            <w:r>
              <w:t>Irrigation</w:t>
            </w:r>
            <w:proofErr w:type="spellEnd"/>
          </w:p>
        </w:tc>
        <w:tc>
          <w:tcPr>
            <w:tcW w:w="0" w:type="auto"/>
          </w:tcPr>
          <w:p w14:paraId="3B62C354" w14:textId="5D4CA5F0" w:rsidR="00D532A3" w:rsidRPr="00E8296F" w:rsidRDefault="00D532A3" w:rsidP="00581B21">
            <w:pPr>
              <w:pStyle w:val="OikoTables03Content"/>
              <w:rPr>
                <w:lang w:val="en-GB"/>
              </w:rPr>
            </w:pPr>
            <w:r w:rsidRPr="00E8296F">
              <w:rPr>
                <w:lang w:val="en-GB"/>
              </w:rPr>
              <w:t>Solar-powered drip (4.30); gravity-fed drip (4.23)</w:t>
            </w:r>
          </w:p>
        </w:tc>
        <w:tc>
          <w:tcPr>
            <w:tcW w:w="0" w:type="auto"/>
          </w:tcPr>
          <w:p w14:paraId="56EC3179" w14:textId="77777777" w:rsidR="00D532A3" w:rsidRPr="00E8296F" w:rsidRDefault="00D532A3" w:rsidP="00581B21">
            <w:pPr>
              <w:pStyle w:val="OikoTables03Content"/>
              <w:rPr>
                <w:lang w:val="en-GB"/>
              </w:rPr>
            </w:pPr>
            <w:r w:rsidRPr="00E8296F">
              <w:rPr>
                <w:lang w:val="en-GB"/>
              </w:rPr>
              <w:t>Water efficiency and pressurised supply</w:t>
            </w:r>
          </w:p>
        </w:tc>
        <w:tc>
          <w:tcPr>
            <w:tcW w:w="0" w:type="auto"/>
          </w:tcPr>
          <w:p w14:paraId="3E32E57E" w14:textId="77777777" w:rsidR="00D532A3" w:rsidRPr="00E8296F" w:rsidRDefault="00D532A3" w:rsidP="00581B21">
            <w:pPr>
              <w:pStyle w:val="OikoTables03Content"/>
              <w:rPr>
                <w:lang w:val="en-GB"/>
              </w:rPr>
            </w:pPr>
            <w:r w:rsidRPr="00E8296F">
              <w:rPr>
                <w:lang w:val="en-GB"/>
              </w:rPr>
              <w:t>Shortlisted — enabling, paired with greenhouse and field</w:t>
            </w:r>
          </w:p>
        </w:tc>
      </w:tr>
      <w:tr w:rsidR="000E6DFC" w:rsidRPr="00D532A3" w14:paraId="763C4936" w14:textId="77777777" w:rsidTr="00581B21">
        <w:tc>
          <w:tcPr>
            <w:tcW w:w="0" w:type="auto"/>
          </w:tcPr>
          <w:p w14:paraId="717F3D2B" w14:textId="77777777" w:rsidR="00D532A3" w:rsidRPr="00D532A3" w:rsidRDefault="00D532A3" w:rsidP="00581B21">
            <w:pPr>
              <w:pStyle w:val="OikoTables03Content"/>
            </w:pPr>
            <w:proofErr w:type="spellStart"/>
            <w:r>
              <w:t>Agroforestry</w:t>
            </w:r>
            <w:proofErr w:type="spellEnd"/>
          </w:p>
        </w:tc>
        <w:tc>
          <w:tcPr>
            <w:tcW w:w="0" w:type="auto"/>
          </w:tcPr>
          <w:p w14:paraId="395A853F" w14:textId="77777777" w:rsidR="00D532A3" w:rsidRPr="00D532A3" w:rsidRDefault="00D532A3" w:rsidP="00581B21">
            <w:pPr>
              <w:pStyle w:val="OikoTables03Content"/>
            </w:pPr>
            <w:proofErr w:type="spellStart"/>
            <w:r>
              <w:t>Windbreaks</w:t>
            </w:r>
            <w:proofErr w:type="spellEnd"/>
            <w:r>
              <w:t xml:space="preserve"> / </w:t>
            </w:r>
            <w:proofErr w:type="spellStart"/>
            <w:r>
              <w:t>shelterbelts</w:t>
            </w:r>
            <w:proofErr w:type="spellEnd"/>
            <w:r>
              <w:t xml:space="preserve"> (4.25); agro-</w:t>
            </w:r>
            <w:proofErr w:type="spellStart"/>
            <w:r>
              <w:t>silvo</w:t>
            </w:r>
            <w:proofErr w:type="spellEnd"/>
            <w:r>
              <w:t xml:space="preserve"> (4.35)</w:t>
            </w:r>
          </w:p>
        </w:tc>
        <w:tc>
          <w:tcPr>
            <w:tcW w:w="0" w:type="auto"/>
          </w:tcPr>
          <w:p w14:paraId="60B687A5" w14:textId="77777777" w:rsidR="00D532A3" w:rsidRPr="00E8296F" w:rsidRDefault="00D532A3" w:rsidP="00581B21">
            <w:pPr>
              <w:pStyle w:val="OikoTables03Content"/>
              <w:rPr>
                <w:lang w:val="en-GB"/>
              </w:rPr>
            </w:pPr>
            <w:r w:rsidRPr="00E8296F">
              <w:rPr>
                <w:lang w:val="en-GB"/>
              </w:rPr>
              <w:t>Wind protection and resilience; higher-value integration</w:t>
            </w:r>
          </w:p>
        </w:tc>
        <w:tc>
          <w:tcPr>
            <w:tcW w:w="0" w:type="auto"/>
          </w:tcPr>
          <w:p w14:paraId="557EA2E7" w14:textId="77777777" w:rsidR="00D532A3" w:rsidRPr="00E8296F" w:rsidRDefault="00D532A3" w:rsidP="00581B21">
            <w:pPr>
              <w:pStyle w:val="OikoTables03Content"/>
              <w:rPr>
                <w:lang w:val="en-GB"/>
              </w:rPr>
            </w:pPr>
            <w:r w:rsidRPr="00E8296F">
              <w:rPr>
                <w:lang w:val="en-GB"/>
              </w:rPr>
              <w:t xml:space="preserve">Both shortlisted — windbreaks foundational, </w:t>
            </w:r>
            <w:proofErr w:type="spellStart"/>
            <w:r w:rsidRPr="00E8296F">
              <w:rPr>
                <w:lang w:val="en-GB"/>
              </w:rPr>
              <w:t>agro-silvo</w:t>
            </w:r>
            <w:proofErr w:type="spellEnd"/>
            <w:r w:rsidRPr="00E8296F">
              <w:rPr>
                <w:lang w:val="en-GB"/>
              </w:rPr>
              <w:t xml:space="preserve"> second</w:t>
            </w:r>
          </w:p>
        </w:tc>
      </w:tr>
      <w:tr w:rsidR="000E6DFC" w:rsidRPr="00D532A3" w14:paraId="3902CA92" w14:textId="77777777" w:rsidTr="00581B21">
        <w:tc>
          <w:tcPr>
            <w:tcW w:w="0" w:type="auto"/>
          </w:tcPr>
          <w:p w14:paraId="01D19FE5" w14:textId="38F7FFFF" w:rsidR="00D532A3" w:rsidRPr="00D532A3" w:rsidRDefault="000E6DFC" w:rsidP="00581B21">
            <w:pPr>
              <w:pStyle w:val="OikoTables03Content"/>
            </w:pPr>
            <w:proofErr w:type="spellStart"/>
            <w:r>
              <w:t>Renewable</w:t>
            </w:r>
            <w:proofErr w:type="spellEnd"/>
            <w:r>
              <w:t xml:space="preserve"> </w:t>
            </w:r>
            <w:proofErr w:type="spellStart"/>
            <w:r>
              <w:t>energy</w:t>
            </w:r>
            <w:proofErr w:type="spellEnd"/>
          </w:p>
        </w:tc>
        <w:tc>
          <w:tcPr>
            <w:tcW w:w="0" w:type="auto"/>
          </w:tcPr>
          <w:p w14:paraId="61EFD0A8" w14:textId="1E76C638" w:rsidR="00D532A3" w:rsidRPr="00D532A3" w:rsidRDefault="00D532A3" w:rsidP="00581B21">
            <w:pPr>
              <w:pStyle w:val="OikoTables03Content"/>
            </w:pPr>
            <w:r>
              <w:t>Solar PV (4.23)</w:t>
            </w:r>
          </w:p>
        </w:tc>
        <w:tc>
          <w:tcPr>
            <w:tcW w:w="0" w:type="auto"/>
          </w:tcPr>
          <w:p w14:paraId="4824AD47" w14:textId="77777777" w:rsidR="00D532A3" w:rsidRPr="00E8296F" w:rsidRDefault="00D532A3" w:rsidP="00581B21">
            <w:pPr>
              <w:pStyle w:val="OikoTables03Content"/>
              <w:rPr>
                <w:lang w:val="en-GB"/>
              </w:rPr>
            </w:pPr>
            <w:r w:rsidRPr="00E8296F">
              <w:rPr>
                <w:lang w:val="en-GB"/>
              </w:rPr>
              <w:t>Enabling layer for pumping, ventilation, monitoring</w:t>
            </w:r>
          </w:p>
        </w:tc>
        <w:tc>
          <w:tcPr>
            <w:tcW w:w="0" w:type="auto"/>
          </w:tcPr>
          <w:p w14:paraId="42184B05" w14:textId="77777777" w:rsidR="00D532A3" w:rsidRPr="00D532A3" w:rsidRDefault="00D532A3" w:rsidP="00581B21">
            <w:pPr>
              <w:pStyle w:val="OikoTables03Content"/>
            </w:pPr>
            <w:proofErr w:type="spellStart"/>
            <w:r>
              <w:t>Shortlisted</w:t>
            </w:r>
            <w:proofErr w:type="spellEnd"/>
            <w:r>
              <w:t xml:space="preserve"> — </w:t>
            </w:r>
            <w:proofErr w:type="spellStart"/>
            <w:r>
              <w:t>primary</w:t>
            </w:r>
            <w:proofErr w:type="spellEnd"/>
            <w:r>
              <w:t xml:space="preserve"> </w:t>
            </w:r>
            <w:proofErr w:type="spellStart"/>
            <w:r>
              <w:t>energy</w:t>
            </w:r>
            <w:proofErr w:type="spellEnd"/>
            <w:r>
              <w:t xml:space="preserve"> </w:t>
            </w:r>
            <w:proofErr w:type="spellStart"/>
            <w:r>
              <w:t>source</w:t>
            </w:r>
            <w:proofErr w:type="spellEnd"/>
          </w:p>
        </w:tc>
      </w:tr>
      <w:tr w:rsidR="001E5A1F" w:rsidRPr="00D532A3" w14:paraId="7290DC05" w14:textId="77777777" w:rsidTr="003A5DB3">
        <w:tc>
          <w:tcPr>
            <w:tcW w:w="0" w:type="auto"/>
            <w:gridSpan w:val="4"/>
          </w:tcPr>
          <w:p w14:paraId="59D59A64" w14:textId="1A185D71" w:rsidR="001E5A1F" w:rsidRPr="001E5A1F" w:rsidRDefault="001E5A1F" w:rsidP="00581B21">
            <w:pPr>
              <w:pStyle w:val="OikoTables03Content"/>
              <w:rPr>
                <w:i/>
                <w:iCs/>
              </w:rPr>
            </w:pPr>
            <w:proofErr w:type="spellStart"/>
            <w:r w:rsidRPr="001E5A1F">
              <w:rPr>
                <w:i/>
                <w:iCs/>
              </w:rPr>
              <w:t>Source</w:t>
            </w:r>
            <w:proofErr w:type="spellEnd"/>
            <w:r w:rsidRPr="001E5A1F">
              <w:rPr>
                <w:i/>
                <w:iCs/>
              </w:rPr>
              <w:t xml:space="preserve">: OIKO </w:t>
            </w:r>
            <w:proofErr w:type="spellStart"/>
            <w:r w:rsidRPr="001E5A1F">
              <w:rPr>
                <w:i/>
                <w:iCs/>
              </w:rPr>
              <w:t>elaboration</w:t>
            </w:r>
            <w:proofErr w:type="spellEnd"/>
            <w:r w:rsidRPr="001E5A1F">
              <w:rPr>
                <w:i/>
                <w:iCs/>
              </w:rPr>
              <w:t xml:space="preserve"> </w:t>
            </w:r>
            <w:proofErr w:type="spellStart"/>
            <w:r w:rsidRPr="001E5A1F">
              <w:rPr>
                <w:i/>
                <w:iCs/>
              </w:rPr>
              <w:t>based</w:t>
            </w:r>
            <w:proofErr w:type="spellEnd"/>
            <w:r w:rsidRPr="001E5A1F">
              <w:rPr>
                <w:i/>
                <w:iCs/>
              </w:rPr>
              <w:t xml:space="preserve"> </w:t>
            </w:r>
            <w:proofErr w:type="spellStart"/>
            <w:r w:rsidRPr="001E5A1F">
              <w:rPr>
                <w:i/>
                <w:iCs/>
              </w:rPr>
              <w:t>on</w:t>
            </w:r>
            <w:proofErr w:type="spellEnd"/>
            <w:r w:rsidRPr="001E5A1F">
              <w:rPr>
                <w:i/>
                <w:iCs/>
              </w:rPr>
              <w:t xml:space="preserve"> </w:t>
            </w:r>
            <w:proofErr w:type="spellStart"/>
            <w:r w:rsidRPr="001E5A1F">
              <w:rPr>
                <w:i/>
                <w:iCs/>
              </w:rPr>
              <w:t>the</w:t>
            </w:r>
            <w:proofErr w:type="spellEnd"/>
            <w:r w:rsidRPr="001E5A1F">
              <w:rPr>
                <w:i/>
                <w:iCs/>
              </w:rPr>
              <w:t xml:space="preserve"> MCA </w:t>
            </w:r>
            <w:proofErr w:type="spellStart"/>
            <w:r w:rsidRPr="001E5A1F">
              <w:rPr>
                <w:i/>
                <w:iCs/>
              </w:rPr>
              <w:t>results</w:t>
            </w:r>
            <w:proofErr w:type="spellEnd"/>
          </w:p>
        </w:tc>
      </w:tr>
    </w:tbl>
    <w:p w14:paraId="1FEFDCBF" w14:textId="13BAB4E1" w:rsidR="00C368E8" w:rsidRDefault="00C368E8" w:rsidP="00C368E8">
      <w:pPr>
        <w:pStyle w:val="Heading3"/>
        <w:spacing w:before="240"/>
      </w:pPr>
      <w:bookmarkStart w:id="152" w:name="_Toc233981357"/>
      <w:r>
        <w:t>Shortlisted technologies</w:t>
      </w:r>
      <w:bookmarkEnd w:id="152"/>
    </w:p>
    <w:p w14:paraId="051AD1A9" w14:textId="1172038D" w:rsidR="00C368E8" w:rsidRDefault="00C368E8" w:rsidP="00606BE7">
      <w:pPr>
        <w:spacing w:before="120" w:after="120" w:line="240" w:lineRule="auto"/>
        <w:contextualSpacing w:val="0"/>
        <w:rPr>
          <w:rFonts w:eastAsia="Times New Roman" w:cs="Times New Roman"/>
        </w:rPr>
      </w:pPr>
      <w:r>
        <w:rPr>
          <w:rFonts w:eastAsia="Times New Roman" w:cs="Times New Roman"/>
        </w:rPr>
        <w:t xml:space="preserve">The shortlist that survives both screening stages combines two complementary agroforestry priorities (windbreaks and </w:t>
      </w:r>
      <w:proofErr w:type="spellStart"/>
      <w:r>
        <w:rPr>
          <w:rFonts w:eastAsia="Times New Roman" w:cs="Times New Roman"/>
        </w:rPr>
        <w:t>agro-silvo</w:t>
      </w:r>
      <w:proofErr w:type="spellEnd"/>
      <w:r>
        <w:rPr>
          <w:rFonts w:eastAsia="Times New Roman" w:cs="Times New Roman"/>
        </w:rPr>
        <w:t xml:space="preserve"> system) with their enabling technologies (passive-solar greenhouse, solar and </w:t>
      </w:r>
      <w:r>
        <w:rPr>
          <w:rFonts w:eastAsia="Times New Roman" w:cs="Times New Roman"/>
        </w:rPr>
        <w:lastRenderedPageBreak/>
        <w:t>gravity-fed drip irrigation, solar PV). This shortlist is what the next chapter assembles into integrated, province-specific packages and what the CBA evaluates. The technologies are briefly explained below.</w:t>
      </w:r>
    </w:p>
    <w:p w14:paraId="767033B0" w14:textId="512412B5" w:rsidR="001B7138" w:rsidRPr="00C17ADF" w:rsidRDefault="00F01F66" w:rsidP="001B7138">
      <w:pPr>
        <w:spacing w:before="120" w:after="120" w:line="240" w:lineRule="auto"/>
        <w:contextualSpacing w:val="0"/>
      </w:pPr>
      <w:r>
        <w:rPr>
          <w:rFonts w:eastAsia="Times New Roman" w:cs="Times New Roman"/>
        </w:rPr>
        <w:t>The</w:t>
      </w:r>
      <w:r>
        <w:rPr>
          <w:rFonts w:eastAsia="Times New Roman" w:cs="Times New Roman"/>
          <w:b/>
          <w:bCs/>
        </w:rPr>
        <w:t xml:space="preserve"> earth-sheltered passive-solar greenhouse</w:t>
      </w:r>
      <w:r>
        <w:rPr>
          <w:rFonts w:eastAsia="Times New Roman" w:cs="Times New Roman"/>
        </w:rPr>
        <w:t xml:space="preserve"> (weighted MCA score = 4.25) is the pivotal productive asset. Its strengths include high output per square metre, near-zero heating cost and strong resilience. With simple supplementary heating, vegetable cultivation is possible for nearly the entire year. The weaknesses of this greenhouse type include initial investment, the skilled labour and attention to detail required for two harvests, and vulnerability to extreme events. Passive-solar designs with earth-built walls have been used in Mongolia for 10–15 years and have evolved from the first generation to the improved third generation, which is taller and wider, with better quality of plastic sheeting, and employment of double- or triple-layered films. The 3</w:t>
      </w:r>
      <w:r>
        <w:rPr>
          <w:rFonts w:eastAsia="Times New Roman" w:cs="Times New Roman"/>
          <w:vertAlign w:val="superscript"/>
        </w:rPr>
        <w:t>rd</w:t>
      </w:r>
      <w:r>
        <w:rPr>
          <w:rFonts w:eastAsia="Times New Roman" w:cs="Times New Roman"/>
        </w:rPr>
        <w:t xml:space="preserve"> generation passive-solar greenhouse absorbs and releases solar heat more effectively and – compared to standard tunnel greenhouses – requires less plastic sheeting thanks to its three-sided masonry </w:t>
      </w:r>
      <w:proofErr w:type="gramStart"/>
      <w:r>
        <w:rPr>
          <w:rFonts w:eastAsia="Times New Roman" w:cs="Times New Roman"/>
        </w:rPr>
        <w:t>walls, and</w:t>
      </w:r>
      <w:proofErr w:type="gramEnd"/>
      <w:r>
        <w:rPr>
          <w:rFonts w:eastAsia="Times New Roman" w:cs="Times New Roman"/>
        </w:rPr>
        <w:t xml:space="preserve"> is the best alternative for small farms facing severe winters, wind and sandstorms. A </w:t>
      </w:r>
      <w:proofErr w:type="gramStart"/>
      <w:r>
        <w:rPr>
          <w:rFonts w:eastAsia="Times New Roman" w:cs="Times New Roman"/>
        </w:rPr>
        <w:t>passive solar greenhouses</w:t>
      </w:r>
      <w:proofErr w:type="gramEnd"/>
      <w:r>
        <w:rPr>
          <w:rFonts w:eastAsia="Times New Roman" w:cs="Times New Roman"/>
        </w:rPr>
        <w:t xml:space="preserve"> should include a water tank with a capacity of more than 3,000 </w:t>
      </w:r>
      <w:proofErr w:type="gramStart"/>
      <w:r>
        <w:rPr>
          <w:rFonts w:eastAsia="Times New Roman" w:cs="Times New Roman"/>
        </w:rPr>
        <w:t>litres, and</w:t>
      </w:r>
      <w:proofErr w:type="gramEnd"/>
      <w:r>
        <w:rPr>
          <w:rFonts w:eastAsia="Times New Roman" w:cs="Times New Roman"/>
        </w:rPr>
        <w:t xml:space="preserve"> have a minimum area of 100 m².</w:t>
      </w:r>
    </w:p>
    <w:p w14:paraId="41A76248" w14:textId="55F0A9FC" w:rsidR="00F01F66" w:rsidRDefault="00F01F66" w:rsidP="00EB489E">
      <w:pPr>
        <w:rPr>
          <w:rFonts w:eastAsia="Times New Roman" w:cs="Times New Roman"/>
        </w:rPr>
      </w:pPr>
      <w:r>
        <w:rPr>
          <w:rFonts w:eastAsia="Times New Roman" w:cs="Times New Roman"/>
          <w:b/>
          <w:bCs/>
        </w:rPr>
        <w:t>Drip irrigation</w:t>
      </w:r>
      <w:r>
        <w:rPr>
          <w:rFonts w:eastAsia="Times New Roman" w:cs="Times New Roman"/>
        </w:rPr>
        <w:t xml:space="preserve"> (weighted MCA score = 4.23-4.30) </w:t>
      </w:r>
      <w:r>
        <w:t xml:space="preserve">is a targeted water delivery system that provides water directly to the root zone of crops through a network of pipes, tubes, and emitters. This technology significantly reduces water wastage by minimising evaporation and runoff, making it highly suitable for Mongolia’s water-scarce regions. Compared to traditional flood irrigation methods, drip irrigation ensures uniform water distribution, optimising the use of available water resources while enhancing crop growth and quality. </w:t>
      </w:r>
      <w:r>
        <w:rPr>
          <w:rFonts w:eastAsia="Times New Roman" w:cs="Times New Roman"/>
        </w:rPr>
        <w:t>The MCA results confirm that gravity-fed drip irrigation where a header tank is feasible (in Uvurkhangai), solar-powered where pumped pressure is needed (e.g., in Dundgovi) — are the enabling technologies that make both greenhouse and open-field production viable under water scarcity. The efficiency and insurability of drip irrigation are decisive; its constraints (elevation for gravity head, filtration, capital cost and PV-theft risk for solar systems) are manageable. It is treated as an integral component of every package, not as a standalone option.</w:t>
      </w:r>
    </w:p>
    <w:p w14:paraId="03D9A09D" w14:textId="77777777" w:rsidR="00580366" w:rsidRDefault="00580366" w:rsidP="00EB489E"/>
    <w:p w14:paraId="3FA2C953" w14:textId="60BE6947" w:rsidR="001B7138" w:rsidRPr="00315CBE" w:rsidRDefault="001B7138" w:rsidP="00EB489E">
      <w:r>
        <w:t>One conclusion is treated here as a design rule rather than an option: greenhouses should no longer be built without drip irrigation, whose added cost is modest relative to seeds and fertiliser and whose water and yield gains are decisive. Furthermore, an artificial windbreak should be established before implementing passive solar greenhouses, solar-powered irrigation, or agroforestry measures (Annex 5).</w:t>
      </w:r>
    </w:p>
    <w:p w14:paraId="50C57565" w14:textId="33C1F47F" w:rsidR="00B1555D" w:rsidRDefault="00C368E8" w:rsidP="00B1555D">
      <w:pPr>
        <w:spacing w:before="120" w:after="120" w:line="240" w:lineRule="auto"/>
        <w:contextualSpacing w:val="0"/>
        <w:rPr>
          <w:rFonts w:eastAsia="Times New Roman" w:cs="Times New Roman"/>
        </w:rPr>
      </w:pPr>
      <w:r>
        <w:rPr>
          <w:rFonts w:eastAsia="Times New Roman" w:cs="Times New Roman"/>
          <w:b/>
          <w:bCs/>
        </w:rPr>
        <w:t>Windbreaks and shelterbelts</w:t>
      </w:r>
      <w:r>
        <w:rPr>
          <w:rFonts w:eastAsia="Times New Roman" w:cs="Times New Roman"/>
        </w:rPr>
        <w:t xml:space="preserve"> (weighted MCA score = 4.25) are the foundational, first-priority agroforestry option that offers a balanced combination of effectiveness, feasibility, scalability. As proven in both Dundgovi and Uvurkhangai, they reduce wind erosion, evapotranspiration and conserve and improve soil moisture, stabilise soils and moderate the microclimate. Windbreaks are compatible with horticulture production both in open fields and in greenhouses, but especially valuable for greenhouse production, enhancing both protection and thermal regulation. They are a key component of national afforestation and reforestation initiatives such as the Billion Tree movement and the Green Belt project, and – with a substantial existing base of approximately 160.3 km in Dundgovi and 105 km in </w:t>
      </w:r>
      <w:proofErr w:type="gramStart"/>
      <w:r>
        <w:rPr>
          <w:rFonts w:eastAsia="Times New Roman" w:cs="Times New Roman"/>
        </w:rPr>
        <w:t>Uvurkhangai</w:t>
      </w:r>
      <w:r>
        <w:rPr>
          <w:rFonts w:eastAsia="Times New Roman" w:cs="Times New Roman"/>
          <w:vertAlign w:val="superscript"/>
        </w:rPr>
        <w:t>[</w:t>
      </w:r>
      <w:proofErr w:type="gramEnd"/>
      <w:r>
        <w:rPr>
          <w:rFonts w:eastAsia="Times New Roman" w:cs="Times New Roman"/>
          <w:vertAlign w:val="superscript"/>
        </w:rPr>
        <w:t>12, 46]</w:t>
      </w:r>
      <w:r>
        <w:rPr>
          <w:rFonts w:eastAsia="Times New Roman" w:cs="Times New Roman"/>
        </w:rPr>
        <w:t xml:space="preserve"> - well suited to scaling up and to integration into broader system design.</w:t>
      </w:r>
    </w:p>
    <w:p w14:paraId="55855C3F" w14:textId="4A5AEE39" w:rsidR="00C17ADF" w:rsidRDefault="00B1555D" w:rsidP="00EB489E">
      <w:r>
        <w:t xml:space="preserve">Windbreaks and shelterbelts function as natural protective infrastructure, delivering system-wide resilience benefits. In Mongolia, windbreaks/shelterbelts are mainly composed of fast-growing species and drought-resistant species, combined in multi-row configurations. Their value lies less in direct profitability and more in risk reduction and yield stabilization, which are critical under climate uncertainty, and this value rises sharply when the belts incorporate fast-yielding berry shrubs led by sea buckthorn. </w:t>
      </w:r>
    </w:p>
    <w:p w14:paraId="66046F3F" w14:textId="0EB6E906" w:rsidR="00BC6CA6" w:rsidRDefault="00C17ADF" w:rsidP="00BC6CA6">
      <w:pPr>
        <w:spacing w:before="120" w:after="120" w:line="240" w:lineRule="auto"/>
        <w:contextualSpacing w:val="0"/>
        <w:rPr>
          <w:rFonts w:eastAsia="Times New Roman" w:cs="Times New Roman"/>
        </w:rPr>
      </w:pPr>
      <w:r>
        <w:rPr>
          <w:rFonts w:eastAsia="Times New Roman" w:cs="Times New Roman"/>
          <w:b/>
          <w:bCs/>
        </w:rPr>
        <w:t xml:space="preserve">Oasis-based </w:t>
      </w:r>
      <w:proofErr w:type="spellStart"/>
      <w:r>
        <w:rPr>
          <w:rFonts w:eastAsia="Times New Roman" w:cs="Times New Roman"/>
          <w:b/>
          <w:bCs/>
        </w:rPr>
        <w:t>agro-silvo</w:t>
      </w:r>
      <w:proofErr w:type="spellEnd"/>
      <w:r>
        <w:rPr>
          <w:rFonts w:eastAsia="Times New Roman" w:cs="Times New Roman"/>
          <w:b/>
          <w:bCs/>
        </w:rPr>
        <w:t xml:space="preserve"> systems</w:t>
      </w:r>
      <w:r>
        <w:rPr>
          <w:rFonts w:eastAsia="Times New Roman" w:cs="Times New Roman"/>
        </w:rPr>
        <w:t xml:space="preserve"> (4.35) are the second-priority agroforestry technology. They achieved the highest MCA score (4.35) due to their strong overall performance and potential to enhance horticulture productivity and diversify smallholder income. They have the greatest productive potential: combination of tree systems with irrigated vegetable and greenhouse production can generate diverse outputs such as fruits, fodder, fuelwood, biomass, and timber. </w:t>
      </w:r>
      <w:proofErr w:type="spellStart"/>
      <w:r>
        <w:rPr>
          <w:rFonts w:eastAsia="Times New Roman" w:cs="Times New Roman"/>
        </w:rPr>
        <w:t>Agro-silvo</w:t>
      </w:r>
      <w:proofErr w:type="spellEnd"/>
      <w:r>
        <w:rPr>
          <w:rFonts w:eastAsia="Times New Roman" w:cs="Times New Roman"/>
        </w:rPr>
        <w:t xml:space="preserve"> systems are highly relevant for food security and climate-resilient horticulture and contribute to soil restoration and carbon sequestration.</w:t>
      </w:r>
    </w:p>
    <w:p w14:paraId="388C9562" w14:textId="77777777" w:rsidR="00BC6CA6" w:rsidRPr="00BC6CA6" w:rsidRDefault="00BC6CA6" w:rsidP="00BC6CA6">
      <w:pPr>
        <w:spacing w:before="120" w:after="120" w:line="240" w:lineRule="auto"/>
        <w:contextualSpacing w:val="0"/>
        <w:rPr>
          <w:rFonts w:eastAsia="Times New Roman" w:cs="Times New Roman"/>
        </w:rPr>
      </w:pPr>
      <w:r>
        <w:rPr>
          <w:rFonts w:eastAsia="Times New Roman" w:cs="Times New Roman"/>
        </w:rPr>
        <w:t xml:space="preserve">In Mongolia, this model is found mainly in southern provinces (notably </w:t>
      </w:r>
      <w:proofErr w:type="spellStart"/>
      <w:r>
        <w:rPr>
          <w:rFonts w:eastAsia="Times New Roman" w:cs="Times New Roman"/>
        </w:rPr>
        <w:t>Umnugovi</w:t>
      </w:r>
      <w:proofErr w:type="spellEnd"/>
      <w:proofErr w:type="gramStart"/>
      <w:r>
        <w:rPr>
          <w:rFonts w:eastAsia="Times New Roman" w:cs="Times New Roman"/>
        </w:rPr>
        <w:t>), and</w:t>
      </w:r>
      <w:proofErr w:type="gramEnd"/>
      <w:r>
        <w:rPr>
          <w:rFonts w:eastAsia="Times New Roman" w:cs="Times New Roman"/>
        </w:rPr>
        <w:t xml:space="preserve"> was developed under initiatives such as the Greenbelt Project. It is often integrated with small-scale irrigation and well adapted for horticulture production purposes. This model represents a “high-input, high-output” system, suitable for targeted investment zones rather than mass-deployment. They are better suited to Uvurkhangai, as a small-scale pilot option. Overall, they represent a high-potential but context-dependent intervention to be further assessed and integrated into system design.</w:t>
      </w:r>
    </w:p>
    <w:p w14:paraId="6FBA27A4" w14:textId="2DE77C9F" w:rsidR="00C368E8" w:rsidRDefault="00315CBE" w:rsidP="00EB489E">
      <w:pPr>
        <w:rPr>
          <w:color w:val="000000"/>
        </w:rPr>
      </w:pPr>
      <w:r>
        <w:rPr>
          <w:b/>
          <w:bCs/>
        </w:rPr>
        <w:lastRenderedPageBreak/>
        <w:t>Renewable energy</w:t>
      </w:r>
      <w:r>
        <w:t xml:space="preserve">. Energy is not a standalone deliverable but the precondition for the solar drip irrigation and passive-solar greenhouse components. Solar PV is the enabling layer that powers pumping, ventilation and monitoring across the packages; both tilted and vertical-bifacial (“solar fence”) configurations merit wider adoption, the latter offering a decisive structural advantage in extreme winds. Beyond water pumping, the same modules can serve heating, cooling, drying and other drive systems (Section 7.4). </w:t>
      </w:r>
    </w:p>
    <w:p w14:paraId="00DBADE1" w14:textId="0A8796A8" w:rsidR="00E25DDA" w:rsidRPr="006C43F3" w:rsidRDefault="00E25DDA" w:rsidP="00580366">
      <w:pPr>
        <w:pStyle w:val="Heading2"/>
        <w:rPr>
          <w:color w:val="000000"/>
        </w:rPr>
      </w:pPr>
      <w:bookmarkStart w:id="153" w:name="_Toc233981358"/>
      <w:r w:rsidRPr="00580366">
        <w:t>Technologies</w:t>
      </w:r>
      <w:r>
        <w:t xml:space="preserve"> not prioritised</w:t>
      </w:r>
      <w:bookmarkEnd w:id="153"/>
    </w:p>
    <w:p w14:paraId="68660B53" w14:textId="35B0C4DD" w:rsidR="00E25DDA" w:rsidRDefault="00C368E8" w:rsidP="00EB489E">
      <w:r>
        <w:t xml:space="preserve">Several technically valid options do not meet the priority criteria for smallholder horticulture in the two provinces Dundgovi and </w:t>
      </w:r>
      <w:proofErr w:type="gramStart"/>
      <w:r>
        <w:t>Uvurkhangai, and</w:t>
      </w:r>
      <w:proofErr w:type="gramEnd"/>
      <w:r>
        <w:t xml:space="preserve"> are not carried forward.</w:t>
      </w:r>
    </w:p>
    <w:p w14:paraId="1C37EAB5" w14:textId="77777777" w:rsidR="00785FF0" w:rsidRDefault="00785FF0" w:rsidP="00EB489E">
      <w:pPr>
        <w:rPr>
          <w:i/>
          <w:iCs/>
        </w:rPr>
      </w:pPr>
    </w:p>
    <w:p w14:paraId="3D1BE8E5" w14:textId="56E7F892" w:rsidR="00E25DDA" w:rsidRDefault="00E25DDA" w:rsidP="00EB489E">
      <w:proofErr w:type="spellStart"/>
      <w:r w:rsidRPr="00785FF0">
        <w:rPr>
          <w:b/>
          <w:bCs/>
          <w:i/>
          <w:iCs/>
        </w:rPr>
        <w:t>Silvopastoral</w:t>
      </w:r>
      <w:proofErr w:type="spellEnd"/>
      <w:r w:rsidRPr="00785FF0">
        <w:rPr>
          <w:b/>
          <w:bCs/>
          <w:i/>
          <w:iCs/>
        </w:rPr>
        <w:t xml:space="preserve"> systems</w:t>
      </w:r>
      <w:r>
        <w:t xml:space="preserve"> are structurally incompatible with vegetable production in open fields and greenhouses: they are designed for livestock, lack technical frameworks and extension support in Mongolia, and their open-grazing logic poses a direct risk to crops, young trees and infrastructure, so they would require major changes in land governance to adopt. </w:t>
      </w:r>
    </w:p>
    <w:p w14:paraId="2BD7C8A9" w14:textId="77777777" w:rsidR="00580366" w:rsidRDefault="00580366" w:rsidP="00EB489E">
      <w:pPr>
        <w:rPr>
          <w:i/>
          <w:iCs/>
        </w:rPr>
      </w:pPr>
    </w:p>
    <w:p w14:paraId="29502A85" w14:textId="64D3C920" w:rsidR="00606BE7" w:rsidRDefault="00E25DDA" w:rsidP="00EB489E">
      <w:r w:rsidRPr="00785FF0">
        <w:rPr>
          <w:b/>
          <w:bCs/>
          <w:i/>
          <w:iCs/>
        </w:rPr>
        <w:t>Subsurface drip irrigation</w:t>
      </w:r>
      <w:r>
        <w:t xml:space="preserve"> is excluded on cost and its poor fit with annual bed turnover.</w:t>
      </w:r>
    </w:p>
    <w:p w14:paraId="15A4F13F" w14:textId="77777777" w:rsidR="00580366" w:rsidRDefault="00580366" w:rsidP="00EB489E">
      <w:pPr>
        <w:rPr>
          <w:i/>
          <w:iCs/>
        </w:rPr>
      </w:pPr>
    </w:p>
    <w:p w14:paraId="522C2E44" w14:textId="1039D4CA" w:rsidR="00E25DDA" w:rsidRDefault="00606BE7" w:rsidP="00EB489E">
      <w:r w:rsidRPr="00785FF0">
        <w:rPr>
          <w:b/>
          <w:bCs/>
          <w:i/>
          <w:iCs/>
        </w:rPr>
        <w:t>High-cost commercial (Venlo, fully automated)</w:t>
      </w:r>
      <w:r w:rsidRPr="00785FF0">
        <w:rPr>
          <w:b/>
          <w:bCs/>
        </w:rPr>
        <w:t xml:space="preserve"> </w:t>
      </w:r>
      <w:r w:rsidRPr="00785FF0">
        <w:rPr>
          <w:b/>
          <w:bCs/>
          <w:i/>
          <w:iCs/>
        </w:rPr>
        <w:t>greenhouses</w:t>
      </w:r>
      <w:r>
        <w:t xml:space="preserve"> are excluded on investment grounds and the absence of a matching market. These options may be revisited in later phases or for specific cooperative and institutional installations, but they do not enter the smallholder packages or the CBA.</w:t>
      </w:r>
    </w:p>
    <w:p w14:paraId="79F9A6B0" w14:textId="797CAC57" w:rsidR="006D51E5" w:rsidRDefault="006D51E5" w:rsidP="00EB489E"/>
    <w:p w14:paraId="7190B363" w14:textId="685A6B9C" w:rsidR="00A02DA1" w:rsidRDefault="00A02DA1">
      <w:pPr>
        <w:spacing w:after="160" w:line="259" w:lineRule="auto"/>
        <w:contextualSpacing w:val="0"/>
        <w:jc w:val="left"/>
      </w:pPr>
      <w:r>
        <w:br w:type="page"/>
      </w:r>
    </w:p>
    <w:p w14:paraId="62F0B531" w14:textId="77777777" w:rsidR="008A2AF6" w:rsidRPr="00E35798" w:rsidRDefault="00587AE2" w:rsidP="00D16E24">
      <w:pPr>
        <w:pStyle w:val="Heading1"/>
        <w:spacing w:line="240" w:lineRule="auto"/>
        <w:contextualSpacing w:val="0"/>
      </w:pPr>
      <w:bookmarkStart w:id="154" w:name="_Toc233981359"/>
      <w:r>
        <w:lastRenderedPageBreak/>
        <w:t>Province-Specific Recommended Technology Packages</w:t>
      </w:r>
      <w:bookmarkEnd w:id="154"/>
      <w:r>
        <w:t xml:space="preserve"> </w:t>
      </w:r>
    </w:p>
    <w:p w14:paraId="6E918A9E" w14:textId="77777777" w:rsidR="0092738E" w:rsidRDefault="0092738E" w:rsidP="0092738E">
      <w:pPr>
        <w:spacing w:before="240" w:after="120" w:line="240" w:lineRule="auto"/>
        <w:contextualSpacing w:val="0"/>
      </w:pPr>
      <w:r>
        <w:t>Smallholder production systems function as integrated socio-ecological systems in which the performance of one technology depends on the presence and effectiveness of complementary interventions. For example, efficient irrigation significantly improves the establishment and survival of shelterbelts and agroforestry plantations, while windbreaks reduce wind speed, limit evapotranspiration, and improve the performance of both greenhouse structures and open-field vegetable production. Likewise, protected cultivation stabilizes crop production and increases farmers' capacity to invest in longer-term resilience measures.</w:t>
      </w:r>
    </w:p>
    <w:p w14:paraId="46F4B2B2" w14:textId="2282B650" w:rsidR="0092738E" w:rsidRDefault="0092738E" w:rsidP="00EB489E">
      <w:r>
        <w:t>The previous chapters assessed individual technology families - including greenhouse systems, irrigation technologies, agroforestry options, and enabling systems - using a Multi-Criteria Analysis (MCA) framework to identify technically feasible and climate-resilient solutions for smallholder vegetable production in Dundgovi and Uvurkhangai provinces. While this technology-by-technology assessment provides an essential basis for decision-making, individual technologies do not operate in isolation within real farming systems.</w:t>
      </w:r>
    </w:p>
    <w:p w14:paraId="00B044A3" w14:textId="0CD9B668" w:rsidR="0092738E" w:rsidRDefault="0092738E" w:rsidP="00EB489E">
      <w:r>
        <w:t xml:space="preserve">Consequently, the objective of this chapter is not to reassess individual technologies, but to integrate the shortlisted technologies into technology packages adapted to the specific </w:t>
      </w:r>
      <w:proofErr w:type="spellStart"/>
      <w:r>
        <w:t>agro</w:t>
      </w:r>
      <w:proofErr w:type="spellEnd"/>
      <w:r>
        <w:t>-climatic and socio-economic conditions of each target province. Each package combines complementary technologies into coherent production systems capable of simultaneously improving climate resilience, water-use efficiency, agricultural productivity, and household income.</w:t>
      </w:r>
    </w:p>
    <w:p w14:paraId="737B2EFA" w14:textId="77777777" w:rsidR="00785FF0" w:rsidRDefault="00785FF0" w:rsidP="00EB489E"/>
    <w:p w14:paraId="0545C915" w14:textId="7DA9BB16" w:rsidR="0092738E" w:rsidRDefault="0092738E" w:rsidP="00EB489E">
      <w:r>
        <w:t>More specifically, the integrated technology packages pursue five complementary objectives:</w:t>
      </w:r>
    </w:p>
    <w:p w14:paraId="613FD005" w14:textId="0874DBE1" w:rsidR="0092738E" w:rsidRDefault="0092738E" w:rsidP="00785FF0">
      <w:pPr>
        <w:pStyle w:val="ListBullet3"/>
      </w:pPr>
      <w:r>
        <w:t>translate the MCA results into practical recommendations for smallholder farmers;</w:t>
      </w:r>
    </w:p>
    <w:p w14:paraId="681C274A" w14:textId="44338B54" w:rsidR="0092738E" w:rsidRDefault="0092738E" w:rsidP="00785FF0">
      <w:pPr>
        <w:pStyle w:val="ListBullet3"/>
      </w:pPr>
      <w:r>
        <w:t>combine technologies that maximize synergies between productivity and ecosystem resilience;</w:t>
      </w:r>
    </w:p>
    <w:p w14:paraId="1B1C29D0" w14:textId="6E36B7BC" w:rsidR="0092738E" w:rsidRDefault="0092738E" w:rsidP="00785FF0">
      <w:pPr>
        <w:pStyle w:val="ListBullet3"/>
      </w:pPr>
      <w:r>
        <w:t xml:space="preserve">differentiate recommendations according to provincial </w:t>
      </w:r>
      <w:proofErr w:type="spellStart"/>
      <w:r>
        <w:t>agro</w:t>
      </w:r>
      <w:proofErr w:type="spellEnd"/>
      <w:r>
        <w:t>-ecological conditions;</w:t>
      </w:r>
    </w:p>
    <w:p w14:paraId="227CC191" w14:textId="6AD82C40" w:rsidR="0092738E" w:rsidRDefault="0092738E" w:rsidP="00785FF0">
      <w:pPr>
        <w:pStyle w:val="ListBullet3"/>
      </w:pPr>
      <w:r>
        <w:t>identify scalable investment options matching different farmer capacities; and</w:t>
      </w:r>
    </w:p>
    <w:p w14:paraId="271AA993" w14:textId="1D6ADF63" w:rsidR="0092738E" w:rsidRDefault="0092738E" w:rsidP="00785FF0">
      <w:pPr>
        <w:pStyle w:val="ListBullet3"/>
      </w:pPr>
      <w:r>
        <w:t>establish the technical basis for the integrated CBA scenarios.</w:t>
      </w:r>
    </w:p>
    <w:p w14:paraId="2D3F87CE" w14:textId="44E83455" w:rsidR="0092738E" w:rsidRDefault="0092738E" w:rsidP="0092738E">
      <w:pPr>
        <w:spacing w:before="120" w:after="120" w:line="240" w:lineRule="auto"/>
        <w:contextualSpacing w:val="0"/>
        <w:rPr>
          <w:highlight w:val="yellow"/>
        </w:rPr>
      </w:pPr>
      <w:r>
        <w:t>Rather than recommending a single universal solution, this chapter recognizes that adaptation pathways differ according to local environmental conditions, water availability, investment capacity, and institutional support.</w:t>
      </w:r>
    </w:p>
    <w:p w14:paraId="5C390689" w14:textId="21496B90" w:rsidR="0035273F" w:rsidRDefault="0092738E" w:rsidP="0092738E">
      <w:pPr>
        <w:pStyle w:val="Heading2"/>
        <w:spacing w:before="240"/>
      </w:pPr>
      <w:bookmarkStart w:id="155" w:name="_Toc233981360"/>
      <w:r>
        <w:t>From multi-criteria analysis to integrated technology packages</w:t>
      </w:r>
      <w:bookmarkEnd w:id="155"/>
    </w:p>
    <w:p w14:paraId="765DCF3D" w14:textId="77777777" w:rsidR="002C3C0B" w:rsidRDefault="002C3C0B" w:rsidP="00EB489E">
      <w:r>
        <w:t xml:space="preserve">The integrated technology packages were developed by combining the highest-ranked technologies identified through the Multi-Criteria Analysis with the </w:t>
      </w:r>
      <w:proofErr w:type="spellStart"/>
      <w:r>
        <w:t>agro</w:t>
      </w:r>
      <w:proofErr w:type="spellEnd"/>
      <w:r>
        <w:t>-ecological characteristics of the two target provinces. The assessment focused on identifying combinations that maximize complementarities between water management, protected cultivation, agroforestry, and climate-risk management.</w:t>
      </w:r>
    </w:p>
    <w:p w14:paraId="4F216CBA" w14:textId="77777777" w:rsidR="00785FF0" w:rsidRDefault="00785FF0" w:rsidP="00EB489E"/>
    <w:p w14:paraId="2FD352C7" w14:textId="7E2E3E85" w:rsidR="002C3C0B" w:rsidRDefault="002C3C0B" w:rsidP="00EB489E">
      <w:r>
        <w:t>The MCA demonstrated that the highest-performing technologies differ slightly between Dundgovi and Uvurkhangai due to differences in climate severity, water availability, wind exposure, and production potential. Consequently, the recommended packages follow different strategic orientations while maintaining a common Ecosystem-based Adaptation (</w:t>
      </w:r>
      <w:proofErr w:type="spellStart"/>
      <w:r>
        <w:t>EbA</w:t>
      </w:r>
      <w:proofErr w:type="spellEnd"/>
      <w:r>
        <w:t>) framework.</w:t>
      </w:r>
    </w:p>
    <w:p w14:paraId="65C2158A" w14:textId="77777777" w:rsidR="00785FF0" w:rsidRDefault="00785FF0" w:rsidP="00EB489E"/>
    <w:p w14:paraId="19D4E666" w14:textId="055D638F" w:rsidR="009461F7" w:rsidRDefault="009461F7" w:rsidP="00785FF0">
      <w:pPr>
        <w:pStyle w:val="Caption"/>
        <w:framePr w:wrap="notBeside"/>
      </w:pPr>
      <w:r>
        <w:t>Table 4</w:t>
      </w:r>
      <w:r w:rsidR="000E5B0A">
        <w:t>7</w:t>
      </w:r>
      <w:r>
        <w:t>. Functional components of the technology packages and their roles in ecosystem-based adaptation</w:t>
      </w:r>
    </w:p>
    <w:tbl>
      <w:tblPr>
        <w:tblW w:w="5000" w:type="pct"/>
        <w:tblBorders>
          <w:top w:val="single" w:sz="4" w:space="0" w:color="BCBCBC" w:themeColor="background1"/>
          <w:bottom w:val="single" w:sz="4" w:space="0" w:color="BCBCBC" w:themeColor="background1"/>
          <w:insideH w:val="single" w:sz="4" w:space="0" w:color="BCBCBC" w:themeColor="background1"/>
        </w:tblBorders>
        <w:tblCellMar>
          <w:left w:w="70" w:type="dxa"/>
          <w:right w:w="70" w:type="dxa"/>
        </w:tblCellMar>
        <w:tblLook w:val="04A0" w:firstRow="1" w:lastRow="0" w:firstColumn="1" w:lastColumn="0" w:noHBand="0" w:noVBand="1"/>
      </w:tblPr>
      <w:tblGrid>
        <w:gridCol w:w="2586"/>
        <w:gridCol w:w="7052"/>
      </w:tblGrid>
      <w:tr w:rsidR="002C3C0B" w:rsidRPr="009461F7" w14:paraId="3BB1DC69" w14:textId="77777777" w:rsidTr="0014263E">
        <w:trPr>
          <w:trHeight w:val="600"/>
          <w:tblHeader/>
        </w:trPr>
        <w:tc>
          <w:tcPr>
            <w:tcW w:w="2586" w:type="dxa"/>
            <w:shd w:val="clear" w:color="auto" w:fill="E99E6D" w:themeFill="accent3"/>
            <w:vAlign w:val="center"/>
            <w:hideMark/>
          </w:tcPr>
          <w:p w14:paraId="5E47EE4B" w14:textId="77777777" w:rsidR="002C3C0B" w:rsidRPr="009461F7" w:rsidRDefault="002C3C0B" w:rsidP="00785FF0">
            <w:pPr>
              <w:pStyle w:val="OikoTables02"/>
            </w:pPr>
            <w:r>
              <w:t>Functional component</w:t>
            </w:r>
          </w:p>
        </w:tc>
        <w:tc>
          <w:tcPr>
            <w:tcW w:w="7052" w:type="dxa"/>
            <w:shd w:val="clear" w:color="auto" w:fill="E99E6D" w:themeFill="accent3"/>
            <w:vAlign w:val="center"/>
            <w:hideMark/>
          </w:tcPr>
          <w:p w14:paraId="088D9C4D" w14:textId="77777777" w:rsidR="002C3C0B" w:rsidRPr="009461F7" w:rsidRDefault="002C3C0B" w:rsidP="00785FF0">
            <w:pPr>
              <w:pStyle w:val="OikoTables02"/>
            </w:pPr>
            <w:r>
              <w:t>Role within the integrated package</w:t>
            </w:r>
          </w:p>
        </w:tc>
      </w:tr>
      <w:tr w:rsidR="002C3C0B" w:rsidRPr="009461F7" w14:paraId="0EF31F91" w14:textId="77777777" w:rsidTr="0014263E">
        <w:trPr>
          <w:trHeight w:val="736"/>
        </w:trPr>
        <w:tc>
          <w:tcPr>
            <w:tcW w:w="2586" w:type="dxa"/>
            <w:vAlign w:val="center"/>
            <w:hideMark/>
          </w:tcPr>
          <w:p w14:paraId="316188F4" w14:textId="77777777" w:rsidR="002C3C0B" w:rsidRPr="009461F7" w:rsidRDefault="002C3C0B" w:rsidP="00785FF0">
            <w:pPr>
              <w:pStyle w:val="OikoTables03Content"/>
            </w:pPr>
            <w:r>
              <w:t>Water management</w:t>
            </w:r>
          </w:p>
        </w:tc>
        <w:tc>
          <w:tcPr>
            <w:tcW w:w="7052" w:type="dxa"/>
            <w:vAlign w:val="center"/>
            <w:hideMark/>
          </w:tcPr>
          <w:p w14:paraId="05CFC632" w14:textId="77777777" w:rsidR="002C3C0B" w:rsidRPr="009461F7" w:rsidRDefault="002C3C0B" w:rsidP="00785FF0">
            <w:pPr>
              <w:pStyle w:val="OikoTables03Content"/>
            </w:pPr>
            <w:r>
              <w:t>Solar-powered pumping, water storage and drip irrigation to maximize water-use efficiency and ensure reliable crop establishment.</w:t>
            </w:r>
          </w:p>
        </w:tc>
      </w:tr>
      <w:tr w:rsidR="002C3C0B" w:rsidRPr="009461F7" w14:paraId="5284A99A" w14:textId="77777777" w:rsidTr="0014263E">
        <w:trPr>
          <w:trHeight w:val="693"/>
        </w:trPr>
        <w:tc>
          <w:tcPr>
            <w:tcW w:w="2586" w:type="dxa"/>
            <w:vAlign w:val="center"/>
            <w:hideMark/>
          </w:tcPr>
          <w:p w14:paraId="200EC862" w14:textId="77777777" w:rsidR="002C3C0B" w:rsidRPr="009461F7" w:rsidRDefault="002C3C0B" w:rsidP="00785FF0">
            <w:pPr>
              <w:pStyle w:val="OikoTables03Content"/>
            </w:pPr>
            <w:r>
              <w:t>Protected production</w:t>
            </w:r>
          </w:p>
        </w:tc>
        <w:tc>
          <w:tcPr>
            <w:tcW w:w="7052" w:type="dxa"/>
            <w:vAlign w:val="center"/>
            <w:hideMark/>
          </w:tcPr>
          <w:p w14:paraId="722A0EBF" w14:textId="77777777" w:rsidR="002C3C0B" w:rsidRPr="009461F7" w:rsidRDefault="002C3C0B" w:rsidP="00785FF0">
            <w:pPr>
              <w:pStyle w:val="OikoTables03Content"/>
            </w:pPr>
            <w:r>
              <w:t>Climate-resilient greenhouse systems providing season extension, production stability and improved crop quality.</w:t>
            </w:r>
          </w:p>
        </w:tc>
      </w:tr>
      <w:tr w:rsidR="002C3C0B" w:rsidRPr="009461F7" w14:paraId="3EAC08FF" w14:textId="77777777" w:rsidTr="0014263E">
        <w:trPr>
          <w:trHeight w:val="700"/>
        </w:trPr>
        <w:tc>
          <w:tcPr>
            <w:tcW w:w="2586" w:type="dxa"/>
            <w:vAlign w:val="center"/>
            <w:hideMark/>
          </w:tcPr>
          <w:p w14:paraId="466B484B" w14:textId="77777777" w:rsidR="002C3C0B" w:rsidRPr="009461F7" w:rsidRDefault="002C3C0B" w:rsidP="00785FF0">
            <w:pPr>
              <w:pStyle w:val="OikoTables03Content"/>
            </w:pPr>
            <w:r>
              <w:lastRenderedPageBreak/>
              <w:t>Nature-based protection</w:t>
            </w:r>
          </w:p>
        </w:tc>
        <w:tc>
          <w:tcPr>
            <w:tcW w:w="7052" w:type="dxa"/>
            <w:vAlign w:val="center"/>
            <w:hideMark/>
          </w:tcPr>
          <w:p w14:paraId="1CC14CCD" w14:textId="77777777" w:rsidR="002C3C0B" w:rsidRPr="009461F7" w:rsidRDefault="002C3C0B" w:rsidP="00785FF0">
            <w:pPr>
              <w:pStyle w:val="OikoTables03Content"/>
            </w:pPr>
            <w:r>
              <w:t>Windbreaks, shelterbelts and agroforestry systems reducing climatic stress while improving soil quality and ecosystem resilience.</w:t>
            </w:r>
          </w:p>
        </w:tc>
      </w:tr>
      <w:tr w:rsidR="002C3C0B" w:rsidRPr="009461F7" w14:paraId="15349E30" w14:textId="77777777" w:rsidTr="0014263E">
        <w:trPr>
          <w:trHeight w:val="696"/>
        </w:trPr>
        <w:tc>
          <w:tcPr>
            <w:tcW w:w="2586" w:type="dxa"/>
            <w:vAlign w:val="center"/>
            <w:hideMark/>
          </w:tcPr>
          <w:p w14:paraId="68E20523" w14:textId="77777777" w:rsidR="002C3C0B" w:rsidRPr="009461F7" w:rsidRDefault="002C3C0B" w:rsidP="00785FF0">
            <w:pPr>
              <w:pStyle w:val="OikoTables03Content"/>
            </w:pPr>
            <w:r>
              <w:t>Enabling services</w:t>
            </w:r>
          </w:p>
        </w:tc>
        <w:tc>
          <w:tcPr>
            <w:tcW w:w="7052" w:type="dxa"/>
            <w:vAlign w:val="center"/>
            <w:hideMark/>
          </w:tcPr>
          <w:p w14:paraId="41EBFC23" w14:textId="77777777" w:rsidR="002C3C0B" w:rsidRPr="009461F7" w:rsidRDefault="002C3C0B" w:rsidP="00785FF0">
            <w:pPr>
              <w:pStyle w:val="OikoTables03Content"/>
            </w:pPr>
            <w:r>
              <w:t>Digital advisory services, climate-risk insurance and technical support mechanisms strengthening long-term adoption and financial resilience.</w:t>
            </w:r>
          </w:p>
        </w:tc>
      </w:tr>
      <w:tr w:rsidR="0014263E" w:rsidRPr="009461F7" w14:paraId="6B297405" w14:textId="77777777" w:rsidTr="005E4BB6">
        <w:trPr>
          <w:trHeight w:val="696"/>
        </w:trPr>
        <w:tc>
          <w:tcPr>
            <w:tcW w:w="9638" w:type="dxa"/>
            <w:gridSpan w:val="2"/>
            <w:vAlign w:val="center"/>
          </w:tcPr>
          <w:p w14:paraId="7717E7ED" w14:textId="720222C0" w:rsidR="0014263E" w:rsidRPr="0014263E" w:rsidRDefault="0014263E" w:rsidP="0014263E">
            <w:pPr>
              <w:pStyle w:val="OikoTables03Content"/>
              <w:rPr>
                <w:i/>
                <w:iCs/>
              </w:rPr>
            </w:pPr>
            <w:r w:rsidRPr="0014263E">
              <w:rPr>
                <w:i/>
                <w:iCs/>
              </w:rPr>
              <w:t>Source: OIKO elaboration based on the feasibility assessment findings, technology shortlisting, and integrated package logic developed in Sections 7.5 and 8.1.</w:t>
            </w:r>
          </w:p>
        </w:tc>
      </w:tr>
    </w:tbl>
    <w:p w14:paraId="0A7C2B76" w14:textId="242100DE" w:rsidR="002C3C0B" w:rsidRDefault="002C3C0B" w:rsidP="00EB489E"/>
    <w:p w14:paraId="308ED836" w14:textId="77777777" w:rsidR="002C3C0B" w:rsidRDefault="002C3C0B" w:rsidP="00EB489E">
      <w:r>
        <w:t xml:space="preserve">Although these four components are common to both provinces, their relative importance differs according to local conditions. In Dundgovi, the package prioritises climatic protection and water conservation to address extreme aridity and frequent wind events. In contrast, the package proposed for Uvurkhangai places greater emphasis on production diversification and value creation, reflecting more </w:t>
      </w:r>
      <w:proofErr w:type="spellStart"/>
      <w:r>
        <w:t>favorable</w:t>
      </w:r>
      <w:proofErr w:type="spellEnd"/>
      <w:r>
        <w:t xml:space="preserve"> environmental conditions and greater opportunities for integrated horticultural development.</w:t>
      </w:r>
    </w:p>
    <w:p w14:paraId="58D19C0C" w14:textId="77777777" w:rsidR="00785FF0" w:rsidRDefault="00785FF0" w:rsidP="00EB489E"/>
    <w:p w14:paraId="3523AB2B" w14:textId="18E65EDA" w:rsidR="002C3C0B" w:rsidRDefault="002C3C0B" w:rsidP="00EB489E">
      <w:r>
        <w:t xml:space="preserve">In concrete terms, the shortlist carried forward from Chapters 7 comprises a passive-solar (earth-sheltered) greenhouse, with a wind-resistant polycarbonate design available as a co-financed upgrade where dust and wind justify it; solar-powered drip irrigation, with battery storage in Dundgovi; windbreaks and shelterbelts as the foundational protective layer, complemented by oasis-type </w:t>
      </w:r>
      <w:proofErr w:type="spellStart"/>
      <w:r>
        <w:t>agro-silvo</w:t>
      </w:r>
      <w:proofErr w:type="spellEnd"/>
      <w:r>
        <w:t xml:space="preserve"> systems where water and capacity allow; and solar PV as the enabling energy source, with digital crop insurance as the risk-management layer. The packages below combine these components according to a consistent set of principles: they follow the MCA shortlist; they are technically feasible in each province; they suit smallholder vegetable production; they prioritise water efficiency and climate resilience; they are practically implementable; and they are consistent with the cost-benefit-analysis scenarios defined at the end of this chapter.</w:t>
      </w:r>
    </w:p>
    <w:p w14:paraId="2EDC82A9" w14:textId="77777777" w:rsidR="001B7138" w:rsidRPr="00E35798" w:rsidRDefault="001B7138" w:rsidP="001B7138">
      <w:pPr>
        <w:pStyle w:val="Heading2"/>
        <w:spacing w:line="240" w:lineRule="auto"/>
        <w:contextualSpacing w:val="0"/>
      </w:pPr>
      <w:bookmarkStart w:id="156" w:name="_Toc233981361"/>
      <w:r>
        <w:t>Recommended technology package for Uvurkhangai</w:t>
      </w:r>
      <w:bookmarkEnd w:id="156"/>
      <w:r>
        <w:t xml:space="preserve"> </w:t>
      </w:r>
    </w:p>
    <w:p w14:paraId="29FC62EE" w14:textId="45BC9B76" w:rsidR="001B7138" w:rsidRPr="00EA605E" w:rsidRDefault="00EA605E" w:rsidP="00EB489E">
      <w:pPr>
        <w:rPr>
          <w:rFonts w:eastAsia="Times New Roman" w:cs="Times New Roman"/>
        </w:rPr>
      </w:pPr>
      <w:proofErr w:type="spellStart"/>
      <w:r>
        <w:t>Uvurkhangai’s</w:t>
      </w:r>
      <w:proofErr w:type="spellEnd"/>
      <w:r>
        <w:t xml:space="preserve"> more favourable soils, higher rainfall and better water availability allow the technology package to move beyond protection toward production diversification and value creation, while shelterbelts remain the first line of defence against wind. </w:t>
      </w:r>
      <w:r>
        <w:rPr>
          <w:rFonts w:eastAsia="Times New Roman" w:cs="Times New Roman"/>
        </w:rPr>
        <w:t>A support package for Uvurkhangai could be structured as follows: (</w:t>
      </w:r>
      <w:proofErr w:type="spellStart"/>
      <w:r>
        <w:rPr>
          <w:rFonts w:eastAsia="Times New Roman" w:cs="Times New Roman"/>
        </w:rPr>
        <w:t>i</w:t>
      </w:r>
      <w:proofErr w:type="spellEnd"/>
      <w:r>
        <w:rPr>
          <w:rFonts w:eastAsia="Times New Roman" w:cs="Times New Roman"/>
        </w:rPr>
        <w:t xml:space="preserve">) development of a new horticultural area, potentially adjacent to the </w:t>
      </w:r>
      <w:proofErr w:type="spellStart"/>
      <w:r>
        <w:rPr>
          <w:rFonts w:eastAsia="Times New Roman" w:cs="Times New Roman"/>
        </w:rPr>
        <w:t>AgroPark</w:t>
      </w:r>
      <w:proofErr w:type="spellEnd"/>
      <w:r>
        <w:rPr>
          <w:rFonts w:eastAsia="Times New Roman" w:cs="Times New Roman"/>
        </w:rPr>
        <w:t xml:space="preserve"> and (ii) use of solar panels for demonstration purposes - serving as fencing and providing power for lighting, heating, drying, water pumping, and ventilation. The components are as follows.</w:t>
      </w:r>
    </w:p>
    <w:p w14:paraId="7F6DC1CE" w14:textId="77777777" w:rsidR="00785FF0" w:rsidRDefault="00785FF0" w:rsidP="00EB489E">
      <w:pPr>
        <w:rPr>
          <w:b/>
          <w:bCs/>
        </w:rPr>
      </w:pPr>
    </w:p>
    <w:p w14:paraId="2E9ACA77" w14:textId="7C5C63CE" w:rsidR="00EA605E" w:rsidRPr="00EA605E" w:rsidRDefault="00EA605E" w:rsidP="00EB489E">
      <w:r>
        <w:rPr>
          <w:b/>
          <w:bCs/>
        </w:rPr>
        <w:t>Greenhouse farming</w:t>
      </w:r>
      <w:r>
        <w:t>: Existing earth-sheltered passive solar greenhouses should be supplemented with third-generation passive solar greenhouses to demonstrate the feasibility of two harvests per season and the potential to generate a good income for smallholders. Collaboration with the existing small hydroponics facility, combined with a thorough evaluation, should be undertaken to determine whether this small-scale production model warrants wider adoption; this includes small-plot mushroom cultivation using misting systems.</w:t>
      </w:r>
    </w:p>
    <w:p w14:paraId="0F4C2E32" w14:textId="77777777" w:rsidR="00785FF0" w:rsidRDefault="00785FF0" w:rsidP="00EB489E">
      <w:pPr>
        <w:rPr>
          <w:b/>
          <w:bCs/>
        </w:rPr>
      </w:pPr>
    </w:p>
    <w:p w14:paraId="01686ABA" w14:textId="30B0F24D" w:rsidR="00EA605E" w:rsidRPr="00EA605E" w:rsidRDefault="00EA605E" w:rsidP="00EB489E">
      <w:r>
        <w:rPr>
          <w:b/>
          <w:bCs/>
        </w:rPr>
        <w:t>Water management</w:t>
      </w:r>
      <w:r>
        <w:t xml:space="preserve">: Solar-powered pumping with drip irrigation is the primary configuration, direct-coupled or gravity-fed where elevation allows, given the shallow wells. </w:t>
      </w:r>
      <w:proofErr w:type="spellStart"/>
      <w:r>
        <w:t>Arvaikheer</w:t>
      </w:r>
      <w:proofErr w:type="spellEnd"/>
      <w:r>
        <w:t xml:space="preserve"> already has a UNICEF-funded solar pumping station, although it is sited in the city centre rather than near horticultural operations.</w:t>
      </w:r>
    </w:p>
    <w:p w14:paraId="044DA755" w14:textId="77777777" w:rsidR="00785FF0" w:rsidRDefault="00785FF0" w:rsidP="00EB489E">
      <w:pPr>
        <w:rPr>
          <w:b/>
          <w:bCs/>
        </w:rPr>
      </w:pPr>
    </w:p>
    <w:p w14:paraId="04AA3CC2" w14:textId="7894ECCF" w:rsidR="00EA605E" w:rsidRPr="00EA605E" w:rsidRDefault="00EA605E" w:rsidP="00EB489E">
      <w:pPr>
        <w:rPr>
          <w:rFonts w:eastAsia="Times New Roman" w:cs="Times New Roman"/>
        </w:rPr>
      </w:pPr>
      <w:r>
        <w:rPr>
          <w:b/>
          <w:bCs/>
        </w:rPr>
        <w:t>Solar energy</w:t>
      </w:r>
      <w:r>
        <w:t xml:space="preserve">: Solar PV is the enabling energy source, used for demonstration and for fencing, lighting, heating, drying, pumping and ventilation. </w:t>
      </w:r>
      <w:r>
        <w:rPr>
          <w:rFonts w:eastAsia="Times New Roman" w:cs="Times New Roman"/>
        </w:rPr>
        <w:t xml:space="preserve">In the initial years, solar panels and newly planted areas near the greenhouses should be protected by "artificial windbreaks." </w:t>
      </w:r>
    </w:p>
    <w:p w14:paraId="05CE5FAB" w14:textId="77777777" w:rsidR="00785FF0" w:rsidRDefault="00785FF0" w:rsidP="00EB489E">
      <w:pPr>
        <w:rPr>
          <w:b/>
          <w:bCs/>
        </w:rPr>
      </w:pPr>
    </w:p>
    <w:p w14:paraId="77B90433" w14:textId="32190B2C" w:rsidR="00EA605E" w:rsidRPr="00EA605E" w:rsidRDefault="00EA605E" w:rsidP="00EB489E">
      <w:r>
        <w:rPr>
          <w:b/>
          <w:bCs/>
        </w:rPr>
        <w:t>Nature-based protection and diversification</w:t>
      </w:r>
      <w:r>
        <w:t xml:space="preserve">. Productive multifunctional shelterbelts are complemented, where water and capacity allow, by oasis-type </w:t>
      </w:r>
      <w:proofErr w:type="spellStart"/>
      <w:r>
        <w:t>agro-silvo</w:t>
      </w:r>
      <w:proofErr w:type="spellEnd"/>
      <w:r>
        <w:t xml:space="preserve"> systems integrating fruit trees and berry production, building on the roughly 105 km of existing shelterbelts and the Korea–Mongolia nursery. The detailed designs are set out in section 8.4.</w:t>
      </w:r>
    </w:p>
    <w:p w14:paraId="75A73094" w14:textId="77777777" w:rsidR="00785FF0" w:rsidRDefault="00785FF0" w:rsidP="00EB489E">
      <w:pPr>
        <w:rPr>
          <w:b/>
          <w:bCs/>
        </w:rPr>
      </w:pPr>
    </w:p>
    <w:p w14:paraId="2FF19754" w14:textId="5938DDF0" w:rsidR="001669CF" w:rsidRDefault="001669CF" w:rsidP="00EB489E">
      <w:r>
        <w:rPr>
          <w:b/>
          <w:bCs/>
        </w:rPr>
        <w:t>Training and advisory materials</w:t>
      </w:r>
      <w:r>
        <w:t xml:space="preserve"> covering practical aspects of horticulture and addressing the entire value chain — including crop care, processing, packaging, and marketing — should be provided to the </w:t>
      </w:r>
      <w:r>
        <w:lastRenderedPageBreak/>
        <w:t>predominantly female members of vegetable farming households. Additionally, training measures (e.g., leaflets, short videos) on greenhouse construction should be offered to individuals with a technical interest.</w:t>
      </w:r>
    </w:p>
    <w:p w14:paraId="4B42A889" w14:textId="77777777" w:rsidR="00785FF0" w:rsidRDefault="00785FF0" w:rsidP="00EB489E">
      <w:pPr>
        <w:rPr>
          <w:b/>
          <w:bCs/>
        </w:rPr>
      </w:pPr>
    </w:p>
    <w:p w14:paraId="526C1981" w14:textId="29FF894A" w:rsidR="001B7138" w:rsidRDefault="001669CF" w:rsidP="00EB489E">
      <w:r>
        <w:rPr>
          <w:b/>
          <w:bCs/>
        </w:rPr>
        <w:t>Institutional development and collaboration</w:t>
      </w:r>
      <w:r>
        <w:t xml:space="preserve">: Efforts should be made to establish cooperation with the existing nursery from the Korea-Mongolia project and with the </w:t>
      </w:r>
      <w:proofErr w:type="spellStart"/>
      <w:r>
        <w:t>AgroPark</w:t>
      </w:r>
      <w:proofErr w:type="spellEnd"/>
      <w:r>
        <w:t xml:space="preserve"> in </w:t>
      </w:r>
      <w:proofErr w:type="spellStart"/>
      <w:r>
        <w:t>Arvaikheer</w:t>
      </w:r>
      <w:proofErr w:type="spellEnd"/>
      <w:r>
        <w:t>. From an organizational standpoint, the establishment of a local producers' association should be pursued. Collaboration with local banks, local vocational schools, and the agricultural and environmental department authority regarding market-oriented farm planning is also being pursued.</w:t>
      </w:r>
    </w:p>
    <w:p w14:paraId="1AC819ED" w14:textId="77777777" w:rsidR="00EA605E" w:rsidRDefault="00EA605E" w:rsidP="00EB489E"/>
    <w:p w14:paraId="765942B4" w14:textId="62A0C95F" w:rsidR="002C3C0B" w:rsidRDefault="002C3C0B" w:rsidP="002C3C0B">
      <w:pPr>
        <w:pStyle w:val="Heading2"/>
      </w:pPr>
      <w:bookmarkStart w:id="157" w:name="_Toc233981362"/>
      <w:r>
        <w:t>Recommended technology package for Dundgovi</w:t>
      </w:r>
      <w:bookmarkEnd w:id="157"/>
    </w:p>
    <w:p w14:paraId="0521C4AA" w14:textId="17988D6F" w:rsidR="002C3C0B" w:rsidRDefault="001669CF" w:rsidP="00EB489E">
      <w:r>
        <w:t>Although Uvurkhangai Aimag possesses better soil and more abundant water resources, the afforestation efforts and greenhouse facilities in Dundgovi aimag are by no means lagging behind. The recommended package for Dundgovi is built around climatic protection and water conservation, the two binding constraints in this semi-desert environment; its emphasis is therefore on resilience rather than on production diversification. Otherwise, the key areas of focus overlap with those in Uvurkhangai aimag. The components of the package are as follows.</w:t>
      </w:r>
    </w:p>
    <w:p w14:paraId="0EFD0360" w14:textId="77777777" w:rsidR="00785FF0" w:rsidRDefault="00785FF0" w:rsidP="00EB489E">
      <w:pPr>
        <w:rPr>
          <w:b/>
          <w:bCs/>
        </w:rPr>
      </w:pPr>
    </w:p>
    <w:p w14:paraId="7B824F3F" w14:textId="574862A4" w:rsidR="002C3C0B" w:rsidRDefault="001669CF" w:rsidP="00EB489E">
      <w:r>
        <w:rPr>
          <w:b/>
          <w:bCs/>
        </w:rPr>
        <w:t>Greenhouse farming</w:t>
      </w:r>
      <w:r>
        <w:t>. Earth-sheltered passive-solar greenhouses are the primary, financially viable greenhouse type for Dundgovi; protected by the shelterbelts designed in section 8.4, the low-cost design (about USD 15–25/m²) is technically adequate and is what makes the package viable. A wind-resistant polycarbonate semi-permanent greenhouse is retained as a higher-specification upgrade, to be taken up where public co-financing offsets its higher cost. Both build on the 1,200 m² and 300 m² passive-solar greenhouses that already exist in the aimag, which provide a base for practical training in vegetable cultivation, simple heating techniques, seedling production and greenhouse construction.</w:t>
      </w:r>
    </w:p>
    <w:p w14:paraId="45F408CA" w14:textId="77777777" w:rsidR="00785FF0" w:rsidRDefault="00785FF0" w:rsidP="00EB489E">
      <w:pPr>
        <w:rPr>
          <w:b/>
          <w:bCs/>
        </w:rPr>
      </w:pPr>
    </w:p>
    <w:p w14:paraId="51272B82" w14:textId="1B772C87" w:rsidR="002C3C0B" w:rsidRDefault="002C3C0B" w:rsidP="00EB489E">
      <w:r>
        <w:rPr>
          <w:b/>
          <w:bCs/>
        </w:rPr>
        <w:t>Water management</w:t>
      </w:r>
      <w:r>
        <w:t xml:space="preserve">: Solar-powered deep-borehole pumping with </w:t>
      </w:r>
      <w:proofErr w:type="spellStart"/>
      <w:r>
        <w:t>LiFePO</w:t>
      </w:r>
      <w:proofErr w:type="spellEnd"/>
      <w:r>
        <w:t xml:space="preserve">₄ battery storage and drip irrigation is the primary configuration for Dundgovi (Section 7.2), managed through a water-users’ association or the </w:t>
      </w:r>
      <w:proofErr w:type="spellStart"/>
      <w:r>
        <w:t>AgroPark</w:t>
      </w:r>
      <w:proofErr w:type="spellEnd"/>
      <w:r>
        <w:t xml:space="preserve"> rather than one system per household. The solar panels can also be used for water purification or desalination by reverse osmosis where groundwater salinity requires it.</w:t>
      </w:r>
    </w:p>
    <w:p w14:paraId="6FD5FC20" w14:textId="77777777" w:rsidR="00785FF0" w:rsidRDefault="00785FF0" w:rsidP="00EB489E">
      <w:pPr>
        <w:rPr>
          <w:b/>
          <w:bCs/>
        </w:rPr>
      </w:pPr>
    </w:p>
    <w:p w14:paraId="66BCEB5F" w14:textId="3E020DBE" w:rsidR="002C3C0B" w:rsidRDefault="002C3C0B" w:rsidP="00EB489E">
      <w:r>
        <w:rPr>
          <w:b/>
          <w:bCs/>
        </w:rPr>
        <w:t>Renewable energy</w:t>
      </w:r>
      <w:r>
        <w:t>: Solar-powered water pumping systems should be designed for greenhouses. Vertical bifacial solar modules could additionally serve as model fencing, among other applications already reported in Uvurkhangai; the solar panels might even be used for water purification or desalination via osmosis.</w:t>
      </w:r>
    </w:p>
    <w:p w14:paraId="60C6295A" w14:textId="77777777" w:rsidR="00785FF0" w:rsidRDefault="00785FF0" w:rsidP="00EB489E">
      <w:pPr>
        <w:rPr>
          <w:b/>
          <w:bCs/>
        </w:rPr>
      </w:pPr>
    </w:p>
    <w:p w14:paraId="61ED084C" w14:textId="7F364A1D" w:rsidR="001B7138" w:rsidRDefault="001B7138" w:rsidP="00EB489E">
      <w:pPr>
        <w:rPr>
          <w:rFonts w:eastAsia="Times New Roman" w:cs="Times New Roman"/>
        </w:rPr>
      </w:pPr>
      <w:r>
        <w:rPr>
          <w:b/>
          <w:bCs/>
        </w:rPr>
        <w:t>Shelterbelts</w:t>
      </w:r>
      <w:r>
        <w:t xml:space="preserve">: Multifunctional protective shelterbelts form the foundational layer, building on the roughly 160 km of shelterbelts already established in the province. </w:t>
      </w:r>
      <w:r>
        <w:rPr>
          <w:rFonts w:eastAsia="Times New Roman" w:cs="Times New Roman"/>
        </w:rPr>
        <w:t xml:space="preserve">The aim is to implement model agroforestry plantings - building on the existing </w:t>
      </w:r>
      <w:proofErr w:type="gramStart"/>
      <w:r>
        <w:rPr>
          <w:rFonts w:eastAsia="Times New Roman" w:cs="Times New Roman"/>
        </w:rPr>
        <w:t>Korean-Mongolian</w:t>
      </w:r>
      <w:proofErr w:type="gramEnd"/>
      <w:r>
        <w:rPr>
          <w:rFonts w:eastAsia="Times New Roman" w:cs="Times New Roman"/>
        </w:rPr>
        <w:t xml:space="preserve"> nursery cooperation involving the agriculture and environment departments.</w:t>
      </w:r>
      <w:r>
        <w:t xml:space="preserve"> The agroforestry models specifically recommended for Dundgovi are presented in section 8.4.</w:t>
      </w:r>
    </w:p>
    <w:p w14:paraId="3F0C1D81" w14:textId="77777777" w:rsidR="00785FF0" w:rsidRDefault="00785FF0" w:rsidP="00EB489E">
      <w:pPr>
        <w:rPr>
          <w:b/>
          <w:bCs/>
        </w:rPr>
      </w:pPr>
    </w:p>
    <w:p w14:paraId="50F8F723" w14:textId="2D2D5469" w:rsidR="001669CF" w:rsidRPr="001669CF" w:rsidRDefault="001669CF" w:rsidP="00EB489E">
      <w:r>
        <w:rPr>
          <w:b/>
          <w:bCs/>
        </w:rPr>
        <w:t>Training and advisory materials</w:t>
      </w:r>
      <w:r>
        <w:t>: Since passive solar greenhouses already exist in Dundgovi aimag, the aim is to establish strong cooperation to develop practical training materials there. Specifically, this covers: (</w:t>
      </w:r>
      <w:proofErr w:type="spellStart"/>
      <w:r>
        <w:t>i</w:t>
      </w:r>
      <w:proofErr w:type="spellEnd"/>
      <w:r>
        <w:t>) vegetable cultivation and tree planting; the production of simple operational supplies (seedling bags, filling equipment, heating systems for seedbeds, etc.); additional simple tips in video format; (iii) training for skilled individuals on constructing passive solar greenhouses, including instruction in simple heating techniques; (iv) storage options; and (v) business aspects of horticulture, such as production, maintenance, storage, marketing, and bookkeeping/accounting.</w:t>
      </w:r>
    </w:p>
    <w:p w14:paraId="53757098" w14:textId="77777777" w:rsidR="00785FF0" w:rsidRDefault="00785FF0" w:rsidP="00EB489E">
      <w:pPr>
        <w:rPr>
          <w:b/>
          <w:bCs/>
        </w:rPr>
      </w:pPr>
    </w:p>
    <w:p w14:paraId="5C13C438" w14:textId="4ED4C424" w:rsidR="001669CF" w:rsidRDefault="001669CF" w:rsidP="00EB489E">
      <w:r>
        <w:rPr>
          <w:b/>
          <w:bCs/>
        </w:rPr>
        <w:t>Institutional development and collaboration</w:t>
      </w:r>
      <w:r>
        <w:t>: As in Uvurkhangai, the organizational and institutional goal here is to establish a producers' association for vegetables and solar operations. Consequently, maintaining strong ties with local agriculture and environment agencies, the vocational college, and local banks is crucial as well.</w:t>
      </w:r>
    </w:p>
    <w:p w14:paraId="49A3C464" w14:textId="1C6B9A32" w:rsidR="009461F7" w:rsidRDefault="009461F7" w:rsidP="00081905">
      <w:pPr>
        <w:pStyle w:val="Heading2"/>
        <w:spacing w:before="240"/>
      </w:pPr>
      <w:bookmarkStart w:id="158" w:name="_Toc233981363"/>
      <w:r>
        <w:lastRenderedPageBreak/>
        <w:t>Province-specific agroforestry strategies</w:t>
      </w:r>
      <w:bookmarkEnd w:id="158"/>
    </w:p>
    <w:p w14:paraId="2E36FE5E" w14:textId="0D8355C0" w:rsidR="009461F7" w:rsidRDefault="009461F7" w:rsidP="00D62F82">
      <w:pPr>
        <w:pStyle w:val="Heading3"/>
        <w:spacing w:before="240"/>
      </w:pPr>
      <w:bookmarkStart w:id="159" w:name="_Toc233981364"/>
      <w:r>
        <w:t>Agroforestry strategies for Dundgovi</w:t>
      </w:r>
      <w:bookmarkEnd w:id="159"/>
    </w:p>
    <w:p w14:paraId="0A852548" w14:textId="239CE12C" w:rsidR="009461F7" w:rsidRPr="009461F7" w:rsidRDefault="009461F7" w:rsidP="009461F7">
      <w:pPr>
        <w:spacing w:after="120" w:line="240" w:lineRule="auto"/>
        <w:contextualSpacing w:val="0"/>
        <w:rPr>
          <w:b/>
          <w:bCs/>
        </w:rPr>
      </w:pPr>
      <w:r>
        <w:rPr>
          <w:b/>
          <w:bCs/>
        </w:rPr>
        <w:t>Strategic rationale</w:t>
      </w:r>
    </w:p>
    <w:p w14:paraId="0DE7095C" w14:textId="442F8FB5" w:rsidR="009461F7" w:rsidRDefault="009461F7" w:rsidP="00EB489E">
      <w:r>
        <w:t>The field mission clearly identified wind exposure and aeolian erosion as the dominant environmental constraints affecting vegetable production in Dundgovi province. Strong prevailing winds accelerate soil erosion, increase evapotranspiration, damage greenhouse structures and reduce the efficiency of irrigation systems. Under these conditions, agroforestry should primarily be considered as a protective measure rather than a production system.</w:t>
      </w:r>
    </w:p>
    <w:p w14:paraId="08CB42C6" w14:textId="77777777" w:rsidR="00A02DA1" w:rsidRDefault="00A02DA1" w:rsidP="00EB489E"/>
    <w:p w14:paraId="5703C9C6" w14:textId="0B59A2E8" w:rsidR="009461F7" w:rsidRDefault="009461F7" w:rsidP="00EB489E">
      <w:r>
        <w:t>The recommended agroforestry strategy therefore prioritizes the establishment of multifunctional shelterbelts capable of protecting crops and agricultural infrastructure while reducing water demand through microclimate improvement. Fruit production should remain secondary and be limited to hardy shrub species integrated within the shelterbelt or to demonstration orchards under controlled irrigation conditions.</w:t>
      </w:r>
    </w:p>
    <w:p w14:paraId="0CB173C7" w14:textId="77777777" w:rsidR="00785FF0" w:rsidRDefault="00785FF0" w:rsidP="002C3C0B">
      <w:pPr>
        <w:spacing w:after="120" w:line="240" w:lineRule="auto"/>
        <w:contextualSpacing w:val="0"/>
        <w:rPr>
          <w:b/>
          <w:bCs/>
        </w:rPr>
      </w:pPr>
    </w:p>
    <w:p w14:paraId="76F0D880" w14:textId="5B6D570D" w:rsidR="009461F7" w:rsidRPr="009461F7" w:rsidRDefault="009461F7" w:rsidP="002C3C0B">
      <w:pPr>
        <w:spacing w:after="120" w:line="240" w:lineRule="auto"/>
        <w:contextualSpacing w:val="0"/>
        <w:rPr>
          <w:b/>
          <w:bCs/>
        </w:rPr>
      </w:pPr>
      <w:r>
        <w:rPr>
          <w:b/>
          <w:bCs/>
        </w:rPr>
        <w:t>Agroforestry model A – Three-row multifunctional shelterbelt</w:t>
      </w:r>
    </w:p>
    <w:p w14:paraId="16677A7F" w14:textId="5E3F1ABC" w:rsidR="009461F7" w:rsidRDefault="009461F7" w:rsidP="009461F7">
      <w:pPr>
        <w:spacing w:before="120" w:after="120" w:line="240" w:lineRule="auto"/>
        <w:contextualSpacing w:val="0"/>
        <w:rPr>
          <w:lang w:val="en-US"/>
        </w:rPr>
      </w:pPr>
      <w:r>
        <w:rPr>
          <w:lang w:val="en-US"/>
        </w:rPr>
        <w:t>This model is recommended as the reference design for Dundgovi. The objective is to progressively filter the wind rather than creating a solid barrier. A porous shelterbelt provides better aerodynamic performance and reduces turbulence on the leeward side. The shelterbelt will have a width of approximately 4.5 to 5 m.</w:t>
      </w:r>
    </w:p>
    <w:p w14:paraId="64E22B3D" w14:textId="3D2D9001" w:rsidR="009461F7" w:rsidRPr="009461F7" w:rsidRDefault="009461F7" w:rsidP="009461F7">
      <w:pPr>
        <w:spacing w:before="120" w:after="120" w:line="240" w:lineRule="auto"/>
        <w:contextualSpacing w:val="0"/>
        <w:rPr>
          <w:lang w:val="en-US"/>
        </w:rPr>
      </w:pPr>
      <w:r>
        <w:rPr>
          <w:lang w:val="en-US"/>
        </w:rPr>
        <w:t>Row 1 is windward shrub layer. Its functions are to reduce wind velocity close to the ground, trap moving sand and dust, improve soil fertility through nitrogen fixation, and provide berries and biodiversity. Caragana should dominate because it is the most reliable species under Dundgovi conditions. Sea buckthorn adds an economic function without compromising resilience, while hawthorn increases structural diversity and pollinator habitat.</w:t>
      </w:r>
    </w:p>
    <w:p w14:paraId="2DF07DBE" w14:textId="77777777" w:rsidR="009461F7" w:rsidRPr="009461F7" w:rsidRDefault="009461F7" w:rsidP="00EB489E">
      <w:pPr>
        <w:rPr>
          <w:lang w:val="en-US"/>
        </w:rPr>
      </w:pPr>
      <w:r>
        <w:rPr>
          <w:lang w:val="en-US"/>
        </w:rPr>
        <w:t xml:space="preserve">Row 2 consists of main structural trees. This row provides the principal windbreak, will be established rapidly and serves to tolerate drought and poor soils. Ulmus should remain the dominant species because of its proven adaptation across southern Mongolia. </w:t>
      </w:r>
      <w:proofErr w:type="spellStart"/>
      <w:r>
        <w:rPr>
          <w:lang w:val="en-US"/>
        </w:rPr>
        <w:t>Tamarix</w:t>
      </w:r>
      <w:proofErr w:type="spellEnd"/>
      <w:r>
        <w:rPr>
          <w:lang w:val="en-US"/>
        </w:rPr>
        <w:t xml:space="preserve"> is particularly valuable in areas affected by saline groundwater. Spacing between rows 1 &amp; 2 should be around 1.5m.</w:t>
      </w:r>
    </w:p>
    <w:p w14:paraId="11D9991E" w14:textId="77777777" w:rsidR="00785FF0" w:rsidRDefault="00785FF0" w:rsidP="00EB489E"/>
    <w:p w14:paraId="2746A20B" w14:textId="0EB35BE8" w:rsidR="009461F7" w:rsidRDefault="009461F7" w:rsidP="00EB489E">
      <w:r>
        <w:t>Row 3 serves as long-term reinforcement, to increase shelterbelt height,</w:t>
      </w:r>
      <w:r>
        <w:tab/>
        <w:t>improve biodiversity &amp; berry production, and strengthen long-term resilience. Spacing between rows 2 &amp; 3 should be around 3m.</w:t>
      </w:r>
    </w:p>
    <w:p w14:paraId="22858F4C" w14:textId="77777777" w:rsidR="005E6C33" w:rsidRDefault="005E6C33" w:rsidP="00EB489E"/>
    <w:p w14:paraId="678013C5" w14:textId="3DAFF638" w:rsidR="009461F7" w:rsidRDefault="009461F7" w:rsidP="00EB489E">
      <w:r>
        <w:t xml:space="preserve">Where irrigation water is reliable, </w:t>
      </w:r>
      <w:r>
        <w:rPr>
          <w:i/>
          <w:iCs/>
        </w:rPr>
        <w:t>Populus spp</w:t>
      </w:r>
      <w:r>
        <w:t xml:space="preserve">. may replace part of the </w:t>
      </w:r>
      <w:r>
        <w:rPr>
          <w:i/>
          <w:iCs/>
        </w:rPr>
        <w:t>Ulmus</w:t>
      </w:r>
      <w:r>
        <w:t xml:space="preserve"> component to accelerate shelterbelt development. However, </w:t>
      </w:r>
      <w:r>
        <w:rPr>
          <w:i/>
          <w:iCs/>
        </w:rPr>
        <w:t>Populus</w:t>
      </w:r>
      <w:r>
        <w:t xml:space="preserve"> should not become the dominant species because of its higher water requirements.</w:t>
      </w:r>
    </w:p>
    <w:p w14:paraId="503DEC68" w14:textId="77777777" w:rsidR="00785FF0" w:rsidRDefault="00785FF0" w:rsidP="00EB489E"/>
    <w:p w14:paraId="04A5ABF4" w14:textId="0E8AAB7C" w:rsidR="00D62F82" w:rsidRPr="00D62F82" w:rsidRDefault="00D62F82" w:rsidP="00785FF0">
      <w:pPr>
        <w:pStyle w:val="Caption"/>
        <w:framePr w:wrap="notBeside"/>
        <w:rPr>
          <w:lang w:val="en-US"/>
        </w:rPr>
      </w:pPr>
      <w:r>
        <w:rPr>
          <w:lang w:val="en-US"/>
        </w:rPr>
        <w:t>Table 4</w:t>
      </w:r>
      <w:r w:rsidR="000E5B0A">
        <w:rPr>
          <w:lang w:val="en-US"/>
        </w:rPr>
        <w:t>8</w:t>
      </w:r>
      <w:r>
        <w:rPr>
          <w:lang w:val="en-US"/>
        </w:rPr>
        <w:t>. Number of trees and shrubs required in agroforestry model A for Dundgovi</w:t>
      </w:r>
    </w:p>
    <w:tbl>
      <w:tblPr>
        <w:tblStyle w:val="TableGrid"/>
        <w:tblW w:w="9639" w:type="dxa"/>
        <w:tblInd w:w="-5" w:type="dxa"/>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4821"/>
        <w:gridCol w:w="1151"/>
        <w:gridCol w:w="1833"/>
        <w:gridCol w:w="1834"/>
      </w:tblGrid>
      <w:tr w:rsidR="00D62F82" w:rsidRPr="00D62F82" w14:paraId="587BC1F0" w14:textId="77777777" w:rsidTr="00B85D16">
        <w:trPr>
          <w:tblHeader/>
        </w:trPr>
        <w:tc>
          <w:tcPr>
            <w:tcW w:w="4821" w:type="dxa"/>
            <w:shd w:val="clear" w:color="auto" w:fill="E99E6D" w:themeFill="accent3"/>
          </w:tcPr>
          <w:p w14:paraId="0FF64303" w14:textId="47A9B1E3" w:rsidR="00D62F82" w:rsidRPr="00D62F82" w:rsidRDefault="00D62F82" w:rsidP="00785FF0">
            <w:pPr>
              <w:pStyle w:val="OikoTables02"/>
            </w:pPr>
            <w:r>
              <w:t>Type of rows – Shelterbelt</w:t>
            </w:r>
          </w:p>
        </w:tc>
        <w:tc>
          <w:tcPr>
            <w:tcW w:w="1151" w:type="dxa"/>
            <w:shd w:val="clear" w:color="auto" w:fill="E99E6D" w:themeFill="accent3"/>
          </w:tcPr>
          <w:p w14:paraId="7575759F" w14:textId="77777777" w:rsidR="00D62F82" w:rsidRPr="00D62F82" w:rsidRDefault="00D62F82" w:rsidP="00785FF0">
            <w:pPr>
              <w:pStyle w:val="OikoTables02"/>
            </w:pPr>
            <w:r>
              <w:t>Spacing (m)</w:t>
            </w:r>
          </w:p>
        </w:tc>
        <w:tc>
          <w:tcPr>
            <w:tcW w:w="1833" w:type="dxa"/>
            <w:shd w:val="clear" w:color="auto" w:fill="E99E6D" w:themeFill="accent3"/>
          </w:tcPr>
          <w:p w14:paraId="362E430F" w14:textId="57ACC8C0" w:rsidR="00D62F82" w:rsidRPr="00D62F82" w:rsidRDefault="00D62F82" w:rsidP="00785FF0">
            <w:pPr>
              <w:pStyle w:val="OikoTables02"/>
            </w:pPr>
            <w:r>
              <w:t>Number of trees per 100m</w:t>
            </w:r>
          </w:p>
        </w:tc>
        <w:tc>
          <w:tcPr>
            <w:tcW w:w="1834" w:type="dxa"/>
            <w:shd w:val="clear" w:color="auto" w:fill="E99E6D" w:themeFill="accent3"/>
          </w:tcPr>
          <w:p w14:paraId="27CF5850" w14:textId="1E5692F2" w:rsidR="00D62F82" w:rsidRPr="00D62F82" w:rsidRDefault="00D62F82" w:rsidP="00785FF0">
            <w:pPr>
              <w:pStyle w:val="OikoTables02"/>
            </w:pPr>
            <w:r>
              <w:t>Number of trees per ha (400m/l)</w:t>
            </w:r>
          </w:p>
        </w:tc>
      </w:tr>
      <w:tr w:rsidR="00D62F82" w:rsidRPr="00D62F82" w14:paraId="0ED2EE33" w14:textId="77777777" w:rsidTr="00785FF0">
        <w:tc>
          <w:tcPr>
            <w:tcW w:w="4821" w:type="dxa"/>
            <w:shd w:val="clear" w:color="auto" w:fill="F6D7C4" w:themeFill="accent3" w:themeFillTint="66"/>
          </w:tcPr>
          <w:p w14:paraId="1ECBFBF7" w14:textId="77777777" w:rsidR="00D62F82" w:rsidRPr="00D62F82" w:rsidRDefault="00D62F82" w:rsidP="00785FF0">
            <w:pPr>
              <w:pStyle w:val="OikoTables03Content"/>
            </w:pPr>
            <w:r>
              <w:t>Row 1 - Mixed shrub belt Windward side</w:t>
            </w:r>
          </w:p>
        </w:tc>
        <w:tc>
          <w:tcPr>
            <w:tcW w:w="1151" w:type="dxa"/>
            <w:shd w:val="clear" w:color="auto" w:fill="F6D7C4" w:themeFill="accent3" w:themeFillTint="66"/>
          </w:tcPr>
          <w:p w14:paraId="128DFC2A" w14:textId="77777777" w:rsidR="00D62F82" w:rsidRPr="00D62F82" w:rsidRDefault="00D62F82" w:rsidP="00785FF0">
            <w:pPr>
              <w:pStyle w:val="OikoTables03Content"/>
            </w:pPr>
          </w:p>
        </w:tc>
        <w:tc>
          <w:tcPr>
            <w:tcW w:w="1833" w:type="dxa"/>
            <w:shd w:val="clear" w:color="auto" w:fill="F6D7C4" w:themeFill="accent3" w:themeFillTint="66"/>
          </w:tcPr>
          <w:p w14:paraId="6C0F8B08" w14:textId="77777777" w:rsidR="00D62F82" w:rsidRPr="00D62F82" w:rsidRDefault="00D62F82" w:rsidP="00785FF0">
            <w:pPr>
              <w:pStyle w:val="OikoTables03Content"/>
            </w:pPr>
            <w:r>
              <w:t>67</w:t>
            </w:r>
          </w:p>
        </w:tc>
        <w:tc>
          <w:tcPr>
            <w:tcW w:w="1834" w:type="dxa"/>
            <w:shd w:val="clear" w:color="auto" w:fill="F6D7C4" w:themeFill="accent3" w:themeFillTint="66"/>
            <w:vAlign w:val="center"/>
          </w:tcPr>
          <w:p w14:paraId="2B559F74" w14:textId="77777777" w:rsidR="00D62F82" w:rsidRPr="00D62F82" w:rsidRDefault="00D62F82" w:rsidP="00785FF0">
            <w:pPr>
              <w:pStyle w:val="OikoTables03Content"/>
            </w:pPr>
            <w:r>
              <w:t>268</w:t>
            </w:r>
          </w:p>
        </w:tc>
      </w:tr>
      <w:tr w:rsidR="00D62F82" w:rsidRPr="00D62F82" w14:paraId="3A11CC56" w14:textId="77777777" w:rsidTr="00785FF0">
        <w:tc>
          <w:tcPr>
            <w:tcW w:w="4821" w:type="dxa"/>
          </w:tcPr>
          <w:p w14:paraId="4D08D1D3" w14:textId="77777777" w:rsidR="00D62F82" w:rsidRPr="00785FF0" w:rsidRDefault="00D62F82" w:rsidP="007E5D2E">
            <w:pPr>
              <w:pStyle w:val="OikoTables03Content"/>
            </w:pPr>
            <w:r w:rsidRPr="00785FF0">
              <w:t xml:space="preserve">Caragana arborescens &amp; </w:t>
            </w:r>
            <w:proofErr w:type="spellStart"/>
            <w:r w:rsidRPr="00785FF0">
              <w:t>microphylla</w:t>
            </w:r>
            <w:proofErr w:type="spellEnd"/>
            <w:r w:rsidRPr="00785FF0">
              <w:t xml:space="preserve"> - 60%</w:t>
            </w:r>
          </w:p>
        </w:tc>
        <w:tc>
          <w:tcPr>
            <w:tcW w:w="1151" w:type="dxa"/>
          </w:tcPr>
          <w:p w14:paraId="66666770" w14:textId="77777777" w:rsidR="00D62F82" w:rsidRPr="00785FF0" w:rsidRDefault="00D62F82" w:rsidP="00785FF0">
            <w:pPr>
              <w:pStyle w:val="OikoTables03Content"/>
            </w:pPr>
            <w:r w:rsidRPr="00785FF0">
              <w:t>1.5</w:t>
            </w:r>
          </w:p>
        </w:tc>
        <w:tc>
          <w:tcPr>
            <w:tcW w:w="1833" w:type="dxa"/>
          </w:tcPr>
          <w:p w14:paraId="019B2116" w14:textId="77777777" w:rsidR="00D62F82" w:rsidRPr="00785FF0" w:rsidRDefault="00D62F82" w:rsidP="00785FF0">
            <w:pPr>
              <w:pStyle w:val="OikoTables03Content"/>
            </w:pPr>
            <w:r w:rsidRPr="00785FF0">
              <w:t>40</w:t>
            </w:r>
          </w:p>
        </w:tc>
        <w:tc>
          <w:tcPr>
            <w:tcW w:w="1834" w:type="dxa"/>
            <w:vAlign w:val="center"/>
          </w:tcPr>
          <w:p w14:paraId="375103F6" w14:textId="77777777" w:rsidR="00D62F82" w:rsidRPr="00785FF0" w:rsidRDefault="00D62F82" w:rsidP="00785FF0">
            <w:pPr>
              <w:pStyle w:val="OikoTables03Content"/>
            </w:pPr>
            <w:r w:rsidRPr="00785FF0">
              <w:t>160</w:t>
            </w:r>
          </w:p>
        </w:tc>
      </w:tr>
      <w:tr w:rsidR="00D62F82" w:rsidRPr="00D62F82" w14:paraId="3470F6DE" w14:textId="77777777" w:rsidTr="00785FF0">
        <w:tc>
          <w:tcPr>
            <w:tcW w:w="4821" w:type="dxa"/>
          </w:tcPr>
          <w:p w14:paraId="57D8C79F" w14:textId="77777777" w:rsidR="00D62F82" w:rsidRPr="00785FF0" w:rsidRDefault="00D62F82" w:rsidP="00785FF0">
            <w:pPr>
              <w:pStyle w:val="OikoTables03Content"/>
            </w:pPr>
            <w:r w:rsidRPr="00785FF0">
              <w:t>Sea Buckthorn (</w:t>
            </w:r>
            <w:proofErr w:type="spellStart"/>
            <w:r w:rsidRPr="00785FF0">
              <w:rPr>
                <w:i/>
                <w:iCs/>
              </w:rPr>
              <w:t>Hippophae</w:t>
            </w:r>
            <w:proofErr w:type="spellEnd"/>
            <w:r w:rsidRPr="00785FF0">
              <w:rPr>
                <w:i/>
                <w:iCs/>
              </w:rPr>
              <w:t xml:space="preserve"> </w:t>
            </w:r>
            <w:proofErr w:type="spellStart"/>
            <w:r w:rsidRPr="00785FF0">
              <w:rPr>
                <w:i/>
                <w:iCs/>
              </w:rPr>
              <w:t>rhamnoides</w:t>
            </w:r>
            <w:proofErr w:type="spellEnd"/>
            <w:r w:rsidRPr="00785FF0">
              <w:t>) – 30%</w:t>
            </w:r>
          </w:p>
        </w:tc>
        <w:tc>
          <w:tcPr>
            <w:tcW w:w="1151" w:type="dxa"/>
          </w:tcPr>
          <w:p w14:paraId="326F0A6F" w14:textId="77777777" w:rsidR="00D62F82" w:rsidRPr="00785FF0" w:rsidRDefault="00D62F82" w:rsidP="00785FF0">
            <w:pPr>
              <w:pStyle w:val="OikoTables03Content"/>
            </w:pPr>
            <w:r w:rsidRPr="00785FF0">
              <w:t>1.5</w:t>
            </w:r>
          </w:p>
        </w:tc>
        <w:tc>
          <w:tcPr>
            <w:tcW w:w="1833" w:type="dxa"/>
          </w:tcPr>
          <w:p w14:paraId="68F01ED6" w14:textId="77777777" w:rsidR="00D62F82" w:rsidRPr="00785FF0" w:rsidRDefault="00D62F82" w:rsidP="00785FF0">
            <w:pPr>
              <w:pStyle w:val="OikoTables03Content"/>
            </w:pPr>
            <w:r w:rsidRPr="00785FF0">
              <w:t>20</w:t>
            </w:r>
          </w:p>
        </w:tc>
        <w:tc>
          <w:tcPr>
            <w:tcW w:w="1834" w:type="dxa"/>
            <w:vAlign w:val="center"/>
          </w:tcPr>
          <w:p w14:paraId="5EDBE1C4" w14:textId="77777777" w:rsidR="00D62F82" w:rsidRPr="00785FF0" w:rsidRDefault="00D62F82" w:rsidP="00785FF0">
            <w:pPr>
              <w:pStyle w:val="OikoTables03Content"/>
            </w:pPr>
            <w:r w:rsidRPr="00785FF0">
              <w:t>80</w:t>
            </w:r>
          </w:p>
        </w:tc>
      </w:tr>
      <w:tr w:rsidR="00D62F82" w:rsidRPr="00D62F82" w14:paraId="01819109" w14:textId="77777777" w:rsidTr="00785FF0">
        <w:tc>
          <w:tcPr>
            <w:tcW w:w="4821" w:type="dxa"/>
          </w:tcPr>
          <w:p w14:paraId="6CBB743E" w14:textId="77777777" w:rsidR="00D62F82" w:rsidRPr="00785FF0" w:rsidRDefault="00D62F82" w:rsidP="00785FF0">
            <w:pPr>
              <w:pStyle w:val="OikoTables03Content"/>
            </w:pPr>
            <w:r w:rsidRPr="00785FF0">
              <w:t>Hawthorn (</w:t>
            </w:r>
            <w:r w:rsidRPr="00785FF0">
              <w:rPr>
                <w:i/>
                <w:iCs/>
              </w:rPr>
              <w:t>Crataegus spp.</w:t>
            </w:r>
            <w:r w:rsidRPr="00785FF0">
              <w:t>) – 10%</w:t>
            </w:r>
          </w:p>
        </w:tc>
        <w:tc>
          <w:tcPr>
            <w:tcW w:w="1151" w:type="dxa"/>
          </w:tcPr>
          <w:p w14:paraId="6E67674E" w14:textId="77777777" w:rsidR="00D62F82" w:rsidRPr="00785FF0" w:rsidRDefault="00D62F82" w:rsidP="00785FF0">
            <w:pPr>
              <w:pStyle w:val="OikoTables03Content"/>
            </w:pPr>
            <w:r w:rsidRPr="00785FF0">
              <w:t>1.5</w:t>
            </w:r>
          </w:p>
        </w:tc>
        <w:tc>
          <w:tcPr>
            <w:tcW w:w="1833" w:type="dxa"/>
          </w:tcPr>
          <w:p w14:paraId="0FF3140C" w14:textId="77777777" w:rsidR="00D62F82" w:rsidRPr="00785FF0" w:rsidRDefault="00D62F82" w:rsidP="00785FF0">
            <w:pPr>
              <w:pStyle w:val="OikoTables03Content"/>
            </w:pPr>
            <w:r w:rsidRPr="00785FF0">
              <w:t>7</w:t>
            </w:r>
          </w:p>
        </w:tc>
        <w:tc>
          <w:tcPr>
            <w:tcW w:w="1834" w:type="dxa"/>
            <w:vAlign w:val="center"/>
          </w:tcPr>
          <w:p w14:paraId="7B54DBCF" w14:textId="77777777" w:rsidR="00D62F82" w:rsidRPr="00785FF0" w:rsidRDefault="00D62F82" w:rsidP="00785FF0">
            <w:pPr>
              <w:pStyle w:val="OikoTables03Content"/>
            </w:pPr>
            <w:r w:rsidRPr="00785FF0">
              <w:t>28</w:t>
            </w:r>
          </w:p>
        </w:tc>
      </w:tr>
      <w:tr w:rsidR="00D62F82" w:rsidRPr="00D62F82" w14:paraId="2BAD3195" w14:textId="77777777" w:rsidTr="00785FF0">
        <w:tc>
          <w:tcPr>
            <w:tcW w:w="4821" w:type="dxa"/>
            <w:shd w:val="clear" w:color="auto" w:fill="F6D7C4" w:themeFill="accent3" w:themeFillTint="66"/>
          </w:tcPr>
          <w:p w14:paraId="62A5AB0F" w14:textId="77777777" w:rsidR="00D62F82" w:rsidRPr="00785FF0" w:rsidRDefault="00D62F82" w:rsidP="00785FF0">
            <w:pPr>
              <w:pStyle w:val="OikoTables03Content"/>
            </w:pPr>
            <w:r w:rsidRPr="00785FF0">
              <w:t>Row 2 - Fast-growing protection layer</w:t>
            </w:r>
          </w:p>
        </w:tc>
        <w:tc>
          <w:tcPr>
            <w:tcW w:w="1151" w:type="dxa"/>
            <w:shd w:val="clear" w:color="auto" w:fill="F6D7C4" w:themeFill="accent3" w:themeFillTint="66"/>
          </w:tcPr>
          <w:p w14:paraId="08A03F69" w14:textId="77777777" w:rsidR="00D62F82" w:rsidRPr="00785FF0" w:rsidRDefault="00D62F82" w:rsidP="00785FF0">
            <w:pPr>
              <w:pStyle w:val="OikoTables03Content"/>
            </w:pPr>
          </w:p>
        </w:tc>
        <w:tc>
          <w:tcPr>
            <w:tcW w:w="1833" w:type="dxa"/>
            <w:shd w:val="clear" w:color="auto" w:fill="F6D7C4" w:themeFill="accent3" w:themeFillTint="66"/>
          </w:tcPr>
          <w:p w14:paraId="06AD5FBD" w14:textId="77777777" w:rsidR="00D62F82" w:rsidRPr="00785FF0" w:rsidRDefault="00D62F82" w:rsidP="00785FF0">
            <w:pPr>
              <w:pStyle w:val="OikoTables03Content"/>
            </w:pPr>
            <w:r w:rsidRPr="00785FF0">
              <w:t>33</w:t>
            </w:r>
          </w:p>
        </w:tc>
        <w:tc>
          <w:tcPr>
            <w:tcW w:w="1834" w:type="dxa"/>
            <w:shd w:val="clear" w:color="auto" w:fill="F6D7C4" w:themeFill="accent3" w:themeFillTint="66"/>
          </w:tcPr>
          <w:p w14:paraId="443E78CD" w14:textId="77777777" w:rsidR="00D62F82" w:rsidRPr="00785FF0" w:rsidRDefault="00D62F82" w:rsidP="00785FF0">
            <w:pPr>
              <w:pStyle w:val="OikoTables03Content"/>
            </w:pPr>
            <w:r w:rsidRPr="00785FF0">
              <w:t>132</w:t>
            </w:r>
          </w:p>
        </w:tc>
      </w:tr>
      <w:tr w:rsidR="00D62F82" w:rsidRPr="00D62F82" w14:paraId="78DE3AFD" w14:textId="77777777" w:rsidTr="00785FF0">
        <w:tc>
          <w:tcPr>
            <w:tcW w:w="4821" w:type="dxa"/>
          </w:tcPr>
          <w:p w14:paraId="2E53E431" w14:textId="77777777" w:rsidR="00D62F82" w:rsidRPr="00785FF0" w:rsidRDefault="00D62F82" w:rsidP="00785FF0">
            <w:pPr>
              <w:pStyle w:val="OikoTables03Content"/>
            </w:pPr>
            <w:r w:rsidRPr="00785FF0">
              <w:rPr>
                <w:rStyle w:val="Strong"/>
                <w:b w:val="0"/>
                <w:bCs w:val="0"/>
                <w:i/>
                <w:iCs/>
                <w:sz w:val="20"/>
                <w:szCs w:val="20"/>
              </w:rPr>
              <w:t>Ulmus pumila</w:t>
            </w:r>
            <w:r w:rsidRPr="00785FF0">
              <w:t xml:space="preserve"> (≈70%)</w:t>
            </w:r>
          </w:p>
        </w:tc>
        <w:tc>
          <w:tcPr>
            <w:tcW w:w="1151" w:type="dxa"/>
          </w:tcPr>
          <w:p w14:paraId="6365F514" w14:textId="77777777" w:rsidR="00D62F82" w:rsidRPr="00785FF0" w:rsidRDefault="00D62F82" w:rsidP="00785FF0">
            <w:pPr>
              <w:pStyle w:val="OikoTables03Content"/>
            </w:pPr>
            <w:r w:rsidRPr="00785FF0">
              <w:t>3</w:t>
            </w:r>
          </w:p>
        </w:tc>
        <w:tc>
          <w:tcPr>
            <w:tcW w:w="1833" w:type="dxa"/>
          </w:tcPr>
          <w:p w14:paraId="5977F2D4" w14:textId="77777777" w:rsidR="00D62F82" w:rsidRPr="00785FF0" w:rsidRDefault="00D62F82" w:rsidP="00785FF0">
            <w:pPr>
              <w:pStyle w:val="OikoTables03Content"/>
            </w:pPr>
            <w:r w:rsidRPr="00785FF0">
              <w:t>23</w:t>
            </w:r>
          </w:p>
        </w:tc>
        <w:tc>
          <w:tcPr>
            <w:tcW w:w="1834" w:type="dxa"/>
            <w:vAlign w:val="center"/>
          </w:tcPr>
          <w:p w14:paraId="69ABA4CD" w14:textId="77777777" w:rsidR="00D62F82" w:rsidRPr="00785FF0" w:rsidRDefault="00D62F82" w:rsidP="00785FF0">
            <w:pPr>
              <w:pStyle w:val="OikoTables03Content"/>
            </w:pPr>
            <w:r w:rsidRPr="00785FF0">
              <w:t>92</w:t>
            </w:r>
          </w:p>
        </w:tc>
      </w:tr>
      <w:tr w:rsidR="00D62F82" w:rsidRPr="00D62F82" w14:paraId="5818BBDD" w14:textId="77777777" w:rsidTr="00785FF0">
        <w:tc>
          <w:tcPr>
            <w:tcW w:w="4821" w:type="dxa"/>
          </w:tcPr>
          <w:p w14:paraId="0089F90B" w14:textId="77777777" w:rsidR="00D62F82" w:rsidRPr="00785FF0" w:rsidRDefault="00D62F82" w:rsidP="00785FF0">
            <w:pPr>
              <w:pStyle w:val="OikoTables03Content"/>
            </w:pPr>
            <w:proofErr w:type="spellStart"/>
            <w:r w:rsidRPr="00785FF0">
              <w:rPr>
                <w:rStyle w:val="Strong"/>
                <w:b w:val="0"/>
                <w:bCs w:val="0"/>
                <w:i/>
                <w:iCs/>
                <w:sz w:val="20"/>
                <w:szCs w:val="20"/>
              </w:rPr>
              <w:t>Tamarix</w:t>
            </w:r>
            <w:proofErr w:type="spellEnd"/>
            <w:r w:rsidRPr="00785FF0">
              <w:rPr>
                <w:rStyle w:val="Strong"/>
                <w:b w:val="0"/>
                <w:bCs w:val="0"/>
                <w:i/>
                <w:iCs/>
                <w:sz w:val="20"/>
                <w:szCs w:val="20"/>
              </w:rPr>
              <w:t xml:space="preserve"> spp.</w:t>
            </w:r>
            <w:r w:rsidRPr="00785FF0">
              <w:t xml:space="preserve"> (≈30%)</w:t>
            </w:r>
          </w:p>
        </w:tc>
        <w:tc>
          <w:tcPr>
            <w:tcW w:w="1151" w:type="dxa"/>
          </w:tcPr>
          <w:p w14:paraId="4823DBA9" w14:textId="77777777" w:rsidR="00D62F82" w:rsidRPr="00785FF0" w:rsidRDefault="00D62F82" w:rsidP="00785FF0">
            <w:pPr>
              <w:pStyle w:val="OikoTables03Content"/>
            </w:pPr>
            <w:r w:rsidRPr="00785FF0">
              <w:t xml:space="preserve">3 </w:t>
            </w:r>
          </w:p>
        </w:tc>
        <w:tc>
          <w:tcPr>
            <w:tcW w:w="1833" w:type="dxa"/>
          </w:tcPr>
          <w:p w14:paraId="22AEB2DF" w14:textId="77777777" w:rsidR="00D62F82" w:rsidRPr="00785FF0" w:rsidRDefault="00D62F82" w:rsidP="00785FF0">
            <w:pPr>
              <w:pStyle w:val="OikoTables03Content"/>
            </w:pPr>
            <w:r w:rsidRPr="00785FF0">
              <w:t>10</w:t>
            </w:r>
          </w:p>
        </w:tc>
        <w:tc>
          <w:tcPr>
            <w:tcW w:w="1834" w:type="dxa"/>
            <w:vAlign w:val="center"/>
          </w:tcPr>
          <w:p w14:paraId="2310D71A" w14:textId="77777777" w:rsidR="00D62F82" w:rsidRPr="00785FF0" w:rsidRDefault="00D62F82" w:rsidP="00785FF0">
            <w:pPr>
              <w:pStyle w:val="OikoTables03Content"/>
            </w:pPr>
            <w:r w:rsidRPr="00785FF0">
              <w:t>40</w:t>
            </w:r>
          </w:p>
        </w:tc>
      </w:tr>
      <w:tr w:rsidR="00D62F82" w:rsidRPr="00D62F82" w14:paraId="411B8A92" w14:textId="77777777" w:rsidTr="00785FF0">
        <w:tc>
          <w:tcPr>
            <w:tcW w:w="4821" w:type="dxa"/>
            <w:shd w:val="clear" w:color="auto" w:fill="F6D7C4" w:themeFill="accent3" w:themeFillTint="66"/>
          </w:tcPr>
          <w:p w14:paraId="47EBE8B3" w14:textId="77777777" w:rsidR="00D62F82" w:rsidRPr="00785FF0" w:rsidRDefault="00D62F82" w:rsidP="00785FF0">
            <w:pPr>
              <w:pStyle w:val="OikoTables03Content"/>
            </w:pPr>
            <w:r w:rsidRPr="00785FF0">
              <w:t>Row 3 - Long-term forest layer</w:t>
            </w:r>
          </w:p>
        </w:tc>
        <w:tc>
          <w:tcPr>
            <w:tcW w:w="1151" w:type="dxa"/>
            <w:shd w:val="clear" w:color="auto" w:fill="F6D7C4" w:themeFill="accent3" w:themeFillTint="66"/>
          </w:tcPr>
          <w:p w14:paraId="404AE595" w14:textId="77777777" w:rsidR="00D62F82" w:rsidRPr="00785FF0" w:rsidRDefault="00D62F82" w:rsidP="00785FF0">
            <w:pPr>
              <w:pStyle w:val="OikoTables03Content"/>
            </w:pPr>
          </w:p>
        </w:tc>
        <w:tc>
          <w:tcPr>
            <w:tcW w:w="1833" w:type="dxa"/>
            <w:shd w:val="clear" w:color="auto" w:fill="F6D7C4" w:themeFill="accent3" w:themeFillTint="66"/>
          </w:tcPr>
          <w:p w14:paraId="145654B5" w14:textId="77777777" w:rsidR="00D62F82" w:rsidRPr="00785FF0" w:rsidRDefault="00D62F82" w:rsidP="00785FF0">
            <w:pPr>
              <w:pStyle w:val="OikoTables03Content"/>
            </w:pPr>
            <w:r w:rsidRPr="00785FF0">
              <w:t>33</w:t>
            </w:r>
          </w:p>
        </w:tc>
        <w:tc>
          <w:tcPr>
            <w:tcW w:w="1834" w:type="dxa"/>
            <w:shd w:val="clear" w:color="auto" w:fill="F6D7C4" w:themeFill="accent3" w:themeFillTint="66"/>
            <w:vAlign w:val="center"/>
          </w:tcPr>
          <w:p w14:paraId="4EFC537C" w14:textId="77777777" w:rsidR="00D62F82" w:rsidRPr="00785FF0" w:rsidRDefault="00D62F82" w:rsidP="00785FF0">
            <w:pPr>
              <w:pStyle w:val="OikoTables03Content"/>
            </w:pPr>
            <w:r w:rsidRPr="00785FF0">
              <w:t>132</w:t>
            </w:r>
          </w:p>
        </w:tc>
      </w:tr>
      <w:tr w:rsidR="00D62F82" w:rsidRPr="00D62F82" w14:paraId="34F0F549" w14:textId="77777777" w:rsidTr="00785FF0">
        <w:tc>
          <w:tcPr>
            <w:tcW w:w="4821" w:type="dxa"/>
          </w:tcPr>
          <w:p w14:paraId="589FEAAA" w14:textId="77777777" w:rsidR="00D62F82" w:rsidRPr="00785FF0" w:rsidRDefault="00D62F82" w:rsidP="00785FF0">
            <w:pPr>
              <w:pStyle w:val="OikoTables03Content"/>
            </w:pPr>
            <w:r w:rsidRPr="00785FF0">
              <w:rPr>
                <w:rStyle w:val="Strong"/>
                <w:b w:val="0"/>
                <w:bCs w:val="0"/>
                <w:i/>
                <w:iCs/>
                <w:sz w:val="20"/>
                <w:szCs w:val="20"/>
              </w:rPr>
              <w:t>Ulmus pumila</w:t>
            </w:r>
            <w:r w:rsidRPr="00785FF0">
              <w:t xml:space="preserve"> (≈45%)</w:t>
            </w:r>
          </w:p>
        </w:tc>
        <w:tc>
          <w:tcPr>
            <w:tcW w:w="1151" w:type="dxa"/>
          </w:tcPr>
          <w:p w14:paraId="09FA5D9E" w14:textId="77777777" w:rsidR="00D62F82" w:rsidRPr="00785FF0" w:rsidRDefault="00D62F82" w:rsidP="00785FF0">
            <w:pPr>
              <w:pStyle w:val="OikoTables03Content"/>
            </w:pPr>
            <w:r w:rsidRPr="00785FF0">
              <w:t>3</w:t>
            </w:r>
          </w:p>
        </w:tc>
        <w:tc>
          <w:tcPr>
            <w:tcW w:w="1833" w:type="dxa"/>
          </w:tcPr>
          <w:p w14:paraId="64E6326A" w14:textId="77777777" w:rsidR="00D62F82" w:rsidRPr="00785FF0" w:rsidRDefault="00D62F82" w:rsidP="00785FF0">
            <w:pPr>
              <w:pStyle w:val="OikoTables03Content"/>
            </w:pPr>
            <w:r w:rsidRPr="00785FF0">
              <w:t>15</w:t>
            </w:r>
          </w:p>
        </w:tc>
        <w:tc>
          <w:tcPr>
            <w:tcW w:w="1834" w:type="dxa"/>
            <w:vAlign w:val="center"/>
          </w:tcPr>
          <w:p w14:paraId="6E28F94D" w14:textId="77777777" w:rsidR="00D62F82" w:rsidRPr="00785FF0" w:rsidRDefault="00D62F82" w:rsidP="00785FF0">
            <w:pPr>
              <w:pStyle w:val="OikoTables03Content"/>
            </w:pPr>
            <w:r w:rsidRPr="00785FF0">
              <w:t>64</w:t>
            </w:r>
          </w:p>
        </w:tc>
      </w:tr>
      <w:tr w:rsidR="00D62F82" w:rsidRPr="00D62F82" w14:paraId="6B599562" w14:textId="77777777" w:rsidTr="00785FF0">
        <w:tc>
          <w:tcPr>
            <w:tcW w:w="4821" w:type="dxa"/>
          </w:tcPr>
          <w:p w14:paraId="1AFEC42B" w14:textId="77777777" w:rsidR="00D62F82" w:rsidRPr="00785FF0" w:rsidRDefault="00D62F82" w:rsidP="00785FF0">
            <w:pPr>
              <w:pStyle w:val="OikoTables03Content"/>
            </w:pPr>
            <w:r w:rsidRPr="00785FF0">
              <w:rPr>
                <w:rStyle w:val="Strong"/>
                <w:b w:val="0"/>
                <w:bCs w:val="0"/>
                <w:i/>
                <w:iCs/>
                <w:sz w:val="20"/>
                <w:szCs w:val="20"/>
              </w:rPr>
              <w:t>Elaeagnus angustifolia</w:t>
            </w:r>
            <w:r w:rsidRPr="00785FF0">
              <w:t xml:space="preserve"> (≈25%)</w:t>
            </w:r>
          </w:p>
        </w:tc>
        <w:tc>
          <w:tcPr>
            <w:tcW w:w="1151" w:type="dxa"/>
          </w:tcPr>
          <w:p w14:paraId="3AB86682" w14:textId="77777777" w:rsidR="00D62F82" w:rsidRPr="00785FF0" w:rsidRDefault="00D62F82" w:rsidP="00785FF0">
            <w:pPr>
              <w:pStyle w:val="OikoTables03Content"/>
            </w:pPr>
            <w:r w:rsidRPr="00785FF0">
              <w:t>3</w:t>
            </w:r>
          </w:p>
        </w:tc>
        <w:tc>
          <w:tcPr>
            <w:tcW w:w="1833" w:type="dxa"/>
          </w:tcPr>
          <w:p w14:paraId="4F416E9B" w14:textId="77777777" w:rsidR="00D62F82" w:rsidRPr="00785FF0" w:rsidRDefault="00D62F82" w:rsidP="00785FF0">
            <w:pPr>
              <w:pStyle w:val="OikoTables03Content"/>
            </w:pPr>
            <w:r w:rsidRPr="00785FF0">
              <w:t>8</w:t>
            </w:r>
          </w:p>
        </w:tc>
        <w:tc>
          <w:tcPr>
            <w:tcW w:w="1834" w:type="dxa"/>
            <w:vAlign w:val="center"/>
          </w:tcPr>
          <w:p w14:paraId="1C3D00EF" w14:textId="77777777" w:rsidR="00D62F82" w:rsidRPr="00785FF0" w:rsidRDefault="00D62F82" w:rsidP="00785FF0">
            <w:pPr>
              <w:pStyle w:val="OikoTables03Content"/>
            </w:pPr>
            <w:r w:rsidRPr="00785FF0">
              <w:t>40</w:t>
            </w:r>
          </w:p>
        </w:tc>
      </w:tr>
      <w:tr w:rsidR="00D62F82" w:rsidRPr="00D62F82" w14:paraId="77663370" w14:textId="77777777" w:rsidTr="00785FF0">
        <w:tc>
          <w:tcPr>
            <w:tcW w:w="4821" w:type="dxa"/>
          </w:tcPr>
          <w:p w14:paraId="66C4B228" w14:textId="77777777" w:rsidR="00D62F82" w:rsidRPr="00785FF0" w:rsidRDefault="00D62F82" w:rsidP="00785FF0">
            <w:pPr>
              <w:pStyle w:val="OikoTables03Content"/>
            </w:pPr>
            <w:proofErr w:type="spellStart"/>
            <w:r w:rsidRPr="00785FF0">
              <w:rPr>
                <w:rStyle w:val="Strong"/>
                <w:b w:val="0"/>
                <w:bCs w:val="0"/>
                <w:i/>
                <w:iCs/>
                <w:sz w:val="20"/>
                <w:szCs w:val="20"/>
              </w:rPr>
              <w:t>Haloxylon</w:t>
            </w:r>
            <w:proofErr w:type="spellEnd"/>
            <w:r w:rsidRPr="00785FF0">
              <w:rPr>
                <w:rStyle w:val="Strong"/>
                <w:b w:val="0"/>
                <w:bCs w:val="0"/>
                <w:i/>
                <w:iCs/>
                <w:sz w:val="20"/>
                <w:szCs w:val="20"/>
              </w:rPr>
              <w:t xml:space="preserve"> </w:t>
            </w:r>
            <w:proofErr w:type="spellStart"/>
            <w:r w:rsidRPr="00785FF0">
              <w:rPr>
                <w:rStyle w:val="Strong"/>
                <w:b w:val="0"/>
                <w:bCs w:val="0"/>
                <w:i/>
                <w:iCs/>
                <w:sz w:val="20"/>
                <w:szCs w:val="20"/>
              </w:rPr>
              <w:t>ammodendron</w:t>
            </w:r>
            <w:proofErr w:type="spellEnd"/>
            <w:r w:rsidRPr="00785FF0">
              <w:t xml:space="preserve"> (≈15% on the driest sites)</w:t>
            </w:r>
          </w:p>
        </w:tc>
        <w:tc>
          <w:tcPr>
            <w:tcW w:w="1151" w:type="dxa"/>
          </w:tcPr>
          <w:p w14:paraId="22F3958E" w14:textId="77777777" w:rsidR="00D62F82" w:rsidRPr="00785FF0" w:rsidRDefault="00D62F82" w:rsidP="00785FF0">
            <w:pPr>
              <w:pStyle w:val="OikoTables03Content"/>
            </w:pPr>
            <w:r w:rsidRPr="00785FF0">
              <w:t>3</w:t>
            </w:r>
          </w:p>
        </w:tc>
        <w:tc>
          <w:tcPr>
            <w:tcW w:w="1833" w:type="dxa"/>
          </w:tcPr>
          <w:p w14:paraId="75BD2713" w14:textId="77777777" w:rsidR="00D62F82" w:rsidRPr="00785FF0" w:rsidRDefault="00D62F82" w:rsidP="00785FF0">
            <w:pPr>
              <w:pStyle w:val="OikoTables03Content"/>
            </w:pPr>
            <w:r w:rsidRPr="00785FF0">
              <w:t>5</w:t>
            </w:r>
          </w:p>
        </w:tc>
        <w:tc>
          <w:tcPr>
            <w:tcW w:w="1834" w:type="dxa"/>
          </w:tcPr>
          <w:p w14:paraId="7490F078" w14:textId="77777777" w:rsidR="00D62F82" w:rsidRPr="00785FF0" w:rsidRDefault="00D62F82" w:rsidP="00785FF0">
            <w:pPr>
              <w:pStyle w:val="OikoTables03Content"/>
            </w:pPr>
            <w:r w:rsidRPr="00785FF0">
              <w:t>28</w:t>
            </w:r>
          </w:p>
        </w:tc>
      </w:tr>
      <w:tr w:rsidR="00D62F82" w:rsidRPr="00D62F82" w14:paraId="627020E4" w14:textId="77777777" w:rsidTr="00785FF0">
        <w:tc>
          <w:tcPr>
            <w:tcW w:w="4821" w:type="dxa"/>
          </w:tcPr>
          <w:p w14:paraId="26D035AB" w14:textId="77777777" w:rsidR="00D62F82" w:rsidRPr="00785FF0" w:rsidRDefault="00D62F82" w:rsidP="00785FF0">
            <w:pPr>
              <w:pStyle w:val="OikoTables03Content"/>
            </w:pPr>
            <w:r w:rsidRPr="00785FF0">
              <w:rPr>
                <w:i/>
                <w:iCs/>
              </w:rPr>
              <w:lastRenderedPageBreak/>
              <w:t xml:space="preserve">Malus </w:t>
            </w:r>
            <w:proofErr w:type="spellStart"/>
            <w:r w:rsidRPr="00785FF0">
              <w:rPr>
                <w:i/>
                <w:iCs/>
              </w:rPr>
              <w:t>baccata</w:t>
            </w:r>
            <w:proofErr w:type="spellEnd"/>
            <w:r w:rsidRPr="00785FF0">
              <w:t xml:space="preserve"> (Siberian Crab Apple) ≈15%</w:t>
            </w:r>
          </w:p>
        </w:tc>
        <w:tc>
          <w:tcPr>
            <w:tcW w:w="1151" w:type="dxa"/>
          </w:tcPr>
          <w:p w14:paraId="1CA79CD7" w14:textId="77777777" w:rsidR="00D62F82" w:rsidRPr="00785FF0" w:rsidRDefault="00D62F82" w:rsidP="00785FF0">
            <w:pPr>
              <w:pStyle w:val="OikoTables03Content"/>
            </w:pPr>
            <w:r w:rsidRPr="00785FF0">
              <w:t>3</w:t>
            </w:r>
          </w:p>
        </w:tc>
        <w:tc>
          <w:tcPr>
            <w:tcW w:w="1833" w:type="dxa"/>
          </w:tcPr>
          <w:p w14:paraId="6538B507" w14:textId="77777777" w:rsidR="00D62F82" w:rsidRPr="00785FF0" w:rsidRDefault="00D62F82" w:rsidP="00785FF0">
            <w:pPr>
              <w:pStyle w:val="OikoTables03Content"/>
            </w:pPr>
            <w:r w:rsidRPr="00785FF0">
              <w:t>5</w:t>
            </w:r>
          </w:p>
        </w:tc>
        <w:tc>
          <w:tcPr>
            <w:tcW w:w="1834" w:type="dxa"/>
          </w:tcPr>
          <w:p w14:paraId="4B85ADFA" w14:textId="77777777" w:rsidR="00D62F82" w:rsidRPr="00785FF0" w:rsidRDefault="00D62F82" w:rsidP="00785FF0">
            <w:pPr>
              <w:pStyle w:val="OikoTables03Content"/>
            </w:pPr>
            <w:r w:rsidRPr="00785FF0">
              <w:t>28</w:t>
            </w:r>
          </w:p>
        </w:tc>
      </w:tr>
      <w:tr w:rsidR="00D62F82" w:rsidRPr="00D62F82" w14:paraId="045E86B6" w14:textId="77777777" w:rsidTr="00785FF0">
        <w:tc>
          <w:tcPr>
            <w:tcW w:w="4821" w:type="dxa"/>
            <w:shd w:val="clear" w:color="auto" w:fill="E99E6D" w:themeFill="accent3"/>
          </w:tcPr>
          <w:p w14:paraId="02AAB934" w14:textId="3C95CFCB" w:rsidR="00D62F82" w:rsidRPr="00D62F82" w:rsidRDefault="00D62F82" w:rsidP="00785FF0">
            <w:pPr>
              <w:pStyle w:val="OikoTables03Content"/>
            </w:pPr>
            <w:r>
              <w:t>Total number of trees &amp; shrubs</w:t>
            </w:r>
          </w:p>
        </w:tc>
        <w:tc>
          <w:tcPr>
            <w:tcW w:w="1151" w:type="dxa"/>
            <w:shd w:val="clear" w:color="auto" w:fill="E99E6D" w:themeFill="accent3"/>
          </w:tcPr>
          <w:p w14:paraId="6A8FA25B" w14:textId="77777777" w:rsidR="00D62F82" w:rsidRPr="00D62F82" w:rsidRDefault="00D62F82" w:rsidP="00785FF0">
            <w:pPr>
              <w:pStyle w:val="OikoTables03Content"/>
            </w:pPr>
          </w:p>
        </w:tc>
        <w:tc>
          <w:tcPr>
            <w:tcW w:w="1833" w:type="dxa"/>
            <w:shd w:val="clear" w:color="auto" w:fill="E99E6D" w:themeFill="accent3"/>
          </w:tcPr>
          <w:p w14:paraId="23546C2F" w14:textId="77777777" w:rsidR="00D62F82" w:rsidRPr="00D62F82" w:rsidRDefault="00D62F82" w:rsidP="00785FF0">
            <w:pPr>
              <w:pStyle w:val="OikoTables03Content"/>
            </w:pPr>
            <w:r>
              <w:t>133</w:t>
            </w:r>
          </w:p>
        </w:tc>
        <w:tc>
          <w:tcPr>
            <w:tcW w:w="1834" w:type="dxa"/>
            <w:shd w:val="clear" w:color="auto" w:fill="E99E6D" w:themeFill="accent3"/>
          </w:tcPr>
          <w:p w14:paraId="78C6F97F" w14:textId="77777777" w:rsidR="00D62F82" w:rsidRPr="00D62F82" w:rsidRDefault="00D62F82" w:rsidP="00785FF0">
            <w:pPr>
              <w:pStyle w:val="OikoTables03Content"/>
            </w:pPr>
            <w:r>
              <w:t>532</w:t>
            </w:r>
          </w:p>
        </w:tc>
      </w:tr>
      <w:tr w:rsidR="005E6C33" w:rsidRPr="00D62F82" w14:paraId="5A2FE0A8" w14:textId="77777777" w:rsidTr="005E6C33">
        <w:tc>
          <w:tcPr>
            <w:tcW w:w="9639" w:type="dxa"/>
            <w:gridSpan w:val="4"/>
          </w:tcPr>
          <w:p w14:paraId="4DCD5B2E" w14:textId="39541228" w:rsidR="005E6C33" w:rsidRPr="006A2D45" w:rsidRDefault="006A2D45" w:rsidP="00785FF0">
            <w:pPr>
              <w:pStyle w:val="OikoTables03Content"/>
              <w:rPr>
                <w:i/>
                <w:iCs/>
              </w:rPr>
            </w:pPr>
            <w:r w:rsidRPr="006A2D45">
              <w:rPr>
                <w:i/>
                <w:iCs/>
              </w:rPr>
              <w:t xml:space="preserve">Source: </w:t>
            </w:r>
            <w:r w:rsidRPr="006A2D45">
              <w:rPr>
                <w:i/>
                <w:iCs/>
              </w:rPr>
              <w:t>OIKO elaboration based on agroforestry expert design assumptions and province-specific recommendations developed for this feasibility assessment.</w:t>
            </w:r>
          </w:p>
        </w:tc>
      </w:tr>
    </w:tbl>
    <w:p w14:paraId="3A559D48" w14:textId="017FB5B1" w:rsidR="00D62F82" w:rsidRDefault="00D62F82" w:rsidP="00EB489E"/>
    <w:p w14:paraId="4AE97362" w14:textId="795245F6" w:rsidR="009461F7" w:rsidRPr="009461F7" w:rsidRDefault="009461F7" w:rsidP="002C3C0B">
      <w:pPr>
        <w:spacing w:after="120" w:line="240" w:lineRule="auto"/>
        <w:contextualSpacing w:val="0"/>
        <w:rPr>
          <w:b/>
          <w:bCs/>
        </w:rPr>
      </w:pPr>
      <w:r>
        <w:rPr>
          <w:b/>
          <w:bCs/>
        </w:rPr>
        <w:t>Agroforestry model B – Two-row compact shelterbelt</w:t>
      </w:r>
    </w:p>
    <w:p w14:paraId="2DE57740" w14:textId="5747EDA5" w:rsidR="009461F7" w:rsidRDefault="00D62F82" w:rsidP="00EB489E">
      <w:pPr>
        <w:rPr>
          <w:lang w:val="en-US"/>
        </w:rPr>
      </w:pPr>
      <w:r>
        <w:rPr>
          <w:lang w:val="en-US"/>
        </w:rPr>
        <w:t xml:space="preserve">A single drip line located midway between the two rows can supply both shrub and tree layers during the establishment phase, reducing installation costs. This model offers lower establishment costs while still providing effective protection against wind erosion. It is intended for smaller farms or where land availability is limited. </w:t>
      </w:r>
    </w:p>
    <w:p w14:paraId="3D7DB031" w14:textId="77777777" w:rsidR="00B42348" w:rsidRDefault="00B42348" w:rsidP="009461F7">
      <w:pPr>
        <w:spacing w:after="120" w:line="240" w:lineRule="auto"/>
        <w:contextualSpacing w:val="0"/>
        <w:rPr>
          <w:b/>
          <w:bCs/>
          <w:lang w:val="en-US"/>
        </w:rPr>
      </w:pPr>
    </w:p>
    <w:p w14:paraId="7D74C7C0" w14:textId="7D7ACCC0" w:rsidR="00D62F82" w:rsidRPr="00D62F82" w:rsidRDefault="00D62F82" w:rsidP="00B42348">
      <w:pPr>
        <w:pStyle w:val="Caption"/>
        <w:framePr w:wrap="notBeside"/>
        <w:rPr>
          <w:lang w:val="en-US"/>
        </w:rPr>
      </w:pPr>
      <w:r>
        <w:rPr>
          <w:lang w:val="en-US"/>
        </w:rPr>
        <w:t xml:space="preserve">Table </w:t>
      </w:r>
      <w:r w:rsidR="000E5B0A">
        <w:rPr>
          <w:lang w:val="en-US"/>
        </w:rPr>
        <w:t>9</w:t>
      </w:r>
      <w:r>
        <w:rPr>
          <w:lang w:val="en-US"/>
        </w:rPr>
        <w:t xml:space="preserve"> Number of trees and shrubs required in agroforestry model B for Dundgovi</w:t>
      </w:r>
    </w:p>
    <w:tbl>
      <w:tblPr>
        <w:tblStyle w:val="TableGrid"/>
        <w:tblW w:w="9639" w:type="dxa"/>
        <w:tblInd w:w="-5" w:type="dxa"/>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4821"/>
        <w:gridCol w:w="1151"/>
        <w:gridCol w:w="1833"/>
        <w:gridCol w:w="1834"/>
      </w:tblGrid>
      <w:tr w:rsidR="00D62F82" w:rsidRPr="00D62F82" w14:paraId="44F26CD7" w14:textId="77777777" w:rsidTr="003D3396">
        <w:tc>
          <w:tcPr>
            <w:tcW w:w="4821" w:type="dxa"/>
            <w:shd w:val="clear" w:color="auto" w:fill="E99E6D" w:themeFill="accent3"/>
          </w:tcPr>
          <w:p w14:paraId="0161C84C" w14:textId="3820C53B" w:rsidR="00D62F82" w:rsidRPr="00D62F82" w:rsidRDefault="00D62F82" w:rsidP="003D3396">
            <w:pPr>
              <w:pStyle w:val="OikoTables02"/>
            </w:pPr>
            <w:r>
              <w:t>Type of rows - Shelterbelt</w:t>
            </w:r>
          </w:p>
        </w:tc>
        <w:tc>
          <w:tcPr>
            <w:tcW w:w="1151" w:type="dxa"/>
            <w:shd w:val="clear" w:color="auto" w:fill="E99E6D" w:themeFill="accent3"/>
          </w:tcPr>
          <w:p w14:paraId="1F4DAB02" w14:textId="77777777" w:rsidR="00D62F82" w:rsidRPr="00D62F82" w:rsidRDefault="00D62F82" w:rsidP="003D3396">
            <w:pPr>
              <w:pStyle w:val="OikoTables02"/>
            </w:pPr>
            <w:r>
              <w:t>Spacing (m)</w:t>
            </w:r>
          </w:p>
        </w:tc>
        <w:tc>
          <w:tcPr>
            <w:tcW w:w="1833" w:type="dxa"/>
            <w:shd w:val="clear" w:color="auto" w:fill="E99E6D" w:themeFill="accent3"/>
          </w:tcPr>
          <w:p w14:paraId="01A62354" w14:textId="01045D6F" w:rsidR="00D62F82" w:rsidRPr="00D62F82" w:rsidRDefault="00D62F82" w:rsidP="003D3396">
            <w:pPr>
              <w:pStyle w:val="OikoTables02"/>
            </w:pPr>
            <w:r>
              <w:t>Number of trees per 100m</w:t>
            </w:r>
          </w:p>
        </w:tc>
        <w:tc>
          <w:tcPr>
            <w:tcW w:w="1834" w:type="dxa"/>
            <w:shd w:val="clear" w:color="auto" w:fill="E99E6D" w:themeFill="accent3"/>
          </w:tcPr>
          <w:p w14:paraId="5DA603F3" w14:textId="44674CBE" w:rsidR="00D62F82" w:rsidRPr="00D62F82" w:rsidRDefault="00D62F82" w:rsidP="003D3396">
            <w:pPr>
              <w:pStyle w:val="OikoTables02"/>
            </w:pPr>
            <w:r>
              <w:t>Number of trees per ha (400m/l)</w:t>
            </w:r>
          </w:p>
        </w:tc>
      </w:tr>
      <w:tr w:rsidR="00D62F82" w:rsidRPr="00D62F82" w14:paraId="14F24A5F" w14:textId="77777777" w:rsidTr="004568C8">
        <w:tc>
          <w:tcPr>
            <w:tcW w:w="4821" w:type="dxa"/>
            <w:shd w:val="clear" w:color="auto" w:fill="F6D7C4" w:themeFill="accent3" w:themeFillTint="66"/>
          </w:tcPr>
          <w:p w14:paraId="23463C7D" w14:textId="24ED0997" w:rsidR="00D62F82" w:rsidRPr="00D62F82" w:rsidRDefault="00D62F82" w:rsidP="001768E9">
            <w:pPr>
              <w:pStyle w:val="OikoTables03Content"/>
            </w:pPr>
            <w:r>
              <w:t>Row 1 - Mixed shrub belt windward side</w:t>
            </w:r>
          </w:p>
        </w:tc>
        <w:tc>
          <w:tcPr>
            <w:tcW w:w="1151" w:type="dxa"/>
            <w:shd w:val="clear" w:color="auto" w:fill="F6D7C4" w:themeFill="accent3" w:themeFillTint="66"/>
          </w:tcPr>
          <w:p w14:paraId="588B4CB8" w14:textId="77777777" w:rsidR="00D62F82" w:rsidRPr="00D62F82" w:rsidRDefault="00D62F82" w:rsidP="001768E9">
            <w:pPr>
              <w:pStyle w:val="OikoTables03Content"/>
            </w:pPr>
          </w:p>
        </w:tc>
        <w:tc>
          <w:tcPr>
            <w:tcW w:w="1833" w:type="dxa"/>
            <w:shd w:val="clear" w:color="auto" w:fill="F6D7C4" w:themeFill="accent3" w:themeFillTint="66"/>
          </w:tcPr>
          <w:p w14:paraId="730B095B" w14:textId="77777777" w:rsidR="00D62F82" w:rsidRPr="00D62F82" w:rsidRDefault="00D62F82" w:rsidP="001768E9">
            <w:pPr>
              <w:pStyle w:val="OikoTables03Content"/>
            </w:pPr>
            <w:r>
              <w:t>67</w:t>
            </w:r>
          </w:p>
        </w:tc>
        <w:tc>
          <w:tcPr>
            <w:tcW w:w="1834" w:type="dxa"/>
            <w:shd w:val="clear" w:color="auto" w:fill="F6D7C4" w:themeFill="accent3" w:themeFillTint="66"/>
            <w:vAlign w:val="center"/>
          </w:tcPr>
          <w:p w14:paraId="0972D216" w14:textId="77777777" w:rsidR="00D62F82" w:rsidRPr="00D62F82" w:rsidRDefault="00D62F82" w:rsidP="001768E9">
            <w:pPr>
              <w:pStyle w:val="OikoTables03Content"/>
            </w:pPr>
            <w:r>
              <w:t>268</w:t>
            </w:r>
          </w:p>
        </w:tc>
      </w:tr>
      <w:tr w:rsidR="00D62F82" w:rsidRPr="00D62F82" w14:paraId="7BF93BF9" w14:textId="77777777" w:rsidTr="001768E9">
        <w:tc>
          <w:tcPr>
            <w:tcW w:w="4821" w:type="dxa"/>
          </w:tcPr>
          <w:p w14:paraId="2E1BD0B7" w14:textId="77777777" w:rsidR="00D62F82" w:rsidRPr="004568C8" w:rsidRDefault="00D62F82" w:rsidP="004568C8">
            <w:pPr>
              <w:pStyle w:val="OikoTables03Content"/>
              <w:rPr>
                <w:i/>
                <w:iCs/>
              </w:rPr>
            </w:pPr>
            <w:r w:rsidRPr="004568C8">
              <w:rPr>
                <w:i/>
                <w:iCs/>
              </w:rPr>
              <w:t>Caragana arborescens</w:t>
            </w:r>
            <w:r w:rsidRPr="004568C8">
              <w:rPr>
                <w:rStyle w:val="Strong"/>
                <w:b w:val="0"/>
                <w:bCs w:val="0"/>
                <w:i/>
                <w:iCs/>
              </w:rPr>
              <w:t xml:space="preserve"> &amp; </w:t>
            </w:r>
            <w:proofErr w:type="spellStart"/>
            <w:r w:rsidRPr="004568C8">
              <w:rPr>
                <w:rStyle w:val="Strong"/>
                <w:b w:val="0"/>
                <w:bCs w:val="0"/>
                <w:i/>
                <w:iCs/>
              </w:rPr>
              <w:t>microphylla</w:t>
            </w:r>
            <w:proofErr w:type="spellEnd"/>
            <w:r w:rsidRPr="004568C8">
              <w:rPr>
                <w:i/>
                <w:iCs/>
              </w:rPr>
              <w:t xml:space="preserve"> - 33%</w:t>
            </w:r>
          </w:p>
        </w:tc>
        <w:tc>
          <w:tcPr>
            <w:tcW w:w="1151" w:type="dxa"/>
          </w:tcPr>
          <w:p w14:paraId="7C22CAC7" w14:textId="77777777" w:rsidR="00D62F82" w:rsidRPr="004568C8" w:rsidRDefault="00D62F82" w:rsidP="004568C8">
            <w:pPr>
              <w:pStyle w:val="OikoTables03Content"/>
              <w:rPr>
                <w:i/>
                <w:iCs/>
              </w:rPr>
            </w:pPr>
            <w:r w:rsidRPr="004568C8">
              <w:rPr>
                <w:i/>
                <w:iCs/>
              </w:rPr>
              <w:t>1.5</w:t>
            </w:r>
          </w:p>
        </w:tc>
        <w:tc>
          <w:tcPr>
            <w:tcW w:w="1833" w:type="dxa"/>
          </w:tcPr>
          <w:p w14:paraId="5DCA2D60" w14:textId="77777777" w:rsidR="00D62F82" w:rsidRPr="004568C8" w:rsidRDefault="00D62F82" w:rsidP="004568C8">
            <w:pPr>
              <w:pStyle w:val="OikoTables03Content"/>
              <w:rPr>
                <w:i/>
                <w:iCs/>
              </w:rPr>
            </w:pPr>
            <w:r w:rsidRPr="004568C8">
              <w:rPr>
                <w:i/>
                <w:iCs/>
              </w:rPr>
              <w:t>23</w:t>
            </w:r>
          </w:p>
        </w:tc>
        <w:tc>
          <w:tcPr>
            <w:tcW w:w="1834" w:type="dxa"/>
            <w:vAlign w:val="center"/>
          </w:tcPr>
          <w:p w14:paraId="303BAA19" w14:textId="77777777" w:rsidR="00D62F82" w:rsidRPr="004568C8" w:rsidRDefault="00D62F82" w:rsidP="004568C8">
            <w:pPr>
              <w:pStyle w:val="OikoTables03Content"/>
              <w:rPr>
                <w:i/>
                <w:iCs/>
              </w:rPr>
            </w:pPr>
            <w:r w:rsidRPr="004568C8">
              <w:rPr>
                <w:i/>
                <w:iCs/>
              </w:rPr>
              <w:t>92</w:t>
            </w:r>
          </w:p>
        </w:tc>
      </w:tr>
      <w:tr w:rsidR="00D62F82" w:rsidRPr="00D62F82" w14:paraId="30B4D155" w14:textId="77777777" w:rsidTr="001768E9">
        <w:tc>
          <w:tcPr>
            <w:tcW w:w="4821" w:type="dxa"/>
          </w:tcPr>
          <w:p w14:paraId="237EB6D2" w14:textId="77777777" w:rsidR="00D62F82" w:rsidRPr="004568C8" w:rsidRDefault="00D62F82" w:rsidP="004568C8">
            <w:pPr>
              <w:pStyle w:val="OikoTables03Content"/>
              <w:rPr>
                <w:i/>
                <w:iCs/>
              </w:rPr>
            </w:pPr>
            <w:r w:rsidRPr="004568C8">
              <w:rPr>
                <w:i/>
                <w:iCs/>
              </w:rPr>
              <w:t>Sea Buckthorn (</w:t>
            </w:r>
            <w:proofErr w:type="spellStart"/>
            <w:r w:rsidRPr="004568C8">
              <w:rPr>
                <w:i/>
                <w:iCs/>
              </w:rPr>
              <w:t>Hippophae</w:t>
            </w:r>
            <w:proofErr w:type="spellEnd"/>
            <w:r w:rsidRPr="004568C8">
              <w:rPr>
                <w:i/>
                <w:iCs/>
              </w:rPr>
              <w:t xml:space="preserve"> </w:t>
            </w:r>
            <w:proofErr w:type="spellStart"/>
            <w:r w:rsidRPr="004568C8">
              <w:rPr>
                <w:i/>
                <w:iCs/>
              </w:rPr>
              <w:t>rhamnoides</w:t>
            </w:r>
            <w:proofErr w:type="spellEnd"/>
            <w:r w:rsidRPr="004568C8">
              <w:rPr>
                <w:i/>
                <w:iCs/>
              </w:rPr>
              <w:t>) – 33%</w:t>
            </w:r>
          </w:p>
        </w:tc>
        <w:tc>
          <w:tcPr>
            <w:tcW w:w="1151" w:type="dxa"/>
          </w:tcPr>
          <w:p w14:paraId="4F385767" w14:textId="77777777" w:rsidR="00D62F82" w:rsidRPr="004568C8" w:rsidRDefault="00D62F82" w:rsidP="004568C8">
            <w:pPr>
              <w:pStyle w:val="OikoTables03Content"/>
              <w:rPr>
                <w:i/>
                <w:iCs/>
              </w:rPr>
            </w:pPr>
            <w:r w:rsidRPr="004568C8">
              <w:rPr>
                <w:i/>
                <w:iCs/>
              </w:rPr>
              <w:t>1.5</w:t>
            </w:r>
          </w:p>
        </w:tc>
        <w:tc>
          <w:tcPr>
            <w:tcW w:w="1833" w:type="dxa"/>
          </w:tcPr>
          <w:p w14:paraId="3F7DDE57" w14:textId="77777777" w:rsidR="00D62F82" w:rsidRPr="004568C8" w:rsidRDefault="00D62F82" w:rsidP="004568C8">
            <w:pPr>
              <w:pStyle w:val="OikoTables03Content"/>
              <w:rPr>
                <w:i/>
                <w:iCs/>
              </w:rPr>
            </w:pPr>
            <w:r w:rsidRPr="004568C8">
              <w:rPr>
                <w:i/>
                <w:iCs/>
              </w:rPr>
              <w:t>22</w:t>
            </w:r>
          </w:p>
        </w:tc>
        <w:tc>
          <w:tcPr>
            <w:tcW w:w="1834" w:type="dxa"/>
            <w:vAlign w:val="center"/>
          </w:tcPr>
          <w:p w14:paraId="5AC773DD" w14:textId="77777777" w:rsidR="00D62F82" w:rsidRPr="004568C8" w:rsidRDefault="00D62F82" w:rsidP="004568C8">
            <w:pPr>
              <w:pStyle w:val="OikoTables03Content"/>
              <w:rPr>
                <w:i/>
                <w:iCs/>
              </w:rPr>
            </w:pPr>
            <w:r w:rsidRPr="004568C8">
              <w:rPr>
                <w:i/>
                <w:iCs/>
              </w:rPr>
              <w:t>88</w:t>
            </w:r>
          </w:p>
        </w:tc>
      </w:tr>
      <w:tr w:rsidR="00D62F82" w:rsidRPr="00D62F82" w14:paraId="71DDE7E4" w14:textId="77777777" w:rsidTr="001768E9">
        <w:tc>
          <w:tcPr>
            <w:tcW w:w="4821" w:type="dxa"/>
          </w:tcPr>
          <w:p w14:paraId="23CF80DF" w14:textId="77777777" w:rsidR="00D62F82" w:rsidRPr="004568C8" w:rsidRDefault="00D62F82" w:rsidP="004568C8">
            <w:pPr>
              <w:pStyle w:val="OikoTables03Content"/>
              <w:rPr>
                <w:i/>
                <w:iCs/>
              </w:rPr>
            </w:pPr>
            <w:r w:rsidRPr="004568C8">
              <w:rPr>
                <w:i/>
                <w:iCs/>
              </w:rPr>
              <w:t>Hawthorn (Crataegus spp.) – 33%</w:t>
            </w:r>
          </w:p>
        </w:tc>
        <w:tc>
          <w:tcPr>
            <w:tcW w:w="1151" w:type="dxa"/>
          </w:tcPr>
          <w:p w14:paraId="6A8FC06D" w14:textId="77777777" w:rsidR="00D62F82" w:rsidRPr="004568C8" w:rsidRDefault="00D62F82" w:rsidP="004568C8">
            <w:pPr>
              <w:pStyle w:val="OikoTables03Content"/>
              <w:rPr>
                <w:i/>
                <w:iCs/>
              </w:rPr>
            </w:pPr>
            <w:r w:rsidRPr="004568C8">
              <w:rPr>
                <w:i/>
                <w:iCs/>
              </w:rPr>
              <w:t>1.5</w:t>
            </w:r>
          </w:p>
        </w:tc>
        <w:tc>
          <w:tcPr>
            <w:tcW w:w="1833" w:type="dxa"/>
          </w:tcPr>
          <w:p w14:paraId="27D61880" w14:textId="77777777" w:rsidR="00D62F82" w:rsidRPr="004568C8" w:rsidRDefault="00D62F82" w:rsidP="004568C8">
            <w:pPr>
              <w:pStyle w:val="OikoTables03Content"/>
              <w:rPr>
                <w:i/>
                <w:iCs/>
              </w:rPr>
            </w:pPr>
            <w:r w:rsidRPr="004568C8">
              <w:rPr>
                <w:i/>
                <w:iCs/>
              </w:rPr>
              <w:t>22</w:t>
            </w:r>
          </w:p>
        </w:tc>
        <w:tc>
          <w:tcPr>
            <w:tcW w:w="1834" w:type="dxa"/>
            <w:vAlign w:val="center"/>
          </w:tcPr>
          <w:p w14:paraId="5B76A67D" w14:textId="77777777" w:rsidR="00D62F82" w:rsidRPr="004568C8" w:rsidRDefault="00D62F82" w:rsidP="004568C8">
            <w:pPr>
              <w:pStyle w:val="OikoTables03Content"/>
              <w:rPr>
                <w:i/>
                <w:iCs/>
              </w:rPr>
            </w:pPr>
            <w:r w:rsidRPr="004568C8">
              <w:rPr>
                <w:i/>
                <w:iCs/>
              </w:rPr>
              <w:t>88</w:t>
            </w:r>
          </w:p>
        </w:tc>
      </w:tr>
      <w:tr w:rsidR="00D62F82" w:rsidRPr="00D62F82" w14:paraId="78EE8B74" w14:textId="77777777" w:rsidTr="004568C8">
        <w:tc>
          <w:tcPr>
            <w:tcW w:w="4821" w:type="dxa"/>
            <w:shd w:val="clear" w:color="auto" w:fill="F6D7C4" w:themeFill="accent3" w:themeFillTint="66"/>
          </w:tcPr>
          <w:p w14:paraId="691617E7" w14:textId="77777777" w:rsidR="00D62F82" w:rsidRPr="00D62F82" w:rsidRDefault="00D62F82" w:rsidP="001768E9">
            <w:pPr>
              <w:pStyle w:val="OikoTables03Content"/>
            </w:pPr>
            <w:r>
              <w:t>Row 2 - Fast-growing protection layer</w:t>
            </w:r>
          </w:p>
        </w:tc>
        <w:tc>
          <w:tcPr>
            <w:tcW w:w="1151" w:type="dxa"/>
            <w:shd w:val="clear" w:color="auto" w:fill="F6D7C4" w:themeFill="accent3" w:themeFillTint="66"/>
          </w:tcPr>
          <w:p w14:paraId="0F9FDF59" w14:textId="77777777" w:rsidR="00D62F82" w:rsidRPr="00D62F82" w:rsidRDefault="00D62F82" w:rsidP="001768E9">
            <w:pPr>
              <w:pStyle w:val="OikoTables03Content"/>
            </w:pPr>
          </w:p>
        </w:tc>
        <w:tc>
          <w:tcPr>
            <w:tcW w:w="1833" w:type="dxa"/>
            <w:shd w:val="clear" w:color="auto" w:fill="F6D7C4" w:themeFill="accent3" w:themeFillTint="66"/>
          </w:tcPr>
          <w:p w14:paraId="0348186D" w14:textId="77777777" w:rsidR="00D62F82" w:rsidRPr="00D62F82" w:rsidRDefault="00D62F82" w:rsidP="001768E9">
            <w:pPr>
              <w:pStyle w:val="OikoTables03Content"/>
            </w:pPr>
            <w:r>
              <w:t>33</w:t>
            </w:r>
          </w:p>
        </w:tc>
        <w:tc>
          <w:tcPr>
            <w:tcW w:w="1834" w:type="dxa"/>
            <w:shd w:val="clear" w:color="auto" w:fill="F6D7C4" w:themeFill="accent3" w:themeFillTint="66"/>
          </w:tcPr>
          <w:p w14:paraId="7FDDBED2" w14:textId="77777777" w:rsidR="00D62F82" w:rsidRPr="00D62F82" w:rsidRDefault="00D62F82" w:rsidP="001768E9">
            <w:pPr>
              <w:pStyle w:val="OikoTables03Content"/>
            </w:pPr>
            <w:r>
              <w:t>132</w:t>
            </w:r>
          </w:p>
        </w:tc>
      </w:tr>
      <w:tr w:rsidR="00D62F82" w:rsidRPr="00D62F82" w14:paraId="46E0A636" w14:textId="77777777" w:rsidTr="001768E9">
        <w:tc>
          <w:tcPr>
            <w:tcW w:w="4821" w:type="dxa"/>
          </w:tcPr>
          <w:p w14:paraId="7268DA26" w14:textId="77777777" w:rsidR="00D62F82" w:rsidRPr="004568C8" w:rsidRDefault="00D62F82" w:rsidP="004568C8">
            <w:pPr>
              <w:pStyle w:val="OikoTables03Content"/>
              <w:rPr>
                <w:i/>
                <w:iCs/>
              </w:rPr>
            </w:pPr>
            <w:r w:rsidRPr="004568C8">
              <w:rPr>
                <w:i/>
                <w:iCs/>
              </w:rPr>
              <w:t>Ulmus pumila (≈33%)</w:t>
            </w:r>
          </w:p>
        </w:tc>
        <w:tc>
          <w:tcPr>
            <w:tcW w:w="1151" w:type="dxa"/>
          </w:tcPr>
          <w:p w14:paraId="3B85CB22" w14:textId="77777777" w:rsidR="00D62F82" w:rsidRPr="004568C8" w:rsidRDefault="00D62F82" w:rsidP="004568C8">
            <w:pPr>
              <w:pStyle w:val="OikoTables03Content"/>
              <w:rPr>
                <w:i/>
                <w:iCs/>
              </w:rPr>
            </w:pPr>
            <w:r w:rsidRPr="004568C8">
              <w:rPr>
                <w:i/>
                <w:iCs/>
              </w:rPr>
              <w:t>3</w:t>
            </w:r>
          </w:p>
        </w:tc>
        <w:tc>
          <w:tcPr>
            <w:tcW w:w="1833" w:type="dxa"/>
          </w:tcPr>
          <w:p w14:paraId="16CE9D6A" w14:textId="77777777" w:rsidR="00D62F82" w:rsidRPr="004568C8" w:rsidRDefault="00D62F82" w:rsidP="004568C8">
            <w:pPr>
              <w:pStyle w:val="OikoTables03Content"/>
              <w:rPr>
                <w:i/>
                <w:iCs/>
              </w:rPr>
            </w:pPr>
            <w:r w:rsidRPr="004568C8">
              <w:rPr>
                <w:i/>
                <w:iCs/>
              </w:rPr>
              <w:t>11</w:t>
            </w:r>
          </w:p>
        </w:tc>
        <w:tc>
          <w:tcPr>
            <w:tcW w:w="1834" w:type="dxa"/>
            <w:vAlign w:val="center"/>
          </w:tcPr>
          <w:p w14:paraId="0F79989E" w14:textId="77777777" w:rsidR="00D62F82" w:rsidRPr="004568C8" w:rsidRDefault="00D62F82" w:rsidP="004568C8">
            <w:pPr>
              <w:pStyle w:val="OikoTables03Content"/>
              <w:rPr>
                <w:i/>
                <w:iCs/>
              </w:rPr>
            </w:pPr>
            <w:r w:rsidRPr="004568C8">
              <w:rPr>
                <w:i/>
                <w:iCs/>
              </w:rPr>
              <w:t>44</w:t>
            </w:r>
          </w:p>
        </w:tc>
      </w:tr>
      <w:tr w:rsidR="00D62F82" w:rsidRPr="00D62F82" w14:paraId="0AE881CE" w14:textId="77777777" w:rsidTr="001768E9">
        <w:tc>
          <w:tcPr>
            <w:tcW w:w="4821" w:type="dxa"/>
          </w:tcPr>
          <w:p w14:paraId="33554407" w14:textId="77777777" w:rsidR="00D62F82" w:rsidRPr="004568C8" w:rsidRDefault="00D62F82" w:rsidP="004568C8">
            <w:pPr>
              <w:pStyle w:val="OikoTables03Content"/>
              <w:rPr>
                <w:i/>
                <w:iCs/>
              </w:rPr>
            </w:pPr>
            <w:proofErr w:type="spellStart"/>
            <w:r w:rsidRPr="004568C8">
              <w:rPr>
                <w:i/>
                <w:iCs/>
              </w:rPr>
              <w:t>Tamarix</w:t>
            </w:r>
            <w:proofErr w:type="spellEnd"/>
            <w:r w:rsidRPr="004568C8">
              <w:rPr>
                <w:i/>
                <w:iCs/>
              </w:rPr>
              <w:t xml:space="preserve"> spp. (≈33%)</w:t>
            </w:r>
          </w:p>
        </w:tc>
        <w:tc>
          <w:tcPr>
            <w:tcW w:w="1151" w:type="dxa"/>
          </w:tcPr>
          <w:p w14:paraId="691F9549" w14:textId="77777777" w:rsidR="00D62F82" w:rsidRPr="004568C8" w:rsidRDefault="00D62F82" w:rsidP="004568C8">
            <w:pPr>
              <w:pStyle w:val="OikoTables03Content"/>
              <w:rPr>
                <w:i/>
                <w:iCs/>
              </w:rPr>
            </w:pPr>
            <w:r w:rsidRPr="004568C8">
              <w:rPr>
                <w:i/>
                <w:iCs/>
              </w:rPr>
              <w:t xml:space="preserve">3 </w:t>
            </w:r>
          </w:p>
        </w:tc>
        <w:tc>
          <w:tcPr>
            <w:tcW w:w="1833" w:type="dxa"/>
          </w:tcPr>
          <w:p w14:paraId="7BAEFC10" w14:textId="77777777" w:rsidR="00D62F82" w:rsidRPr="004568C8" w:rsidRDefault="00D62F82" w:rsidP="004568C8">
            <w:pPr>
              <w:pStyle w:val="OikoTables03Content"/>
              <w:rPr>
                <w:i/>
                <w:iCs/>
              </w:rPr>
            </w:pPr>
            <w:r w:rsidRPr="004568C8">
              <w:rPr>
                <w:i/>
                <w:iCs/>
              </w:rPr>
              <w:t>11</w:t>
            </w:r>
          </w:p>
        </w:tc>
        <w:tc>
          <w:tcPr>
            <w:tcW w:w="1834" w:type="dxa"/>
            <w:vAlign w:val="center"/>
          </w:tcPr>
          <w:p w14:paraId="0308FD42" w14:textId="77777777" w:rsidR="00D62F82" w:rsidRPr="004568C8" w:rsidRDefault="00D62F82" w:rsidP="004568C8">
            <w:pPr>
              <w:pStyle w:val="OikoTables03Content"/>
              <w:rPr>
                <w:i/>
                <w:iCs/>
              </w:rPr>
            </w:pPr>
            <w:r w:rsidRPr="004568C8">
              <w:rPr>
                <w:i/>
                <w:iCs/>
              </w:rPr>
              <w:t>44</w:t>
            </w:r>
          </w:p>
        </w:tc>
      </w:tr>
      <w:tr w:rsidR="00D62F82" w:rsidRPr="00D62F82" w14:paraId="40DAC63D" w14:textId="77777777" w:rsidTr="001768E9">
        <w:tc>
          <w:tcPr>
            <w:tcW w:w="4821" w:type="dxa"/>
          </w:tcPr>
          <w:p w14:paraId="14C8717D" w14:textId="77777777" w:rsidR="00D62F82" w:rsidRPr="004568C8" w:rsidRDefault="00D62F82" w:rsidP="004568C8">
            <w:pPr>
              <w:pStyle w:val="OikoTables03Content"/>
              <w:rPr>
                <w:i/>
                <w:iCs/>
              </w:rPr>
            </w:pPr>
            <w:r w:rsidRPr="004568C8">
              <w:rPr>
                <w:i/>
                <w:iCs/>
              </w:rPr>
              <w:t>Elaeagnus angustifolia (≈33%)</w:t>
            </w:r>
          </w:p>
        </w:tc>
        <w:tc>
          <w:tcPr>
            <w:tcW w:w="1151" w:type="dxa"/>
          </w:tcPr>
          <w:p w14:paraId="68B694FA" w14:textId="77777777" w:rsidR="00D62F82" w:rsidRPr="004568C8" w:rsidRDefault="00D62F82" w:rsidP="004568C8">
            <w:pPr>
              <w:pStyle w:val="OikoTables03Content"/>
              <w:rPr>
                <w:i/>
                <w:iCs/>
              </w:rPr>
            </w:pPr>
            <w:r w:rsidRPr="004568C8">
              <w:rPr>
                <w:i/>
                <w:iCs/>
              </w:rPr>
              <w:t>3</w:t>
            </w:r>
          </w:p>
        </w:tc>
        <w:tc>
          <w:tcPr>
            <w:tcW w:w="1833" w:type="dxa"/>
          </w:tcPr>
          <w:p w14:paraId="3F7E1DD7" w14:textId="77777777" w:rsidR="00D62F82" w:rsidRPr="004568C8" w:rsidRDefault="00D62F82" w:rsidP="004568C8">
            <w:pPr>
              <w:pStyle w:val="OikoTables03Content"/>
              <w:rPr>
                <w:i/>
                <w:iCs/>
              </w:rPr>
            </w:pPr>
            <w:r w:rsidRPr="004568C8">
              <w:rPr>
                <w:i/>
                <w:iCs/>
              </w:rPr>
              <w:t>11</w:t>
            </w:r>
          </w:p>
        </w:tc>
        <w:tc>
          <w:tcPr>
            <w:tcW w:w="1834" w:type="dxa"/>
            <w:vAlign w:val="center"/>
          </w:tcPr>
          <w:p w14:paraId="644B892F" w14:textId="77777777" w:rsidR="00D62F82" w:rsidRPr="004568C8" w:rsidRDefault="00D62F82" w:rsidP="004568C8">
            <w:pPr>
              <w:pStyle w:val="OikoTables03Content"/>
              <w:rPr>
                <w:i/>
                <w:iCs/>
              </w:rPr>
            </w:pPr>
            <w:r w:rsidRPr="004568C8">
              <w:rPr>
                <w:i/>
                <w:iCs/>
              </w:rPr>
              <w:t>44</w:t>
            </w:r>
          </w:p>
        </w:tc>
      </w:tr>
      <w:tr w:rsidR="00D62F82" w:rsidRPr="00D62F82" w14:paraId="4A9DE546" w14:textId="77777777" w:rsidTr="004568C8">
        <w:tc>
          <w:tcPr>
            <w:tcW w:w="4821" w:type="dxa"/>
            <w:shd w:val="clear" w:color="auto" w:fill="E99E6D" w:themeFill="accent3"/>
          </w:tcPr>
          <w:p w14:paraId="23F3D6CC" w14:textId="639C1DD2" w:rsidR="00D62F82" w:rsidRPr="00C96FBA" w:rsidRDefault="00D62F82" w:rsidP="001768E9">
            <w:pPr>
              <w:pStyle w:val="OikoTables03Content"/>
              <w:rPr>
                <w:b/>
                <w:bCs/>
              </w:rPr>
            </w:pPr>
            <w:r w:rsidRPr="00C96FBA">
              <w:rPr>
                <w:b/>
                <w:bCs/>
              </w:rPr>
              <w:t>Total number of trees &amp; shrubs</w:t>
            </w:r>
          </w:p>
        </w:tc>
        <w:tc>
          <w:tcPr>
            <w:tcW w:w="1151" w:type="dxa"/>
            <w:shd w:val="clear" w:color="auto" w:fill="E99E6D" w:themeFill="accent3"/>
          </w:tcPr>
          <w:p w14:paraId="5C841245" w14:textId="77777777" w:rsidR="00D62F82" w:rsidRPr="00D62F82" w:rsidRDefault="00D62F82" w:rsidP="001768E9">
            <w:pPr>
              <w:pStyle w:val="OikoTables03Content"/>
            </w:pPr>
          </w:p>
        </w:tc>
        <w:tc>
          <w:tcPr>
            <w:tcW w:w="1833" w:type="dxa"/>
            <w:shd w:val="clear" w:color="auto" w:fill="E99E6D" w:themeFill="accent3"/>
          </w:tcPr>
          <w:p w14:paraId="51BDC9D1" w14:textId="77777777" w:rsidR="00D62F82" w:rsidRPr="00C96FBA" w:rsidRDefault="00D62F82" w:rsidP="001768E9">
            <w:pPr>
              <w:pStyle w:val="OikoTables03Content"/>
              <w:rPr>
                <w:b/>
                <w:bCs/>
              </w:rPr>
            </w:pPr>
            <w:r w:rsidRPr="00C96FBA">
              <w:rPr>
                <w:b/>
                <w:bCs/>
              </w:rPr>
              <w:t>100</w:t>
            </w:r>
          </w:p>
        </w:tc>
        <w:tc>
          <w:tcPr>
            <w:tcW w:w="1834" w:type="dxa"/>
            <w:shd w:val="clear" w:color="auto" w:fill="E99E6D" w:themeFill="accent3"/>
          </w:tcPr>
          <w:p w14:paraId="78F42E37" w14:textId="77777777" w:rsidR="00D62F82" w:rsidRPr="00C96FBA" w:rsidRDefault="00D62F82" w:rsidP="001768E9">
            <w:pPr>
              <w:pStyle w:val="OikoTables03Content"/>
              <w:rPr>
                <w:b/>
                <w:bCs/>
              </w:rPr>
            </w:pPr>
            <w:r w:rsidRPr="00C96FBA">
              <w:rPr>
                <w:b/>
                <w:bCs/>
              </w:rPr>
              <w:t>400</w:t>
            </w:r>
          </w:p>
        </w:tc>
      </w:tr>
      <w:tr w:rsidR="00CA07D9" w:rsidRPr="00D62F82" w14:paraId="3A7679F5" w14:textId="77777777" w:rsidTr="00CA07D9">
        <w:tc>
          <w:tcPr>
            <w:tcW w:w="9639" w:type="dxa"/>
            <w:gridSpan w:val="4"/>
          </w:tcPr>
          <w:p w14:paraId="50F74DF4" w14:textId="7E63273E" w:rsidR="00CA07D9" w:rsidRPr="00CA07D9" w:rsidRDefault="00CA07D9" w:rsidP="001768E9">
            <w:pPr>
              <w:pStyle w:val="OikoTables03Content"/>
              <w:rPr>
                <w:i/>
                <w:iCs/>
              </w:rPr>
            </w:pPr>
            <w:r w:rsidRPr="00CA07D9">
              <w:rPr>
                <w:i/>
                <w:iCs/>
              </w:rPr>
              <w:t>Source: OIKO elaboration based on agroforestry expert design assumptions and province-specific recommendations developed for this feasibility assessment.</w:t>
            </w:r>
          </w:p>
        </w:tc>
      </w:tr>
    </w:tbl>
    <w:p w14:paraId="2618D784" w14:textId="2210BAEC" w:rsidR="00D62F82" w:rsidRDefault="00D62F82" w:rsidP="00EB489E">
      <w:pPr>
        <w:rPr>
          <w:lang w:val="en-US"/>
        </w:rPr>
      </w:pPr>
    </w:p>
    <w:p w14:paraId="2A9139FA" w14:textId="3DD7EBAC" w:rsidR="009461F7" w:rsidRPr="00D62F82" w:rsidRDefault="00D62F82" w:rsidP="002C3C0B">
      <w:pPr>
        <w:spacing w:after="120" w:line="240" w:lineRule="auto"/>
        <w:contextualSpacing w:val="0"/>
        <w:rPr>
          <w:b/>
          <w:bCs/>
        </w:rPr>
      </w:pPr>
      <w:r>
        <w:rPr>
          <w:b/>
          <w:bCs/>
        </w:rPr>
        <w:t>Orchard development potential</w:t>
      </w:r>
    </w:p>
    <w:p w14:paraId="371A2696" w14:textId="77777777" w:rsidR="00D62F82" w:rsidRDefault="00D62F82" w:rsidP="00EB489E">
      <w:r>
        <w:t>During the field mission, one farmer demonstrated the successful establishment of a small apple orchard. Although technically successful, this production system relies on groundwater desalination through a costly filtration system to overcome the high salinity of local irrigation water.</w:t>
      </w:r>
    </w:p>
    <w:p w14:paraId="4E012036" w14:textId="77777777" w:rsidR="00532F29" w:rsidRDefault="00532F29" w:rsidP="00EB489E"/>
    <w:p w14:paraId="014729C1" w14:textId="01E51FC9" w:rsidR="00D62F82" w:rsidRDefault="00D62F82" w:rsidP="00EB489E">
      <w:r>
        <w:t>While this example demonstrates that fruit production is technically possible under highly controlled conditions, it cannot presently be considered a realistic development pathway for the majority of smallholder farmers. High investment costs, specialized equipment requirements and limited freshwater availability considerably restrict its replication potential.</w:t>
      </w:r>
    </w:p>
    <w:p w14:paraId="7FA36DF4" w14:textId="77777777" w:rsidR="00532F29" w:rsidRDefault="00532F29" w:rsidP="00EB489E"/>
    <w:p w14:paraId="19D04AF7" w14:textId="1C3D8852" w:rsidR="009461F7" w:rsidRDefault="00D62F82" w:rsidP="00EB489E">
      <w:r>
        <w:t>For these reasons, the project does not recommend orchard development as a priority intervention for Dundgovi. Instead, investments should focus on scalable shelterbelt systems capable of protecting vegetable production and agricultural infrastructure while delivering multiple ecosystem services.</w:t>
      </w:r>
    </w:p>
    <w:p w14:paraId="3F693678" w14:textId="17E65C18" w:rsidR="00D62F82" w:rsidRDefault="00D62F82" w:rsidP="00D62F82">
      <w:pPr>
        <w:pStyle w:val="Heading3"/>
        <w:spacing w:before="240"/>
      </w:pPr>
      <w:bookmarkStart w:id="160" w:name="_Toc233981365"/>
      <w:r>
        <w:t>Agroforestry strategies for Uvurkhangai</w:t>
      </w:r>
      <w:bookmarkEnd w:id="160"/>
    </w:p>
    <w:p w14:paraId="425B71DC" w14:textId="77777777" w:rsidR="00D62F82" w:rsidRPr="009461F7" w:rsidRDefault="00D62F82" w:rsidP="00D62F82">
      <w:pPr>
        <w:spacing w:after="120" w:line="240" w:lineRule="auto"/>
        <w:contextualSpacing w:val="0"/>
        <w:rPr>
          <w:b/>
          <w:bCs/>
        </w:rPr>
      </w:pPr>
      <w:r>
        <w:rPr>
          <w:b/>
          <w:bCs/>
        </w:rPr>
        <w:t>Strategic rationale</w:t>
      </w:r>
    </w:p>
    <w:p w14:paraId="303EBF29" w14:textId="1CF9BA0E" w:rsidR="00D62F82" w:rsidRDefault="00D62F82" w:rsidP="00EB489E">
      <w:r>
        <w:t>Compared with Dundgovi Province, Uvurkhangai offers more favourable conditions for agroforestry development. Although strong winds and wind erosion remain major constraints affecting vegetable production, the province benefits from relatively higher rainfall, better soil fertility and improved opportunities for irrigation. These conditions allow agroforestry systems to fulfil not only protective functions but also productive and economic functions.</w:t>
      </w:r>
    </w:p>
    <w:p w14:paraId="08863EBC" w14:textId="77777777" w:rsidR="00532F29" w:rsidRDefault="00532F29" w:rsidP="00EB489E"/>
    <w:p w14:paraId="72385CA3" w14:textId="3BBE2460" w:rsidR="00D62F82" w:rsidRDefault="00D62F82" w:rsidP="00EB489E">
      <w:r>
        <w:lastRenderedPageBreak/>
        <w:t>Field observations confirmed that greenhouse production and vegetable cultivation remain highly exposed to prevailing winds. Consequently, multifunctional shelterbelts remain the cornerstone of the proposed agroforestry strategy. However, unlike Dundgovi, the improved environmental conditions make it possible to integrate productive tree species and berry crops without compromising the protective function of the windbreak.</w:t>
      </w:r>
    </w:p>
    <w:p w14:paraId="1A66C1CD" w14:textId="77777777" w:rsidR="00532F29" w:rsidRDefault="00532F29" w:rsidP="00EB489E"/>
    <w:p w14:paraId="7746C3C3" w14:textId="21216D31" w:rsidR="00D62F82" w:rsidRDefault="00D62F82" w:rsidP="00EB489E">
      <w:r>
        <w:t>The recommended strategy therefore follows a "Protect and Diversify" approach. Shelterbelts remain the first priority for protecting crops, reducing evapotranspiration and improving microclimatic conditions, while diversified fruit production provides additional income opportunities and strengthens the long-term resilience of farming households.</w:t>
      </w:r>
    </w:p>
    <w:p w14:paraId="040BEC8C" w14:textId="77777777" w:rsidR="00532F29" w:rsidRDefault="00532F29" w:rsidP="00EB489E"/>
    <w:p w14:paraId="522869BA" w14:textId="73259682" w:rsidR="009461F7" w:rsidRDefault="00D62F82" w:rsidP="00EB489E">
      <w:r>
        <w:t>Beyond climate adaptation, these integrated systems contribute to biodiversity enhancement, landscape restoration and farm diversification, thereby supporting the transition towards more resilient horticultural production systems.</w:t>
      </w:r>
    </w:p>
    <w:p w14:paraId="2A2A749A" w14:textId="71E86C1A" w:rsidR="00532F29" w:rsidRDefault="00532F29" w:rsidP="000068BC">
      <w:pPr>
        <w:spacing w:after="160" w:line="259" w:lineRule="auto"/>
        <w:contextualSpacing w:val="0"/>
        <w:jc w:val="left"/>
        <w:rPr>
          <w:b/>
          <w:bCs/>
        </w:rPr>
      </w:pPr>
    </w:p>
    <w:p w14:paraId="33D685B9" w14:textId="587E58F3" w:rsidR="009461F7" w:rsidRPr="00D62F82" w:rsidRDefault="00D62F82" w:rsidP="00A3159D">
      <w:pPr>
        <w:pStyle w:val="OikoSectionHeading5"/>
        <w:rPr>
          <w:b w:val="0"/>
        </w:rPr>
      </w:pPr>
      <w:bookmarkStart w:id="161" w:name="_Toc233981366"/>
      <w:r>
        <w:t>Agroforestry Model A – Three-row multifunctional productive shelterbelt</w:t>
      </w:r>
      <w:bookmarkEnd w:id="161"/>
    </w:p>
    <w:p w14:paraId="5641DC9D" w14:textId="2226DC14" w:rsidR="00D62F82" w:rsidRDefault="00D62F82" w:rsidP="00EB489E">
      <w:r>
        <w:t xml:space="preserve">This model represents the preferred agroforestry design for medium and large vegetable farms in Uvurkhangai province. As in Dundgovi, the objective is to progressively filter prevailing winds through a porous shelterbelt while simultaneously creating </w:t>
      </w:r>
      <w:proofErr w:type="spellStart"/>
      <w:r>
        <w:t>favorable</w:t>
      </w:r>
      <w:proofErr w:type="spellEnd"/>
      <w:r>
        <w:t xml:space="preserve"> conditions for fruit production and biodiversity. The shelterbelt is approximately 5-6 meters wide, with spacing between Rows 1 and 2 of 1.5 m, and 3m between Rows 2 and 3.</w:t>
      </w:r>
    </w:p>
    <w:p w14:paraId="0371D03F" w14:textId="77777777" w:rsidR="00532F29" w:rsidRDefault="00532F29" w:rsidP="00EB489E"/>
    <w:p w14:paraId="37B949BA" w14:textId="39F191C4" w:rsidR="00D62F82" w:rsidRDefault="00D62F82" w:rsidP="00EB489E">
      <w:r>
        <w:t>Row 1 has the same type of windward shrub layer with 3 species but more diversified for berries production (sea buckthorn &amp; honeyberry) for household consumption and market sale.</w:t>
      </w:r>
    </w:p>
    <w:p w14:paraId="23B564A0" w14:textId="77777777" w:rsidR="00532F29" w:rsidRDefault="00532F29" w:rsidP="00EB489E"/>
    <w:p w14:paraId="5A4E447A" w14:textId="404EA24E" w:rsidR="00D62F82" w:rsidRDefault="00D62F82" w:rsidP="00EB489E">
      <w:r>
        <w:t xml:space="preserve">Row 2 is still playing the main structural role of the windbreak, and Poplar contributes to rapid canopy closure, while </w:t>
      </w:r>
      <w:r>
        <w:rPr>
          <w:i/>
          <w:iCs/>
        </w:rPr>
        <w:t>Elaeagnus</w:t>
      </w:r>
      <w:r>
        <w:t xml:space="preserve"> improves biodiversity and soil fertility through nitrogen fixation.</w:t>
      </w:r>
    </w:p>
    <w:p w14:paraId="7E6EE88C" w14:textId="77777777" w:rsidR="00532F29" w:rsidRDefault="00532F29" w:rsidP="00EB489E"/>
    <w:p w14:paraId="07A5E958" w14:textId="00E2233F" w:rsidR="00D62F82" w:rsidRDefault="00D62F82" w:rsidP="00EB489E">
      <w:r>
        <w:t>Unlike in Dundgovi, the third row (3) combines protective and productive functions, to diversify farm production, improve biodiversity and create a transition towards orchard systems. That’s why 6 different tree species have been proposed, with 4 fruit trees.</w:t>
      </w:r>
    </w:p>
    <w:p w14:paraId="3E9E4A30" w14:textId="77777777" w:rsidR="00532F29" w:rsidRDefault="00532F29" w:rsidP="002C3C0B">
      <w:pPr>
        <w:spacing w:after="120" w:line="240" w:lineRule="auto"/>
        <w:contextualSpacing w:val="0"/>
        <w:rPr>
          <w:b/>
          <w:bCs/>
          <w:lang w:val="en-US"/>
        </w:rPr>
      </w:pPr>
    </w:p>
    <w:p w14:paraId="235CFC86" w14:textId="06D81C5D" w:rsidR="00D62F82" w:rsidRPr="00110334" w:rsidRDefault="00110334" w:rsidP="00A3159D">
      <w:pPr>
        <w:pStyle w:val="Caption"/>
        <w:framePr w:wrap="notBeside"/>
        <w:rPr>
          <w:lang w:val="en-US"/>
        </w:rPr>
      </w:pPr>
      <w:r>
        <w:rPr>
          <w:lang w:val="en-US"/>
        </w:rPr>
        <w:t xml:space="preserve">Table </w:t>
      </w:r>
      <w:r w:rsidR="000E5B0A">
        <w:rPr>
          <w:lang w:val="en-US"/>
        </w:rPr>
        <w:t>50</w:t>
      </w:r>
      <w:r>
        <w:rPr>
          <w:lang w:val="en-US"/>
        </w:rPr>
        <w:t>. Number of trees and shrubs required in agroforestry model A for Uvurkhangai</w:t>
      </w:r>
    </w:p>
    <w:tbl>
      <w:tblPr>
        <w:tblStyle w:val="TableGrid"/>
        <w:tblW w:w="9639" w:type="dxa"/>
        <w:tblInd w:w="-5" w:type="dxa"/>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4821"/>
        <w:gridCol w:w="1151"/>
        <w:gridCol w:w="1833"/>
        <w:gridCol w:w="1834"/>
      </w:tblGrid>
      <w:tr w:rsidR="00D62F82" w:rsidRPr="0098543B" w14:paraId="1EFBAA58" w14:textId="77777777" w:rsidTr="0098543B">
        <w:tc>
          <w:tcPr>
            <w:tcW w:w="4821" w:type="dxa"/>
            <w:shd w:val="clear" w:color="auto" w:fill="E99E6D" w:themeFill="accent3"/>
          </w:tcPr>
          <w:p w14:paraId="7527621C" w14:textId="474D0475" w:rsidR="00D62F82" w:rsidRPr="0098543B" w:rsidRDefault="00D62F82" w:rsidP="0098543B">
            <w:pPr>
              <w:pStyle w:val="OikoTables02"/>
            </w:pPr>
            <w:r w:rsidRPr="0098543B">
              <w:t>Type of rows - Shelterbelt</w:t>
            </w:r>
          </w:p>
        </w:tc>
        <w:tc>
          <w:tcPr>
            <w:tcW w:w="1151" w:type="dxa"/>
            <w:shd w:val="clear" w:color="auto" w:fill="E99E6D" w:themeFill="accent3"/>
          </w:tcPr>
          <w:p w14:paraId="02EBB85F" w14:textId="77777777" w:rsidR="00D62F82" w:rsidRPr="0098543B" w:rsidRDefault="00D62F82" w:rsidP="0098543B">
            <w:pPr>
              <w:pStyle w:val="OikoTables02"/>
            </w:pPr>
            <w:r w:rsidRPr="0098543B">
              <w:t>Spacing (m)</w:t>
            </w:r>
          </w:p>
        </w:tc>
        <w:tc>
          <w:tcPr>
            <w:tcW w:w="1833" w:type="dxa"/>
            <w:shd w:val="clear" w:color="auto" w:fill="E99E6D" w:themeFill="accent3"/>
          </w:tcPr>
          <w:p w14:paraId="280CD314" w14:textId="6F288494" w:rsidR="00D62F82" w:rsidRPr="0098543B" w:rsidRDefault="00D62F82" w:rsidP="0098543B">
            <w:pPr>
              <w:pStyle w:val="OikoTables02"/>
            </w:pPr>
            <w:r w:rsidRPr="0098543B">
              <w:t>Number of trees per 100m</w:t>
            </w:r>
          </w:p>
        </w:tc>
        <w:tc>
          <w:tcPr>
            <w:tcW w:w="1834" w:type="dxa"/>
            <w:shd w:val="clear" w:color="auto" w:fill="E99E6D" w:themeFill="accent3"/>
          </w:tcPr>
          <w:p w14:paraId="0F0A7373" w14:textId="390D6B1F" w:rsidR="00D62F82" w:rsidRPr="0098543B" w:rsidRDefault="00D62F82" w:rsidP="0098543B">
            <w:pPr>
              <w:pStyle w:val="OikoTables02"/>
            </w:pPr>
            <w:r w:rsidRPr="0098543B">
              <w:t>Number of trees per ha (400m/l)</w:t>
            </w:r>
          </w:p>
        </w:tc>
      </w:tr>
      <w:tr w:rsidR="00D62F82" w:rsidRPr="0098543B" w14:paraId="4FE5DD0E" w14:textId="77777777" w:rsidTr="0098543B">
        <w:tc>
          <w:tcPr>
            <w:tcW w:w="4821" w:type="dxa"/>
            <w:shd w:val="clear" w:color="auto" w:fill="F6D7C4" w:themeFill="accent3" w:themeFillTint="66"/>
          </w:tcPr>
          <w:p w14:paraId="37C2A1D9" w14:textId="77777777" w:rsidR="00D62F82" w:rsidRPr="0098543B" w:rsidRDefault="00D62F82" w:rsidP="0098543B">
            <w:pPr>
              <w:pStyle w:val="OikoTables03Content"/>
              <w:rPr>
                <w:i/>
                <w:iCs/>
              </w:rPr>
            </w:pPr>
            <w:r w:rsidRPr="0098543B">
              <w:rPr>
                <w:i/>
                <w:iCs/>
              </w:rPr>
              <w:t>Row 1 - Mixed shrub belt Windward side</w:t>
            </w:r>
          </w:p>
        </w:tc>
        <w:tc>
          <w:tcPr>
            <w:tcW w:w="1151" w:type="dxa"/>
            <w:shd w:val="clear" w:color="auto" w:fill="F6D7C4" w:themeFill="accent3" w:themeFillTint="66"/>
          </w:tcPr>
          <w:p w14:paraId="40C7DE4B" w14:textId="77777777" w:rsidR="00D62F82" w:rsidRPr="0098543B" w:rsidRDefault="00D62F82" w:rsidP="0098543B">
            <w:pPr>
              <w:pStyle w:val="OikoTables03Content"/>
              <w:rPr>
                <w:i/>
                <w:iCs/>
              </w:rPr>
            </w:pPr>
          </w:p>
        </w:tc>
        <w:tc>
          <w:tcPr>
            <w:tcW w:w="1833" w:type="dxa"/>
            <w:shd w:val="clear" w:color="auto" w:fill="F6D7C4" w:themeFill="accent3" w:themeFillTint="66"/>
          </w:tcPr>
          <w:p w14:paraId="4EA7C2A1" w14:textId="77777777" w:rsidR="00D62F82" w:rsidRPr="0098543B" w:rsidRDefault="00D62F82" w:rsidP="0098543B">
            <w:pPr>
              <w:pStyle w:val="OikoTables03Content"/>
              <w:rPr>
                <w:i/>
                <w:iCs/>
              </w:rPr>
            </w:pPr>
            <w:r w:rsidRPr="0098543B">
              <w:rPr>
                <w:i/>
                <w:iCs/>
              </w:rPr>
              <w:t>67</w:t>
            </w:r>
          </w:p>
        </w:tc>
        <w:tc>
          <w:tcPr>
            <w:tcW w:w="1834" w:type="dxa"/>
            <w:shd w:val="clear" w:color="auto" w:fill="F6D7C4" w:themeFill="accent3" w:themeFillTint="66"/>
            <w:vAlign w:val="center"/>
          </w:tcPr>
          <w:p w14:paraId="14E27D19" w14:textId="77777777" w:rsidR="00D62F82" w:rsidRPr="0098543B" w:rsidRDefault="00D62F82" w:rsidP="0098543B">
            <w:pPr>
              <w:pStyle w:val="OikoTables03Content"/>
              <w:rPr>
                <w:i/>
                <w:iCs/>
              </w:rPr>
            </w:pPr>
            <w:r w:rsidRPr="0098543B">
              <w:rPr>
                <w:i/>
                <w:iCs/>
              </w:rPr>
              <w:t>268</w:t>
            </w:r>
          </w:p>
        </w:tc>
      </w:tr>
      <w:tr w:rsidR="00D62F82" w:rsidRPr="0098543B" w14:paraId="54947685" w14:textId="77777777" w:rsidTr="0098543B">
        <w:tc>
          <w:tcPr>
            <w:tcW w:w="4821" w:type="dxa"/>
          </w:tcPr>
          <w:p w14:paraId="405E4C09" w14:textId="77777777" w:rsidR="00D62F82" w:rsidRPr="0098543B" w:rsidRDefault="00D62F82" w:rsidP="0098543B">
            <w:pPr>
              <w:pStyle w:val="OikoTables03Content"/>
            </w:pPr>
            <w:r w:rsidRPr="0098543B">
              <w:t>Caragana arborescens - 50%</w:t>
            </w:r>
          </w:p>
        </w:tc>
        <w:tc>
          <w:tcPr>
            <w:tcW w:w="1151" w:type="dxa"/>
          </w:tcPr>
          <w:p w14:paraId="7C97C8F6" w14:textId="77777777" w:rsidR="00D62F82" w:rsidRPr="0098543B" w:rsidRDefault="00D62F82" w:rsidP="0098543B">
            <w:pPr>
              <w:pStyle w:val="OikoTables03Content"/>
            </w:pPr>
            <w:r w:rsidRPr="0098543B">
              <w:t>1.5</w:t>
            </w:r>
          </w:p>
        </w:tc>
        <w:tc>
          <w:tcPr>
            <w:tcW w:w="1833" w:type="dxa"/>
          </w:tcPr>
          <w:p w14:paraId="66058172" w14:textId="77777777" w:rsidR="00D62F82" w:rsidRPr="0098543B" w:rsidRDefault="00D62F82" w:rsidP="0098543B">
            <w:pPr>
              <w:pStyle w:val="OikoTables03Content"/>
            </w:pPr>
            <w:r w:rsidRPr="0098543B">
              <w:t>33</w:t>
            </w:r>
          </w:p>
        </w:tc>
        <w:tc>
          <w:tcPr>
            <w:tcW w:w="1834" w:type="dxa"/>
            <w:vAlign w:val="center"/>
          </w:tcPr>
          <w:p w14:paraId="7C43EAD2" w14:textId="77777777" w:rsidR="00D62F82" w:rsidRPr="0098543B" w:rsidRDefault="00D62F82" w:rsidP="0098543B">
            <w:pPr>
              <w:pStyle w:val="OikoTables03Content"/>
            </w:pPr>
            <w:r w:rsidRPr="0098543B">
              <w:t>132</w:t>
            </w:r>
          </w:p>
        </w:tc>
      </w:tr>
      <w:tr w:rsidR="00D62F82" w:rsidRPr="0098543B" w14:paraId="047FB85B" w14:textId="77777777" w:rsidTr="0098543B">
        <w:tc>
          <w:tcPr>
            <w:tcW w:w="4821" w:type="dxa"/>
          </w:tcPr>
          <w:p w14:paraId="5E93AC73" w14:textId="77777777" w:rsidR="00D62F82" w:rsidRPr="0098543B" w:rsidRDefault="00D62F82" w:rsidP="0098543B">
            <w:pPr>
              <w:pStyle w:val="OikoTables03Content"/>
            </w:pPr>
            <w:r w:rsidRPr="0098543B">
              <w:t>Sea Buckthorn (</w:t>
            </w:r>
            <w:proofErr w:type="spellStart"/>
            <w:r w:rsidRPr="0098543B">
              <w:t>Hippophae</w:t>
            </w:r>
            <w:proofErr w:type="spellEnd"/>
            <w:r w:rsidRPr="0098543B">
              <w:t xml:space="preserve"> </w:t>
            </w:r>
            <w:proofErr w:type="spellStart"/>
            <w:r w:rsidRPr="0098543B">
              <w:t>rhamnoides</w:t>
            </w:r>
            <w:proofErr w:type="spellEnd"/>
            <w:r w:rsidRPr="0098543B">
              <w:t>) – 30%</w:t>
            </w:r>
          </w:p>
        </w:tc>
        <w:tc>
          <w:tcPr>
            <w:tcW w:w="1151" w:type="dxa"/>
          </w:tcPr>
          <w:p w14:paraId="624B9357" w14:textId="77777777" w:rsidR="00D62F82" w:rsidRPr="0098543B" w:rsidRDefault="00D62F82" w:rsidP="0098543B">
            <w:pPr>
              <w:pStyle w:val="OikoTables03Content"/>
            </w:pPr>
            <w:r w:rsidRPr="0098543B">
              <w:t>1.5</w:t>
            </w:r>
          </w:p>
        </w:tc>
        <w:tc>
          <w:tcPr>
            <w:tcW w:w="1833" w:type="dxa"/>
          </w:tcPr>
          <w:p w14:paraId="08604919" w14:textId="77777777" w:rsidR="00D62F82" w:rsidRPr="0098543B" w:rsidRDefault="00D62F82" w:rsidP="0098543B">
            <w:pPr>
              <w:pStyle w:val="OikoTables03Content"/>
            </w:pPr>
            <w:r w:rsidRPr="0098543B">
              <w:t>21</w:t>
            </w:r>
          </w:p>
        </w:tc>
        <w:tc>
          <w:tcPr>
            <w:tcW w:w="1834" w:type="dxa"/>
            <w:vAlign w:val="center"/>
          </w:tcPr>
          <w:p w14:paraId="70E10B69" w14:textId="77777777" w:rsidR="00D62F82" w:rsidRPr="0098543B" w:rsidRDefault="00D62F82" w:rsidP="0098543B">
            <w:pPr>
              <w:pStyle w:val="OikoTables03Content"/>
            </w:pPr>
            <w:r w:rsidRPr="0098543B">
              <w:t>84</w:t>
            </w:r>
          </w:p>
        </w:tc>
      </w:tr>
      <w:tr w:rsidR="00D62F82" w:rsidRPr="0098543B" w14:paraId="7B590561" w14:textId="77777777" w:rsidTr="0098543B">
        <w:tc>
          <w:tcPr>
            <w:tcW w:w="4821" w:type="dxa"/>
          </w:tcPr>
          <w:p w14:paraId="32D01C41" w14:textId="77777777" w:rsidR="00D62F82" w:rsidRPr="0098543B" w:rsidRDefault="00D62F82" w:rsidP="0098543B">
            <w:pPr>
              <w:pStyle w:val="OikoTables03Content"/>
            </w:pPr>
            <w:r w:rsidRPr="0098543B">
              <w:t>Lonicera caerulea (Honeyberry/</w:t>
            </w:r>
            <w:proofErr w:type="spellStart"/>
            <w:r w:rsidRPr="0098543B">
              <w:t>Haskap</w:t>
            </w:r>
            <w:proofErr w:type="spellEnd"/>
            <w:r w:rsidRPr="0098543B">
              <w:t xml:space="preserve">) - 20% </w:t>
            </w:r>
          </w:p>
        </w:tc>
        <w:tc>
          <w:tcPr>
            <w:tcW w:w="1151" w:type="dxa"/>
          </w:tcPr>
          <w:p w14:paraId="74D8AEFE" w14:textId="77777777" w:rsidR="00D62F82" w:rsidRPr="0098543B" w:rsidRDefault="00D62F82" w:rsidP="0098543B">
            <w:pPr>
              <w:pStyle w:val="OikoTables03Content"/>
            </w:pPr>
            <w:r w:rsidRPr="0098543B">
              <w:t>1.5</w:t>
            </w:r>
          </w:p>
        </w:tc>
        <w:tc>
          <w:tcPr>
            <w:tcW w:w="1833" w:type="dxa"/>
          </w:tcPr>
          <w:p w14:paraId="37BE4E1F" w14:textId="77777777" w:rsidR="00D62F82" w:rsidRPr="0098543B" w:rsidRDefault="00D62F82" w:rsidP="0098543B">
            <w:pPr>
              <w:pStyle w:val="OikoTables03Content"/>
            </w:pPr>
            <w:r w:rsidRPr="0098543B">
              <w:t>13</w:t>
            </w:r>
          </w:p>
        </w:tc>
        <w:tc>
          <w:tcPr>
            <w:tcW w:w="1834" w:type="dxa"/>
            <w:vAlign w:val="center"/>
          </w:tcPr>
          <w:p w14:paraId="1AC7BAE1" w14:textId="77777777" w:rsidR="00D62F82" w:rsidRPr="0098543B" w:rsidRDefault="00D62F82" w:rsidP="0098543B">
            <w:pPr>
              <w:pStyle w:val="OikoTables03Content"/>
            </w:pPr>
            <w:r w:rsidRPr="0098543B">
              <w:t>52</w:t>
            </w:r>
          </w:p>
        </w:tc>
      </w:tr>
      <w:tr w:rsidR="00D62F82" w:rsidRPr="0098543B" w14:paraId="51EB9200" w14:textId="77777777" w:rsidTr="0098543B">
        <w:tc>
          <w:tcPr>
            <w:tcW w:w="4821" w:type="dxa"/>
            <w:shd w:val="clear" w:color="auto" w:fill="F6D7C4" w:themeFill="accent3" w:themeFillTint="66"/>
          </w:tcPr>
          <w:p w14:paraId="21304A8F" w14:textId="77777777" w:rsidR="00D62F82" w:rsidRPr="0098543B" w:rsidRDefault="00D62F82" w:rsidP="0098543B">
            <w:pPr>
              <w:pStyle w:val="OikoTables03Content"/>
              <w:rPr>
                <w:i/>
                <w:iCs/>
              </w:rPr>
            </w:pPr>
            <w:r w:rsidRPr="0098543B">
              <w:rPr>
                <w:i/>
                <w:iCs/>
              </w:rPr>
              <w:t>Row 2 - Fast-growing protection layer</w:t>
            </w:r>
          </w:p>
        </w:tc>
        <w:tc>
          <w:tcPr>
            <w:tcW w:w="1151" w:type="dxa"/>
            <w:shd w:val="clear" w:color="auto" w:fill="F6D7C4" w:themeFill="accent3" w:themeFillTint="66"/>
          </w:tcPr>
          <w:p w14:paraId="54A90E37" w14:textId="77777777" w:rsidR="00D62F82" w:rsidRPr="0098543B" w:rsidRDefault="00D62F82" w:rsidP="0098543B">
            <w:pPr>
              <w:pStyle w:val="OikoTables03Content"/>
              <w:rPr>
                <w:i/>
                <w:iCs/>
              </w:rPr>
            </w:pPr>
          </w:p>
        </w:tc>
        <w:tc>
          <w:tcPr>
            <w:tcW w:w="1833" w:type="dxa"/>
            <w:shd w:val="clear" w:color="auto" w:fill="F6D7C4" w:themeFill="accent3" w:themeFillTint="66"/>
          </w:tcPr>
          <w:p w14:paraId="74932BA5" w14:textId="77777777" w:rsidR="00D62F82" w:rsidRPr="0098543B" w:rsidRDefault="00D62F82" w:rsidP="0098543B">
            <w:pPr>
              <w:pStyle w:val="OikoTables03Content"/>
              <w:rPr>
                <w:i/>
                <w:iCs/>
              </w:rPr>
            </w:pPr>
            <w:r w:rsidRPr="0098543B">
              <w:rPr>
                <w:i/>
                <w:iCs/>
              </w:rPr>
              <w:t>33</w:t>
            </w:r>
          </w:p>
        </w:tc>
        <w:tc>
          <w:tcPr>
            <w:tcW w:w="1834" w:type="dxa"/>
            <w:shd w:val="clear" w:color="auto" w:fill="F6D7C4" w:themeFill="accent3" w:themeFillTint="66"/>
          </w:tcPr>
          <w:p w14:paraId="4CFE46B6" w14:textId="77777777" w:rsidR="00D62F82" w:rsidRPr="0098543B" w:rsidRDefault="00D62F82" w:rsidP="0098543B">
            <w:pPr>
              <w:pStyle w:val="OikoTables03Content"/>
              <w:rPr>
                <w:i/>
                <w:iCs/>
              </w:rPr>
            </w:pPr>
            <w:r w:rsidRPr="0098543B">
              <w:rPr>
                <w:i/>
                <w:iCs/>
              </w:rPr>
              <w:t>132</w:t>
            </w:r>
          </w:p>
        </w:tc>
      </w:tr>
      <w:tr w:rsidR="00D62F82" w:rsidRPr="0098543B" w14:paraId="27C669C5" w14:textId="77777777" w:rsidTr="0098543B">
        <w:tc>
          <w:tcPr>
            <w:tcW w:w="4821" w:type="dxa"/>
          </w:tcPr>
          <w:p w14:paraId="554CFAB1" w14:textId="77777777" w:rsidR="00D62F82" w:rsidRPr="0098543B" w:rsidRDefault="00D62F82" w:rsidP="0098543B">
            <w:pPr>
              <w:pStyle w:val="OikoTables03Content"/>
            </w:pPr>
            <w:r w:rsidRPr="0098543B">
              <w:t>Ulmus pumila (≈40%)</w:t>
            </w:r>
          </w:p>
        </w:tc>
        <w:tc>
          <w:tcPr>
            <w:tcW w:w="1151" w:type="dxa"/>
          </w:tcPr>
          <w:p w14:paraId="053A3956" w14:textId="77777777" w:rsidR="00D62F82" w:rsidRPr="0098543B" w:rsidRDefault="00D62F82" w:rsidP="0098543B">
            <w:pPr>
              <w:pStyle w:val="OikoTables03Content"/>
            </w:pPr>
            <w:r w:rsidRPr="0098543B">
              <w:t>3</w:t>
            </w:r>
          </w:p>
        </w:tc>
        <w:tc>
          <w:tcPr>
            <w:tcW w:w="1833" w:type="dxa"/>
          </w:tcPr>
          <w:p w14:paraId="25B65456" w14:textId="77777777" w:rsidR="00D62F82" w:rsidRPr="0098543B" w:rsidRDefault="00D62F82" w:rsidP="0098543B">
            <w:pPr>
              <w:pStyle w:val="OikoTables03Content"/>
            </w:pPr>
            <w:r w:rsidRPr="0098543B">
              <w:t>13</w:t>
            </w:r>
          </w:p>
        </w:tc>
        <w:tc>
          <w:tcPr>
            <w:tcW w:w="1834" w:type="dxa"/>
            <w:vAlign w:val="center"/>
          </w:tcPr>
          <w:p w14:paraId="5ECE34A4" w14:textId="77777777" w:rsidR="00D62F82" w:rsidRPr="0098543B" w:rsidRDefault="00D62F82" w:rsidP="0098543B">
            <w:pPr>
              <w:pStyle w:val="OikoTables03Content"/>
            </w:pPr>
            <w:r w:rsidRPr="0098543B">
              <w:t>52</w:t>
            </w:r>
          </w:p>
        </w:tc>
      </w:tr>
      <w:tr w:rsidR="00D62F82" w:rsidRPr="0098543B" w14:paraId="42BF51F4" w14:textId="77777777" w:rsidTr="0098543B">
        <w:tc>
          <w:tcPr>
            <w:tcW w:w="4821" w:type="dxa"/>
          </w:tcPr>
          <w:p w14:paraId="01D47D84" w14:textId="77777777" w:rsidR="00D62F82" w:rsidRPr="0098543B" w:rsidRDefault="00D62F82" w:rsidP="0098543B">
            <w:pPr>
              <w:pStyle w:val="OikoTables03Content"/>
            </w:pPr>
            <w:r w:rsidRPr="0098543B">
              <w:t>Elaeagnus angustifolia (≈30%)</w:t>
            </w:r>
          </w:p>
        </w:tc>
        <w:tc>
          <w:tcPr>
            <w:tcW w:w="1151" w:type="dxa"/>
          </w:tcPr>
          <w:p w14:paraId="4FDFE75A" w14:textId="77777777" w:rsidR="00D62F82" w:rsidRPr="0098543B" w:rsidRDefault="00D62F82" w:rsidP="0098543B">
            <w:pPr>
              <w:pStyle w:val="OikoTables03Content"/>
            </w:pPr>
            <w:r w:rsidRPr="0098543B">
              <w:t>3</w:t>
            </w:r>
          </w:p>
        </w:tc>
        <w:tc>
          <w:tcPr>
            <w:tcW w:w="1833" w:type="dxa"/>
          </w:tcPr>
          <w:p w14:paraId="5BBB3C97" w14:textId="77777777" w:rsidR="00D62F82" w:rsidRPr="0098543B" w:rsidRDefault="00D62F82" w:rsidP="0098543B">
            <w:pPr>
              <w:pStyle w:val="OikoTables03Content"/>
            </w:pPr>
            <w:r w:rsidRPr="0098543B">
              <w:t>10</w:t>
            </w:r>
          </w:p>
        </w:tc>
        <w:tc>
          <w:tcPr>
            <w:tcW w:w="1834" w:type="dxa"/>
            <w:vAlign w:val="center"/>
          </w:tcPr>
          <w:p w14:paraId="391055FB" w14:textId="77777777" w:rsidR="00D62F82" w:rsidRPr="0098543B" w:rsidRDefault="00D62F82" w:rsidP="0098543B">
            <w:pPr>
              <w:pStyle w:val="OikoTables03Content"/>
            </w:pPr>
            <w:r w:rsidRPr="0098543B">
              <w:t>40</w:t>
            </w:r>
          </w:p>
        </w:tc>
      </w:tr>
      <w:tr w:rsidR="00D62F82" w:rsidRPr="0098543B" w14:paraId="1EDDAF24" w14:textId="77777777" w:rsidTr="0098543B">
        <w:tc>
          <w:tcPr>
            <w:tcW w:w="4821" w:type="dxa"/>
          </w:tcPr>
          <w:p w14:paraId="40B7DA54" w14:textId="77777777" w:rsidR="00D62F82" w:rsidRPr="0098543B" w:rsidRDefault="00D62F82" w:rsidP="0098543B">
            <w:pPr>
              <w:pStyle w:val="OikoTables03Content"/>
            </w:pPr>
            <w:r w:rsidRPr="0098543B">
              <w:t xml:space="preserve">Poplar (Populus </w:t>
            </w:r>
            <w:proofErr w:type="spellStart"/>
            <w:r w:rsidRPr="0098543B">
              <w:t>spp</w:t>
            </w:r>
            <w:proofErr w:type="spellEnd"/>
            <w:r w:rsidRPr="0098543B">
              <w:t>) (≈30%)</w:t>
            </w:r>
          </w:p>
        </w:tc>
        <w:tc>
          <w:tcPr>
            <w:tcW w:w="1151" w:type="dxa"/>
          </w:tcPr>
          <w:p w14:paraId="683F9670" w14:textId="77777777" w:rsidR="00D62F82" w:rsidRPr="0098543B" w:rsidRDefault="00D62F82" w:rsidP="0098543B">
            <w:pPr>
              <w:pStyle w:val="OikoTables03Content"/>
            </w:pPr>
            <w:r w:rsidRPr="0098543B">
              <w:t xml:space="preserve">3 </w:t>
            </w:r>
          </w:p>
        </w:tc>
        <w:tc>
          <w:tcPr>
            <w:tcW w:w="1833" w:type="dxa"/>
          </w:tcPr>
          <w:p w14:paraId="6A7B434A" w14:textId="77777777" w:rsidR="00D62F82" w:rsidRPr="0098543B" w:rsidRDefault="00D62F82" w:rsidP="0098543B">
            <w:pPr>
              <w:pStyle w:val="OikoTables03Content"/>
            </w:pPr>
            <w:r w:rsidRPr="0098543B">
              <w:t>10</w:t>
            </w:r>
          </w:p>
        </w:tc>
        <w:tc>
          <w:tcPr>
            <w:tcW w:w="1834" w:type="dxa"/>
            <w:vAlign w:val="center"/>
          </w:tcPr>
          <w:p w14:paraId="15D170B6" w14:textId="77777777" w:rsidR="00D62F82" w:rsidRPr="0098543B" w:rsidRDefault="00D62F82" w:rsidP="0098543B">
            <w:pPr>
              <w:pStyle w:val="OikoTables03Content"/>
            </w:pPr>
            <w:r w:rsidRPr="0098543B">
              <w:t>40</w:t>
            </w:r>
          </w:p>
        </w:tc>
      </w:tr>
      <w:tr w:rsidR="00D62F82" w:rsidRPr="0098543B" w14:paraId="03FCEDE1" w14:textId="77777777" w:rsidTr="0098543B">
        <w:tc>
          <w:tcPr>
            <w:tcW w:w="4821" w:type="dxa"/>
            <w:shd w:val="clear" w:color="auto" w:fill="F6D7C4" w:themeFill="accent3" w:themeFillTint="66"/>
          </w:tcPr>
          <w:p w14:paraId="3994B452" w14:textId="77777777" w:rsidR="00D62F82" w:rsidRPr="0098543B" w:rsidRDefault="00D62F82" w:rsidP="0098543B">
            <w:pPr>
              <w:pStyle w:val="OikoTables03Content"/>
              <w:rPr>
                <w:i/>
                <w:iCs/>
              </w:rPr>
            </w:pPr>
            <w:r w:rsidRPr="0098543B">
              <w:rPr>
                <w:i/>
                <w:iCs/>
              </w:rPr>
              <w:t>Row 3 - Long-term forest layer</w:t>
            </w:r>
          </w:p>
        </w:tc>
        <w:tc>
          <w:tcPr>
            <w:tcW w:w="1151" w:type="dxa"/>
            <w:shd w:val="clear" w:color="auto" w:fill="F6D7C4" w:themeFill="accent3" w:themeFillTint="66"/>
          </w:tcPr>
          <w:p w14:paraId="18D68921" w14:textId="77777777" w:rsidR="00D62F82" w:rsidRPr="0098543B" w:rsidRDefault="00D62F82" w:rsidP="0098543B">
            <w:pPr>
              <w:pStyle w:val="OikoTables03Content"/>
              <w:rPr>
                <w:i/>
                <w:iCs/>
              </w:rPr>
            </w:pPr>
          </w:p>
        </w:tc>
        <w:tc>
          <w:tcPr>
            <w:tcW w:w="1833" w:type="dxa"/>
            <w:shd w:val="clear" w:color="auto" w:fill="F6D7C4" w:themeFill="accent3" w:themeFillTint="66"/>
          </w:tcPr>
          <w:p w14:paraId="79577A92" w14:textId="77777777" w:rsidR="00D62F82" w:rsidRPr="0098543B" w:rsidRDefault="00D62F82" w:rsidP="0098543B">
            <w:pPr>
              <w:pStyle w:val="OikoTables03Content"/>
              <w:rPr>
                <w:i/>
                <w:iCs/>
              </w:rPr>
            </w:pPr>
            <w:r w:rsidRPr="0098543B">
              <w:rPr>
                <w:i/>
                <w:iCs/>
              </w:rPr>
              <w:t>33</w:t>
            </w:r>
          </w:p>
        </w:tc>
        <w:tc>
          <w:tcPr>
            <w:tcW w:w="1834" w:type="dxa"/>
            <w:shd w:val="clear" w:color="auto" w:fill="F6D7C4" w:themeFill="accent3" w:themeFillTint="66"/>
            <w:vAlign w:val="center"/>
          </w:tcPr>
          <w:p w14:paraId="2C062D19" w14:textId="77777777" w:rsidR="00D62F82" w:rsidRPr="0098543B" w:rsidRDefault="00D62F82" w:rsidP="0098543B">
            <w:pPr>
              <w:pStyle w:val="OikoTables03Content"/>
              <w:rPr>
                <w:i/>
                <w:iCs/>
              </w:rPr>
            </w:pPr>
            <w:r w:rsidRPr="0098543B">
              <w:rPr>
                <w:i/>
                <w:iCs/>
              </w:rPr>
              <w:t>132</w:t>
            </w:r>
          </w:p>
        </w:tc>
      </w:tr>
      <w:tr w:rsidR="00D62F82" w:rsidRPr="0098543B" w14:paraId="65071F8A" w14:textId="77777777" w:rsidTr="0098543B">
        <w:tc>
          <w:tcPr>
            <w:tcW w:w="4821" w:type="dxa"/>
          </w:tcPr>
          <w:p w14:paraId="193E8364" w14:textId="77777777" w:rsidR="00D62F82" w:rsidRPr="0098543B" w:rsidRDefault="00D62F82" w:rsidP="0098543B">
            <w:pPr>
              <w:pStyle w:val="OikoTables03Content"/>
            </w:pPr>
            <w:r w:rsidRPr="0098543B">
              <w:t xml:space="preserve">Malus </w:t>
            </w:r>
            <w:proofErr w:type="spellStart"/>
            <w:r w:rsidRPr="0098543B">
              <w:t>baccata</w:t>
            </w:r>
            <w:proofErr w:type="spellEnd"/>
            <w:r w:rsidRPr="0098543B">
              <w:t xml:space="preserve"> (Siberian Crab Apple) ≈20%</w:t>
            </w:r>
          </w:p>
        </w:tc>
        <w:tc>
          <w:tcPr>
            <w:tcW w:w="1151" w:type="dxa"/>
          </w:tcPr>
          <w:p w14:paraId="0E436514" w14:textId="77777777" w:rsidR="00D62F82" w:rsidRPr="0098543B" w:rsidRDefault="00D62F82" w:rsidP="0098543B">
            <w:pPr>
              <w:pStyle w:val="OikoTables03Content"/>
            </w:pPr>
            <w:r w:rsidRPr="0098543B">
              <w:t>3</w:t>
            </w:r>
          </w:p>
        </w:tc>
        <w:tc>
          <w:tcPr>
            <w:tcW w:w="1833" w:type="dxa"/>
          </w:tcPr>
          <w:p w14:paraId="4A896A43" w14:textId="77777777" w:rsidR="00D62F82" w:rsidRPr="0098543B" w:rsidRDefault="00D62F82" w:rsidP="0098543B">
            <w:pPr>
              <w:pStyle w:val="OikoTables03Content"/>
            </w:pPr>
            <w:r w:rsidRPr="0098543B">
              <w:t>7</w:t>
            </w:r>
          </w:p>
        </w:tc>
        <w:tc>
          <w:tcPr>
            <w:tcW w:w="1834" w:type="dxa"/>
          </w:tcPr>
          <w:p w14:paraId="14BE5672" w14:textId="77777777" w:rsidR="00D62F82" w:rsidRPr="0098543B" w:rsidRDefault="00D62F82" w:rsidP="0098543B">
            <w:pPr>
              <w:pStyle w:val="OikoTables03Content"/>
            </w:pPr>
            <w:r w:rsidRPr="0098543B">
              <w:t>28</w:t>
            </w:r>
          </w:p>
        </w:tc>
      </w:tr>
      <w:tr w:rsidR="00D62F82" w:rsidRPr="0098543B" w14:paraId="2C50C24E" w14:textId="77777777" w:rsidTr="0098543B">
        <w:tc>
          <w:tcPr>
            <w:tcW w:w="4821" w:type="dxa"/>
          </w:tcPr>
          <w:p w14:paraId="5D51DFF3" w14:textId="77777777" w:rsidR="00D62F82" w:rsidRPr="0098543B" w:rsidRDefault="00D62F82" w:rsidP="0098543B">
            <w:pPr>
              <w:pStyle w:val="OikoTables03Content"/>
            </w:pPr>
            <w:r w:rsidRPr="0098543B">
              <w:t xml:space="preserve">Pyrus </w:t>
            </w:r>
            <w:proofErr w:type="spellStart"/>
            <w:r w:rsidRPr="0098543B">
              <w:t>ussuriensis</w:t>
            </w:r>
            <w:proofErr w:type="spellEnd"/>
            <w:r w:rsidRPr="0098543B">
              <w:t xml:space="preserve"> ≈20%</w:t>
            </w:r>
          </w:p>
        </w:tc>
        <w:tc>
          <w:tcPr>
            <w:tcW w:w="1151" w:type="dxa"/>
          </w:tcPr>
          <w:p w14:paraId="29095FEB" w14:textId="77777777" w:rsidR="00D62F82" w:rsidRPr="0098543B" w:rsidRDefault="00D62F82" w:rsidP="0098543B">
            <w:pPr>
              <w:pStyle w:val="OikoTables03Content"/>
            </w:pPr>
            <w:r w:rsidRPr="0098543B">
              <w:t>3</w:t>
            </w:r>
          </w:p>
        </w:tc>
        <w:tc>
          <w:tcPr>
            <w:tcW w:w="1833" w:type="dxa"/>
          </w:tcPr>
          <w:p w14:paraId="67B190C3" w14:textId="77777777" w:rsidR="00D62F82" w:rsidRPr="0098543B" w:rsidRDefault="00D62F82" w:rsidP="0098543B">
            <w:pPr>
              <w:pStyle w:val="OikoTables03Content"/>
            </w:pPr>
            <w:r w:rsidRPr="0098543B">
              <w:t>7</w:t>
            </w:r>
          </w:p>
        </w:tc>
        <w:tc>
          <w:tcPr>
            <w:tcW w:w="1834" w:type="dxa"/>
          </w:tcPr>
          <w:p w14:paraId="220B733D" w14:textId="77777777" w:rsidR="00D62F82" w:rsidRPr="0098543B" w:rsidRDefault="00D62F82" w:rsidP="0098543B">
            <w:pPr>
              <w:pStyle w:val="OikoTables03Content"/>
            </w:pPr>
            <w:r w:rsidRPr="0098543B">
              <w:t>28</w:t>
            </w:r>
          </w:p>
        </w:tc>
      </w:tr>
      <w:tr w:rsidR="00D62F82" w:rsidRPr="0098543B" w14:paraId="6C6CED5F" w14:textId="77777777" w:rsidTr="0098543B">
        <w:tc>
          <w:tcPr>
            <w:tcW w:w="4821" w:type="dxa"/>
          </w:tcPr>
          <w:p w14:paraId="313AE754" w14:textId="77777777" w:rsidR="00D62F82" w:rsidRPr="0098543B" w:rsidRDefault="00D62F82" w:rsidP="0098543B">
            <w:pPr>
              <w:pStyle w:val="OikoTables03Content"/>
            </w:pPr>
            <w:r w:rsidRPr="0098543B">
              <w:t>Prunus padus ≈20%</w:t>
            </w:r>
          </w:p>
        </w:tc>
        <w:tc>
          <w:tcPr>
            <w:tcW w:w="1151" w:type="dxa"/>
          </w:tcPr>
          <w:p w14:paraId="3BC955CF" w14:textId="77777777" w:rsidR="00D62F82" w:rsidRPr="0098543B" w:rsidRDefault="00D62F82" w:rsidP="0098543B">
            <w:pPr>
              <w:pStyle w:val="OikoTables03Content"/>
            </w:pPr>
            <w:r w:rsidRPr="0098543B">
              <w:t>3</w:t>
            </w:r>
          </w:p>
        </w:tc>
        <w:tc>
          <w:tcPr>
            <w:tcW w:w="1833" w:type="dxa"/>
          </w:tcPr>
          <w:p w14:paraId="35EDCD4D" w14:textId="77777777" w:rsidR="00D62F82" w:rsidRPr="0098543B" w:rsidRDefault="00D62F82" w:rsidP="0098543B">
            <w:pPr>
              <w:pStyle w:val="OikoTables03Content"/>
            </w:pPr>
            <w:r w:rsidRPr="0098543B">
              <w:t>6</w:t>
            </w:r>
          </w:p>
        </w:tc>
        <w:tc>
          <w:tcPr>
            <w:tcW w:w="1834" w:type="dxa"/>
          </w:tcPr>
          <w:p w14:paraId="7EE9DA69" w14:textId="77777777" w:rsidR="00D62F82" w:rsidRPr="0098543B" w:rsidRDefault="00D62F82" w:rsidP="0098543B">
            <w:pPr>
              <w:pStyle w:val="OikoTables03Content"/>
            </w:pPr>
            <w:r w:rsidRPr="0098543B">
              <w:t>24</w:t>
            </w:r>
          </w:p>
        </w:tc>
      </w:tr>
      <w:tr w:rsidR="00D62F82" w:rsidRPr="0098543B" w14:paraId="3A18928F" w14:textId="77777777" w:rsidTr="0098543B">
        <w:tc>
          <w:tcPr>
            <w:tcW w:w="4821" w:type="dxa"/>
          </w:tcPr>
          <w:p w14:paraId="29DB3FD6" w14:textId="77777777" w:rsidR="00D62F82" w:rsidRPr="0098543B" w:rsidRDefault="00D62F82" w:rsidP="0098543B">
            <w:pPr>
              <w:pStyle w:val="OikoTables03Content"/>
            </w:pPr>
            <w:r w:rsidRPr="0098543B">
              <w:t>Elaeagnus angustifolia (≈15%)</w:t>
            </w:r>
          </w:p>
        </w:tc>
        <w:tc>
          <w:tcPr>
            <w:tcW w:w="1151" w:type="dxa"/>
          </w:tcPr>
          <w:p w14:paraId="5B2CC4FD" w14:textId="77777777" w:rsidR="00D62F82" w:rsidRPr="0098543B" w:rsidRDefault="00D62F82" w:rsidP="0098543B">
            <w:pPr>
              <w:pStyle w:val="OikoTables03Content"/>
            </w:pPr>
            <w:r w:rsidRPr="0098543B">
              <w:t>3</w:t>
            </w:r>
          </w:p>
        </w:tc>
        <w:tc>
          <w:tcPr>
            <w:tcW w:w="1833" w:type="dxa"/>
          </w:tcPr>
          <w:p w14:paraId="5F8E0C5A" w14:textId="77777777" w:rsidR="00D62F82" w:rsidRPr="0098543B" w:rsidRDefault="00D62F82" w:rsidP="0098543B">
            <w:pPr>
              <w:pStyle w:val="OikoTables03Content"/>
            </w:pPr>
            <w:r w:rsidRPr="0098543B">
              <w:t>5</w:t>
            </w:r>
          </w:p>
        </w:tc>
        <w:tc>
          <w:tcPr>
            <w:tcW w:w="1834" w:type="dxa"/>
          </w:tcPr>
          <w:p w14:paraId="677CCEDB" w14:textId="77777777" w:rsidR="00D62F82" w:rsidRPr="0098543B" w:rsidRDefault="00D62F82" w:rsidP="0098543B">
            <w:pPr>
              <w:pStyle w:val="OikoTables03Content"/>
            </w:pPr>
            <w:r w:rsidRPr="0098543B">
              <w:t>20</w:t>
            </w:r>
          </w:p>
        </w:tc>
      </w:tr>
      <w:tr w:rsidR="00D62F82" w:rsidRPr="0098543B" w14:paraId="41E08203" w14:textId="77777777" w:rsidTr="0098543B">
        <w:tc>
          <w:tcPr>
            <w:tcW w:w="4821" w:type="dxa"/>
          </w:tcPr>
          <w:p w14:paraId="5BBB3A1C" w14:textId="77777777" w:rsidR="00D62F82" w:rsidRPr="0098543B" w:rsidRDefault="00D62F82" w:rsidP="0098543B">
            <w:pPr>
              <w:pStyle w:val="OikoTables03Content"/>
            </w:pPr>
            <w:r w:rsidRPr="0098543B">
              <w:t>Ulmus pumila (≈15%)</w:t>
            </w:r>
          </w:p>
        </w:tc>
        <w:tc>
          <w:tcPr>
            <w:tcW w:w="1151" w:type="dxa"/>
          </w:tcPr>
          <w:p w14:paraId="38B12CEC" w14:textId="77777777" w:rsidR="00D62F82" w:rsidRPr="0098543B" w:rsidRDefault="00D62F82" w:rsidP="0098543B">
            <w:pPr>
              <w:pStyle w:val="OikoTables03Content"/>
            </w:pPr>
            <w:r w:rsidRPr="0098543B">
              <w:t>3</w:t>
            </w:r>
          </w:p>
        </w:tc>
        <w:tc>
          <w:tcPr>
            <w:tcW w:w="1833" w:type="dxa"/>
          </w:tcPr>
          <w:p w14:paraId="00153108" w14:textId="77777777" w:rsidR="00D62F82" w:rsidRPr="0098543B" w:rsidRDefault="00D62F82" w:rsidP="0098543B">
            <w:pPr>
              <w:pStyle w:val="OikoTables03Content"/>
            </w:pPr>
            <w:r w:rsidRPr="0098543B">
              <w:t>5</w:t>
            </w:r>
          </w:p>
        </w:tc>
        <w:tc>
          <w:tcPr>
            <w:tcW w:w="1834" w:type="dxa"/>
            <w:vAlign w:val="center"/>
          </w:tcPr>
          <w:p w14:paraId="4806A479" w14:textId="77777777" w:rsidR="00D62F82" w:rsidRPr="0098543B" w:rsidRDefault="00D62F82" w:rsidP="0098543B">
            <w:pPr>
              <w:pStyle w:val="OikoTables03Content"/>
            </w:pPr>
            <w:r w:rsidRPr="0098543B">
              <w:t>20</w:t>
            </w:r>
          </w:p>
        </w:tc>
      </w:tr>
      <w:tr w:rsidR="00D62F82" w:rsidRPr="0098543B" w14:paraId="795BEB3C" w14:textId="77777777" w:rsidTr="0098543B">
        <w:tc>
          <w:tcPr>
            <w:tcW w:w="4821" w:type="dxa"/>
          </w:tcPr>
          <w:p w14:paraId="5CE87C36" w14:textId="77777777" w:rsidR="00D62F82" w:rsidRPr="0098543B" w:rsidRDefault="00D62F82" w:rsidP="0098543B">
            <w:pPr>
              <w:pStyle w:val="OikoTables03Content"/>
            </w:pPr>
            <w:r w:rsidRPr="0098543B">
              <w:t>Prunus sibirica (10%)</w:t>
            </w:r>
          </w:p>
        </w:tc>
        <w:tc>
          <w:tcPr>
            <w:tcW w:w="1151" w:type="dxa"/>
          </w:tcPr>
          <w:p w14:paraId="5DF21CA0" w14:textId="77777777" w:rsidR="00D62F82" w:rsidRPr="0098543B" w:rsidRDefault="00D62F82" w:rsidP="0098543B">
            <w:pPr>
              <w:pStyle w:val="OikoTables03Content"/>
            </w:pPr>
            <w:r w:rsidRPr="0098543B">
              <w:t>3</w:t>
            </w:r>
          </w:p>
        </w:tc>
        <w:tc>
          <w:tcPr>
            <w:tcW w:w="1833" w:type="dxa"/>
          </w:tcPr>
          <w:p w14:paraId="2C410D61" w14:textId="77777777" w:rsidR="00D62F82" w:rsidRPr="0098543B" w:rsidRDefault="00D62F82" w:rsidP="0098543B">
            <w:pPr>
              <w:pStyle w:val="OikoTables03Content"/>
            </w:pPr>
            <w:r w:rsidRPr="0098543B">
              <w:t>3</w:t>
            </w:r>
          </w:p>
        </w:tc>
        <w:tc>
          <w:tcPr>
            <w:tcW w:w="1834" w:type="dxa"/>
          </w:tcPr>
          <w:p w14:paraId="56AB0140" w14:textId="77777777" w:rsidR="00D62F82" w:rsidRPr="0098543B" w:rsidRDefault="00D62F82" w:rsidP="0098543B">
            <w:pPr>
              <w:pStyle w:val="OikoTables03Content"/>
            </w:pPr>
            <w:r w:rsidRPr="0098543B">
              <w:t>12</w:t>
            </w:r>
          </w:p>
        </w:tc>
      </w:tr>
      <w:tr w:rsidR="00D62F82" w:rsidRPr="0098543B" w14:paraId="14049F1C" w14:textId="77777777" w:rsidTr="0098543B">
        <w:tc>
          <w:tcPr>
            <w:tcW w:w="4821" w:type="dxa"/>
            <w:shd w:val="clear" w:color="auto" w:fill="F6D7C4" w:themeFill="accent3" w:themeFillTint="66"/>
          </w:tcPr>
          <w:p w14:paraId="565C47B8" w14:textId="77777777" w:rsidR="00D62F82" w:rsidRPr="0098543B" w:rsidRDefault="00D62F82" w:rsidP="0098543B">
            <w:pPr>
              <w:pStyle w:val="OikoTables03Content"/>
              <w:rPr>
                <w:i/>
                <w:iCs/>
              </w:rPr>
            </w:pPr>
            <w:r w:rsidRPr="0098543B">
              <w:rPr>
                <w:i/>
                <w:iCs/>
              </w:rPr>
              <w:t>Row 4 - Berry Strip (optional)</w:t>
            </w:r>
          </w:p>
        </w:tc>
        <w:tc>
          <w:tcPr>
            <w:tcW w:w="1151" w:type="dxa"/>
            <w:shd w:val="clear" w:color="auto" w:fill="F6D7C4" w:themeFill="accent3" w:themeFillTint="66"/>
          </w:tcPr>
          <w:p w14:paraId="2D383F7A" w14:textId="77777777" w:rsidR="00D62F82" w:rsidRPr="0098543B" w:rsidRDefault="00D62F82" w:rsidP="0098543B">
            <w:pPr>
              <w:pStyle w:val="OikoTables03Content"/>
              <w:rPr>
                <w:i/>
                <w:iCs/>
              </w:rPr>
            </w:pPr>
          </w:p>
        </w:tc>
        <w:tc>
          <w:tcPr>
            <w:tcW w:w="1833" w:type="dxa"/>
            <w:shd w:val="clear" w:color="auto" w:fill="F6D7C4" w:themeFill="accent3" w:themeFillTint="66"/>
          </w:tcPr>
          <w:p w14:paraId="61E7F8CB" w14:textId="77777777" w:rsidR="00D62F82" w:rsidRPr="0098543B" w:rsidRDefault="00D62F82" w:rsidP="0098543B">
            <w:pPr>
              <w:pStyle w:val="OikoTables03Content"/>
              <w:rPr>
                <w:i/>
                <w:iCs/>
              </w:rPr>
            </w:pPr>
            <w:r w:rsidRPr="0098543B">
              <w:rPr>
                <w:i/>
                <w:iCs/>
              </w:rPr>
              <w:t>80</w:t>
            </w:r>
          </w:p>
        </w:tc>
        <w:tc>
          <w:tcPr>
            <w:tcW w:w="1834" w:type="dxa"/>
            <w:shd w:val="clear" w:color="auto" w:fill="F6D7C4" w:themeFill="accent3" w:themeFillTint="66"/>
          </w:tcPr>
          <w:p w14:paraId="1B407CE8" w14:textId="77777777" w:rsidR="00D62F82" w:rsidRPr="0098543B" w:rsidRDefault="00D62F82" w:rsidP="0098543B">
            <w:pPr>
              <w:pStyle w:val="OikoTables03Content"/>
              <w:rPr>
                <w:i/>
                <w:iCs/>
              </w:rPr>
            </w:pPr>
            <w:r w:rsidRPr="0098543B">
              <w:rPr>
                <w:i/>
                <w:iCs/>
              </w:rPr>
              <w:t>320</w:t>
            </w:r>
          </w:p>
        </w:tc>
      </w:tr>
      <w:tr w:rsidR="00D62F82" w:rsidRPr="0098543B" w14:paraId="3FF5CC75" w14:textId="77777777" w:rsidTr="0098543B">
        <w:tc>
          <w:tcPr>
            <w:tcW w:w="4821" w:type="dxa"/>
          </w:tcPr>
          <w:p w14:paraId="1058ABF3" w14:textId="77777777" w:rsidR="00D62F82" w:rsidRPr="0098543B" w:rsidRDefault="00D62F82" w:rsidP="0098543B">
            <w:pPr>
              <w:pStyle w:val="OikoTables03Content"/>
            </w:pPr>
            <w:r w:rsidRPr="0098543B">
              <w:lastRenderedPageBreak/>
              <w:t>Lonicera caerulea (honeyberry) (≈33%)</w:t>
            </w:r>
          </w:p>
        </w:tc>
        <w:tc>
          <w:tcPr>
            <w:tcW w:w="1151" w:type="dxa"/>
          </w:tcPr>
          <w:p w14:paraId="34C9344A" w14:textId="77777777" w:rsidR="00D62F82" w:rsidRPr="0098543B" w:rsidRDefault="00D62F82" w:rsidP="0098543B">
            <w:pPr>
              <w:pStyle w:val="OikoTables03Content"/>
            </w:pPr>
            <w:r w:rsidRPr="0098543B">
              <w:t>1.25</w:t>
            </w:r>
          </w:p>
        </w:tc>
        <w:tc>
          <w:tcPr>
            <w:tcW w:w="1833" w:type="dxa"/>
          </w:tcPr>
          <w:p w14:paraId="25E7B867" w14:textId="77777777" w:rsidR="00D62F82" w:rsidRPr="0098543B" w:rsidRDefault="00D62F82" w:rsidP="0098543B">
            <w:pPr>
              <w:pStyle w:val="OikoTables03Content"/>
            </w:pPr>
            <w:r w:rsidRPr="0098543B">
              <w:t>27</w:t>
            </w:r>
          </w:p>
        </w:tc>
        <w:tc>
          <w:tcPr>
            <w:tcW w:w="1834" w:type="dxa"/>
            <w:vAlign w:val="center"/>
          </w:tcPr>
          <w:p w14:paraId="4599FFC4" w14:textId="77777777" w:rsidR="00D62F82" w:rsidRPr="0098543B" w:rsidRDefault="00D62F82" w:rsidP="0098543B">
            <w:pPr>
              <w:pStyle w:val="OikoTables03Content"/>
            </w:pPr>
            <w:r w:rsidRPr="0098543B">
              <w:t>108</w:t>
            </w:r>
          </w:p>
        </w:tc>
      </w:tr>
      <w:tr w:rsidR="00D62F82" w:rsidRPr="0098543B" w14:paraId="28F462A6" w14:textId="77777777" w:rsidTr="0098543B">
        <w:tc>
          <w:tcPr>
            <w:tcW w:w="4821" w:type="dxa"/>
          </w:tcPr>
          <w:p w14:paraId="53B17E91" w14:textId="77777777" w:rsidR="00D62F82" w:rsidRPr="0098543B" w:rsidRDefault="00D62F82" w:rsidP="0098543B">
            <w:pPr>
              <w:pStyle w:val="OikoTables03Content"/>
            </w:pPr>
            <w:r w:rsidRPr="0098543B">
              <w:t>Ribes nigrum (blackcurrant)  (≈33%)</w:t>
            </w:r>
          </w:p>
        </w:tc>
        <w:tc>
          <w:tcPr>
            <w:tcW w:w="1151" w:type="dxa"/>
          </w:tcPr>
          <w:p w14:paraId="5B516740" w14:textId="77777777" w:rsidR="00D62F82" w:rsidRPr="0098543B" w:rsidRDefault="00D62F82" w:rsidP="0098543B">
            <w:pPr>
              <w:pStyle w:val="OikoTables03Content"/>
            </w:pPr>
            <w:r w:rsidRPr="0098543B">
              <w:t>1.25</w:t>
            </w:r>
          </w:p>
        </w:tc>
        <w:tc>
          <w:tcPr>
            <w:tcW w:w="1833" w:type="dxa"/>
          </w:tcPr>
          <w:p w14:paraId="5CF2F5A3" w14:textId="77777777" w:rsidR="00D62F82" w:rsidRPr="0098543B" w:rsidRDefault="00D62F82" w:rsidP="0098543B">
            <w:pPr>
              <w:pStyle w:val="OikoTables03Content"/>
            </w:pPr>
            <w:r w:rsidRPr="0098543B">
              <w:t>27</w:t>
            </w:r>
          </w:p>
        </w:tc>
        <w:tc>
          <w:tcPr>
            <w:tcW w:w="1834" w:type="dxa"/>
            <w:vAlign w:val="center"/>
          </w:tcPr>
          <w:p w14:paraId="6FC663ED" w14:textId="77777777" w:rsidR="00D62F82" w:rsidRPr="0098543B" w:rsidRDefault="00D62F82" w:rsidP="0098543B">
            <w:pPr>
              <w:pStyle w:val="OikoTables03Content"/>
            </w:pPr>
            <w:r w:rsidRPr="0098543B">
              <w:t>108</w:t>
            </w:r>
          </w:p>
        </w:tc>
      </w:tr>
      <w:tr w:rsidR="00D62F82" w:rsidRPr="0098543B" w14:paraId="2F6A59CF" w14:textId="77777777" w:rsidTr="0098543B">
        <w:tc>
          <w:tcPr>
            <w:tcW w:w="4821" w:type="dxa"/>
          </w:tcPr>
          <w:p w14:paraId="42795558" w14:textId="77777777" w:rsidR="00D62F82" w:rsidRPr="0098543B" w:rsidRDefault="00D62F82" w:rsidP="0098543B">
            <w:pPr>
              <w:pStyle w:val="OikoTables03Content"/>
            </w:pPr>
            <w:r w:rsidRPr="0098543B">
              <w:t xml:space="preserve">Rubus </w:t>
            </w:r>
            <w:proofErr w:type="spellStart"/>
            <w:r w:rsidRPr="0098543B">
              <w:t>idaeus</w:t>
            </w:r>
            <w:proofErr w:type="spellEnd"/>
            <w:r w:rsidRPr="0098543B">
              <w:t xml:space="preserve"> (Raspberry) (≈33%)</w:t>
            </w:r>
          </w:p>
        </w:tc>
        <w:tc>
          <w:tcPr>
            <w:tcW w:w="1151" w:type="dxa"/>
          </w:tcPr>
          <w:p w14:paraId="43CBDF0B" w14:textId="77777777" w:rsidR="00D62F82" w:rsidRPr="0098543B" w:rsidRDefault="00D62F82" w:rsidP="0098543B">
            <w:pPr>
              <w:pStyle w:val="OikoTables03Content"/>
            </w:pPr>
            <w:r w:rsidRPr="0098543B">
              <w:t>1.25</w:t>
            </w:r>
          </w:p>
        </w:tc>
        <w:tc>
          <w:tcPr>
            <w:tcW w:w="1833" w:type="dxa"/>
          </w:tcPr>
          <w:p w14:paraId="7F388D2C" w14:textId="77777777" w:rsidR="00D62F82" w:rsidRPr="0098543B" w:rsidRDefault="00D62F82" w:rsidP="0098543B">
            <w:pPr>
              <w:pStyle w:val="OikoTables03Content"/>
            </w:pPr>
            <w:r w:rsidRPr="0098543B">
              <w:t>26</w:t>
            </w:r>
          </w:p>
        </w:tc>
        <w:tc>
          <w:tcPr>
            <w:tcW w:w="1834" w:type="dxa"/>
            <w:vAlign w:val="center"/>
          </w:tcPr>
          <w:p w14:paraId="378CCB91" w14:textId="77777777" w:rsidR="00D62F82" w:rsidRPr="0098543B" w:rsidRDefault="00D62F82" w:rsidP="0098543B">
            <w:pPr>
              <w:pStyle w:val="OikoTables03Content"/>
            </w:pPr>
            <w:r w:rsidRPr="0098543B">
              <w:t>104</w:t>
            </w:r>
          </w:p>
        </w:tc>
      </w:tr>
      <w:tr w:rsidR="00D62F82" w:rsidRPr="0098543B" w14:paraId="61662A6C" w14:textId="77777777" w:rsidTr="0098543B">
        <w:tc>
          <w:tcPr>
            <w:tcW w:w="4821" w:type="dxa"/>
            <w:shd w:val="clear" w:color="auto" w:fill="E99E6D" w:themeFill="accent3"/>
          </w:tcPr>
          <w:p w14:paraId="1E0435C4" w14:textId="5931E197" w:rsidR="00D62F82" w:rsidRPr="0098543B" w:rsidRDefault="00D62F82" w:rsidP="0098543B">
            <w:pPr>
              <w:pStyle w:val="OikoTables03Content"/>
              <w:rPr>
                <w:b/>
                <w:bCs/>
              </w:rPr>
            </w:pPr>
            <w:r w:rsidRPr="0098543B">
              <w:rPr>
                <w:b/>
                <w:bCs/>
              </w:rPr>
              <w:t>Total number of trees &amp; shrubs</w:t>
            </w:r>
          </w:p>
        </w:tc>
        <w:tc>
          <w:tcPr>
            <w:tcW w:w="1151" w:type="dxa"/>
            <w:shd w:val="clear" w:color="auto" w:fill="E99E6D" w:themeFill="accent3"/>
          </w:tcPr>
          <w:p w14:paraId="228F5255" w14:textId="77777777" w:rsidR="00D62F82" w:rsidRPr="0098543B" w:rsidRDefault="00D62F82" w:rsidP="0098543B">
            <w:pPr>
              <w:pStyle w:val="OikoTables03Content"/>
              <w:rPr>
                <w:b/>
                <w:bCs/>
              </w:rPr>
            </w:pPr>
          </w:p>
        </w:tc>
        <w:tc>
          <w:tcPr>
            <w:tcW w:w="1833" w:type="dxa"/>
            <w:shd w:val="clear" w:color="auto" w:fill="E99E6D" w:themeFill="accent3"/>
          </w:tcPr>
          <w:p w14:paraId="6F564E35" w14:textId="77777777" w:rsidR="00D62F82" w:rsidRPr="0098543B" w:rsidRDefault="00D62F82" w:rsidP="0098543B">
            <w:pPr>
              <w:pStyle w:val="OikoTables03Content"/>
              <w:rPr>
                <w:b/>
                <w:bCs/>
              </w:rPr>
            </w:pPr>
            <w:r w:rsidRPr="0098543B">
              <w:rPr>
                <w:b/>
                <w:bCs/>
              </w:rPr>
              <w:t>133</w:t>
            </w:r>
          </w:p>
        </w:tc>
        <w:tc>
          <w:tcPr>
            <w:tcW w:w="1834" w:type="dxa"/>
            <w:shd w:val="clear" w:color="auto" w:fill="E99E6D" w:themeFill="accent3"/>
          </w:tcPr>
          <w:p w14:paraId="5D034475" w14:textId="77777777" w:rsidR="00D62F82" w:rsidRPr="0098543B" w:rsidRDefault="00D62F82" w:rsidP="0098543B">
            <w:pPr>
              <w:pStyle w:val="OikoTables03Content"/>
              <w:rPr>
                <w:b/>
                <w:bCs/>
              </w:rPr>
            </w:pPr>
            <w:r w:rsidRPr="0098543B">
              <w:rPr>
                <w:b/>
                <w:bCs/>
              </w:rPr>
              <w:t>852</w:t>
            </w:r>
          </w:p>
        </w:tc>
      </w:tr>
      <w:tr w:rsidR="004D17E1" w:rsidRPr="0098543B" w14:paraId="623E6BF2" w14:textId="77777777" w:rsidTr="0096255F">
        <w:tc>
          <w:tcPr>
            <w:tcW w:w="9639" w:type="dxa"/>
            <w:gridSpan w:val="4"/>
          </w:tcPr>
          <w:p w14:paraId="3B19A792" w14:textId="23DC856C" w:rsidR="004D17E1" w:rsidRPr="0098543B" w:rsidRDefault="004D17E1" w:rsidP="004D17E1">
            <w:pPr>
              <w:pStyle w:val="OikoTables03Content"/>
              <w:rPr>
                <w:b/>
                <w:bCs/>
              </w:rPr>
            </w:pPr>
            <w:r w:rsidRPr="006A2D45">
              <w:rPr>
                <w:i/>
                <w:iCs/>
              </w:rPr>
              <w:t>Source: OIKO elaboration based on agroforestry expert design assumptions and province-specific recommendations developed for this feasibility assessment.</w:t>
            </w:r>
          </w:p>
        </w:tc>
      </w:tr>
    </w:tbl>
    <w:p w14:paraId="00F84383" w14:textId="33B01EBB" w:rsidR="00110334" w:rsidRDefault="00110334" w:rsidP="00110334">
      <w:pPr>
        <w:spacing w:before="120" w:after="120" w:line="240" w:lineRule="auto"/>
        <w:contextualSpacing w:val="0"/>
      </w:pPr>
      <w:r>
        <w:t>An additional 4</w:t>
      </w:r>
      <w:r>
        <w:rPr>
          <w:vertAlign w:val="superscript"/>
        </w:rPr>
        <w:t>th</w:t>
      </w:r>
      <w:r>
        <w:t xml:space="preserve"> row for internal production may be established inside the protected area, immediately behind the shelterbelt. This row should be dedicated exclusively to berry shrubs, with recommended species: </w:t>
      </w:r>
      <w:r>
        <w:rPr>
          <w:i/>
          <w:iCs/>
        </w:rPr>
        <w:t>Lonicera caerulea</w:t>
      </w:r>
      <w:r>
        <w:t xml:space="preserve"> (honeyberry), </w:t>
      </w:r>
      <w:r>
        <w:rPr>
          <w:i/>
          <w:iCs/>
        </w:rPr>
        <w:t>Ribes nigrum</w:t>
      </w:r>
      <w:r>
        <w:t xml:space="preserve"> (blackcurrant) and </w:t>
      </w:r>
      <w:r>
        <w:rPr>
          <w:i/>
          <w:iCs/>
        </w:rPr>
        <w:t xml:space="preserve">Rubus </w:t>
      </w:r>
      <w:proofErr w:type="spellStart"/>
      <w:r>
        <w:rPr>
          <w:i/>
          <w:iCs/>
        </w:rPr>
        <w:t>idaeus</w:t>
      </w:r>
      <w:proofErr w:type="spellEnd"/>
      <w:r>
        <w:t xml:space="preserve"> (raspberry). These species benefit from the improved microclimatic conditions created by the shelterbelt while generating additional income through fresh fruit and processed products. Other interesting berry species to experiment/test include </w:t>
      </w:r>
      <w:r>
        <w:rPr>
          <w:i/>
          <w:iCs/>
        </w:rPr>
        <w:t>Ribes rubrum</w:t>
      </w:r>
      <w:r>
        <w:t xml:space="preserve"> (redcurrant) &amp; </w:t>
      </w:r>
      <w:r>
        <w:rPr>
          <w:i/>
          <w:iCs/>
        </w:rPr>
        <w:t>Ribes uva-crispa</w:t>
      </w:r>
      <w:r>
        <w:t xml:space="preserve"> (gooseberry), </w:t>
      </w:r>
      <w:r>
        <w:rPr>
          <w:i/>
          <w:iCs/>
        </w:rPr>
        <w:t>Vaccinium myrtillus</w:t>
      </w:r>
      <w:r>
        <w:t xml:space="preserve"> (bilberry) &amp; </w:t>
      </w:r>
      <w:r>
        <w:rPr>
          <w:i/>
          <w:iCs/>
        </w:rPr>
        <w:t xml:space="preserve">Vaccinium </w:t>
      </w:r>
      <w:proofErr w:type="spellStart"/>
      <w:r>
        <w:rPr>
          <w:i/>
          <w:iCs/>
        </w:rPr>
        <w:t>corymbosum</w:t>
      </w:r>
      <w:proofErr w:type="spellEnd"/>
      <w:r>
        <w:t xml:space="preserve"> (highbush blueberry), and </w:t>
      </w:r>
      <w:r>
        <w:rPr>
          <w:i/>
          <w:iCs/>
        </w:rPr>
        <w:t xml:space="preserve">Aronia </w:t>
      </w:r>
      <w:proofErr w:type="spellStart"/>
      <w:r>
        <w:rPr>
          <w:i/>
          <w:iCs/>
        </w:rPr>
        <w:t>melanocarpa</w:t>
      </w:r>
      <w:proofErr w:type="spellEnd"/>
      <w:r>
        <w:t xml:space="preserve"> (black chokeberry). This fourth row also enhances biodiversity, improves pollination services and creates an effective transition between the shelterbelt and vegetable production areas.</w:t>
      </w:r>
    </w:p>
    <w:p w14:paraId="1E06DFA9" w14:textId="450C8874" w:rsidR="009461F7" w:rsidRPr="00110334" w:rsidRDefault="00110334" w:rsidP="00A3159D">
      <w:pPr>
        <w:pStyle w:val="OikoSectionHeading5"/>
        <w:rPr>
          <w:b w:val="0"/>
        </w:rPr>
      </w:pPr>
      <w:bookmarkStart w:id="162" w:name="_Toc233981367"/>
      <w:r>
        <w:t>Agroforestry Model B – Two-row compact productive shelterbelt</w:t>
      </w:r>
      <w:bookmarkEnd w:id="162"/>
    </w:p>
    <w:p w14:paraId="280C5218" w14:textId="546A51E1" w:rsidR="009461F7" w:rsidRDefault="00110334" w:rsidP="00EB489E">
      <w:r>
        <w:t>This simplified model is recommended for smaller vegetable farms. The shrub layer contains a greater diversity of productive species, while the tree layer combines rapid protection with selected fruit trees. A single central drip irrigation line is recommended for this system.</w:t>
      </w:r>
    </w:p>
    <w:p w14:paraId="53B3FB14" w14:textId="77777777" w:rsidR="0098543B" w:rsidRDefault="0098543B" w:rsidP="00EB489E"/>
    <w:p w14:paraId="0DD409BF" w14:textId="2E9B6021" w:rsidR="00110334" w:rsidRPr="00110334" w:rsidRDefault="00110334" w:rsidP="0098543B">
      <w:pPr>
        <w:pStyle w:val="Caption"/>
        <w:framePr w:wrap="notBeside"/>
        <w:rPr>
          <w:lang w:val="en-US"/>
        </w:rPr>
      </w:pPr>
      <w:r>
        <w:rPr>
          <w:lang w:val="en-US"/>
        </w:rPr>
        <w:t xml:space="preserve">Table </w:t>
      </w:r>
      <w:r w:rsidR="00A6733C">
        <w:rPr>
          <w:lang w:val="en-US"/>
        </w:rPr>
        <w:t>51</w:t>
      </w:r>
      <w:r>
        <w:rPr>
          <w:lang w:val="en-US"/>
        </w:rPr>
        <w:t>. Number of trees and shrubs required in agroforestry model B for Uvurkhangai</w:t>
      </w:r>
    </w:p>
    <w:tbl>
      <w:tblPr>
        <w:tblStyle w:val="TableGrid"/>
        <w:tblW w:w="9639" w:type="dxa"/>
        <w:tblInd w:w="-5" w:type="dxa"/>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4821"/>
        <w:gridCol w:w="1151"/>
        <w:gridCol w:w="1833"/>
        <w:gridCol w:w="1834"/>
      </w:tblGrid>
      <w:tr w:rsidR="00110334" w:rsidRPr="00110334" w14:paraId="482EFB2E" w14:textId="77777777" w:rsidTr="00467D47">
        <w:tc>
          <w:tcPr>
            <w:tcW w:w="4821" w:type="dxa"/>
            <w:shd w:val="clear" w:color="auto" w:fill="E99E6D" w:themeFill="accent3"/>
          </w:tcPr>
          <w:p w14:paraId="2770A898" w14:textId="4B22A2E4" w:rsidR="00110334" w:rsidRPr="00110334" w:rsidRDefault="00110334" w:rsidP="00467D47">
            <w:pPr>
              <w:pStyle w:val="OikoTables02"/>
            </w:pPr>
            <w:r>
              <w:t>Type of rows – Shelterbelt</w:t>
            </w:r>
          </w:p>
        </w:tc>
        <w:tc>
          <w:tcPr>
            <w:tcW w:w="1151" w:type="dxa"/>
            <w:shd w:val="clear" w:color="auto" w:fill="E99E6D" w:themeFill="accent3"/>
          </w:tcPr>
          <w:p w14:paraId="28009B1F" w14:textId="77777777" w:rsidR="00110334" w:rsidRPr="00110334" w:rsidRDefault="00110334" w:rsidP="00467D47">
            <w:pPr>
              <w:pStyle w:val="OikoTables02"/>
            </w:pPr>
            <w:r>
              <w:t>Spacing (m)</w:t>
            </w:r>
          </w:p>
        </w:tc>
        <w:tc>
          <w:tcPr>
            <w:tcW w:w="1833" w:type="dxa"/>
            <w:shd w:val="clear" w:color="auto" w:fill="E99E6D" w:themeFill="accent3"/>
          </w:tcPr>
          <w:p w14:paraId="3A4BCE2D" w14:textId="3466D1E1" w:rsidR="00110334" w:rsidRPr="00110334" w:rsidRDefault="00110334" w:rsidP="00467D47">
            <w:pPr>
              <w:pStyle w:val="OikoTables02"/>
            </w:pPr>
            <w:r>
              <w:t>Number of trees per 100m</w:t>
            </w:r>
          </w:p>
        </w:tc>
        <w:tc>
          <w:tcPr>
            <w:tcW w:w="1834" w:type="dxa"/>
            <w:shd w:val="clear" w:color="auto" w:fill="E99E6D" w:themeFill="accent3"/>
          </w:tcPr>
          <w:p w14:paraId="09316CFE" w14:textId="6D6BE507" w:rsidR="00110334" w:rsidRPr="00110334" w:rsidRDefault="00110334" w:rsidP="00467D47">
            <w:pPr>
              <w:pStyle w:val="OikoTables02"/>
            </w:pPr>
            <w:r>
              <w:t>Number of trees per ha (400m/l)</w:t>
            </w:r>
          </w:p>
        </w:tc>
      </w:tr>
      <w:tr w:rsidR="00110334" w:rsidRPr="00110334" w14:paraId="08D4A869" w14:textId="77777777" w:rsidTr="00467D47">
        <w:tc>
          <w:tcPr>
            <w:tcW w:w="4821" w:type="dxa"/>
            <w:shd w:val="clear" w:color="auto" w:fill="F6D7C4" w:themeFill="accent3" w:themeFillTint="66"/>
          </w:tcPr>
          <w:p w14:paraId="4D66E24F" w14:textId="77777777" w:rsidR="00110334" w:rsidRPr="00467D47" w:rsidRDefault="00110334" w:rsidP="00467D47">
            <w:pPr>
              <w:pStyle w:val="OikoTables03Content"/>
              <w:rPr>
                <w:i/>
                <w:iCs/>
              </w:rPr>
            </w:pPr>
            <w:r w:rsidRPr="00467D47">
              <w:rPr>
                <w:i/>
                <w:iCs/>
              </w:rPr>
              <w:t>Row 1 - Mixed shrub belt Windward side</w:t>
            </w:r>
          </w:p>
        </w:tc>
        <w:tc>
          <w:tcPr>
            <w:tcW w:w="1151" w:type="dxa"/>
            <w:shd w:val="clear" w:color="auto" w:fill="F6D7C4" w:themeFill="accent3" w:themeFillTint="66"/>
          </w:tcPr>
          <w:p w14:paraId="7F04DF4A" w14:textId="77777777" w:rsidR="00110334" w:rsidRPr="00467D47" w:rsidRDefault="00110334" w:rsidP="00467D47">
            <w:pPr>
              <w:pStyle w:val="OikoTables03Content"/>
              <w:rPr>
                <w:i/>
                <w:iCs/>
              </w:rPr>
            </w:pPr>
          </w:p>
        </w:tc>
        <w:tc>
          <w:tcPr>
            <w:tcW w:w="1833" w:type="dxa"/>
            <w:shd w:val="clear" w:color="auto" w:fill="F6D7C4" w:themeFill="accent3" w:themeFillTint="66"/>
          </w:tcPr>
          <w:p w14:paraId="78F71DFA" w14:textId="77777777" w:rsidR="00110334" w:rsidRPr="00467D47" w:rsidRDefault="00110334" w:rsidP="00467D47">
            <w:pPr>
              <w:pStyle w:val="OikoTables03Content"/>
              <w:rPr>
                <w:i/>
                <w:iCs/>
              </w:rPr>
            </w:pPr>
            <w:r w:rsidRPr="00467D47">
              <w:rPr>
                <w:i/>
                <w:iCs/>
              </w:rPr>
              <w:t>67</w:t>
            </w:r>
          </w:p>
        </w:tc>
        <w:tc>
          <w:tcPr>
            <w:tcW w:w="1834" w:type="dxa"/>
            <w:shd w:val="clear" w:color="auto" w:fill="F6D7C4" w:themeFill="accent3" w:themeFillTint="66"/>
            <w:vAlign w:val="center"/>
          </w:tcPr>
          <w:p w14:paraId="3B460904" w14:textId="77777777" w:rsidR="00110334" w:rsidRPr="00467D47" w:rsidRDefault="00110334" w:rsidP="00467D47">
            <w:pPr>
              <w:pStyle w:val="OikoTables03Content"/>
              <w:rPr>
                <w:i/>
                <w:iCs/>
              </w:rPr>
            </w:pPr>
            <w:r w:rsidRPr="00467D47">
              <w:rPr>
                <w:i/>
                <w:iCs/>
              </w:rPr>
              <w:t>268</w:t>
            </w:r>
          </w:p>
        </w:tc>
      </w:tr>
      <w:tr w:rsidR="00110334" w:rsidRPr="00110334" w14:paraId="1AEC3E46" w14:textId="77777777" w:rsidTr="0098543B">
        <w:tc>
          <w:tcPr>
            <w:tcW w:w="4821" w:type="dxa"/>
          </w:tcPr>
          <w:p w14:paraId="614D8255" w14:textId="77777777" w:rsidR="00110334" w:rsidRPr="00110334" w:rsidRDefault="00110334" w:rsidP="00467D47">
            <w:pPr>
              <w:pStyle w:val="OikoTables03Content"/>
            </w:pPr>
            <w:r>
              <w:rPr>
                <w:i/>
                <w:iCs/>
              </w:rPr>
              <w:t>Caragana arborescens</w:t>
            </w:r>
            <w:r>
              <w:rPr>
                <w:rStyle w:val="Strong"/>
                <w:rFonts w:cs="Times New Roman"/>
              </w:rPr>
              <w:t xml:space="preserve"> </w:t>
            </w:r>
            <w:r>
              <w:rPr>
                <w:rStyle w:val="Strong"/>
                <w:rFonts w:cs="Times New Roman"/>
                <w:b w:val="0"/>
                <w:bCs w:val="0"/>
              </w:rPr>
              <w:t>&amp;</w:t>
            </w:r>
            <w:r>
              <w:rPr>
                <w:rStyle w:val="Strong"/>
                <w:b w:val="0"/>
                <w:bCs w:val="0"/>
              </w:rPr>
              <w:t xml:space="preserve"> </w:t>
            </w:r>
            <w:proofErr w:type="spellStart"/>
            <w:r>
              <w:rPr>
                <w:rStyle w:val="Strong"/>
                <w:rFonts w:cs="Times New Roman"/>
                <w:b w:val="0"/>
                <w:bCs w:val="0"/>
              </w:rPr>
              <w:t>microphylla</w:t>
            </w:r>
            <w:proofErr w:type="spellEnd"/>
            <w:r>
              <w:t xml:space="preserve"> - 25%</w:t>
            </w:r>
          </w:p>
        </w:tc>
        <w:tc>
          <w:tcPr>
            <w:tcW w:w="1151" w:type="dxa"/>
          </w:tcPr>
          <w:p w14:paraId="758DEDF0" w14:textId="77777777" w:rsidR="00110334" w:rsidRPr="00110334" w:rsidRDefault="00110334" w:rsidP="00467D47">
            <w:pPr>
              <w:pStyle w:val="OikoTables03Content"/>
            </w:pPr>
            <w:r>
              <w:t>1.5</w:t>
            </w:r>
          </w:p>
        </w:tc>
        <w:tc>
          <w:tcPr>
            <w:tcW w:w="1833" w:type="dxa"/>
          </w:tcPr>
          <w:p w14:paraId="60EE0214" w14:textId="77777777" w:rsidR="00110334" w:rsidRPr="00110334" w:rsidRDefault="00110334" w:rsidP="00467D47">
            <w:pPr>
              <w:pStyle w:val="OikoTables03Content"/>
            </w:pPr>
            <w:r>
              <w:t>17</w:t>
            </w:r>
          </w:p>
        </w:tc>
        <w:tc>
          <w:tcPr>
            <w:tcW w:w="1834" w:type="dxa"/>
            <w:vAlign w:val="center"/>
          </w:tcPr>
          <w:p w14:paraId="25D296B4" w14:textId="77777777" w:rsidR="00110334" w:rsidRPr="00110334" w:rsidRDefault="00110334" w:rsidP="00467D47">
            <w:pPr>
              <w:pStyle w:val="OikoTables03Content"/>
            </w:pPr>
            <w:r>
              <w:t>68</w:t>
            </w:r>
          </w:p>
        </w:tc>
      </w:tr>
      <w:tr w:rsidR="00110334" w:rsidRPr="00110334" w14:paraId="79D45D71" w14:textId="77777777" w:rsidTr="0098543B">
        <w:tc>
          <w:tcPr>
            <w:tcW w:w="4821" w:type="dxa"/>
          </w:tcPr>
          <w:p w14:paraId="741DD6D2" w14:textId="77777777" w:rsidR="00110334" w:rsidRPr="00110334" w:rsidRDefault="00110334" w:rsidP="00467D47">
            <w:pPr>
              <w:pStyle w:val="OikoTables03Content"/>
            </w:pPr>
            <w:r>
              <w:t>Sea Buckthorn (</w:t>
            </w:r>
            <w:proofErr w:type="spellStart"/>
            <w:r>
              <w:rPr>
                <w:i/>
                <w:iCs/>
              </w:rPr>
              <w:t>Hippophae</w:t>
            </w:r>
            <w:proofErr w:type="spellEnd"/>
            <w:r>
              <w:rPr>
                <w:i/>
                <w:iCs/>
              </w:rPr>
              <w:t xml:space="preserve"> </w:t>
            </w:r>
            <w:proofErr w:type="spellStart"/>
            <w:r>
              <w:rPr>
                <w:i/>
                <w:iCs/>
              </w:rPr>
              <w:t>rhamnoides</w:t>
            </w:r>
            <w:proofErr w:type="spellEnd"/>
            <w:r>
              <w:t>) – 25%</w:t>
            </w:r>
          </w:p>
        </w:tc>
        <w:tc>
          <w:tcPr>
            <w:tcW w:w="1151" w:type="dxa"/>
          </w:tcPr>
          <w:p w14:paraId="37C73CDC" w14:textId="77777777" w:rsidR="00110334" w:rsidRPr="00110334" w:rsidRDefault="00110334" w:rsidP="00467D47">
            <w:pPr>
              <w:pStyle w:val="OikoTables03Content"/>
            </w:pPr>
            <w:r>
              <w:t>1.5</w:t>
            </w:r>
          </w:p>
        </w:tc>
        <w:tc>
          <w:tcPr>
            <w:tcW w:w="1833" w:type="dxa"/>
          </w:tcPr>
          <w:p w14:paraId="7176A673" w14:textId="77777777" w:rsidR="00110334" w:rsidRPr="00110334" w:rsidRDefault="00110334" w:rsidP="00467D47">
            <w:pPr>
              <w:pStyle w:val="OikoTables03Content"/>
            </w:pPr>
            <w:r>
              <w:t>17</w:t>
            </w:r>
          </w:p>
        </w:tc>
        <w:tc>
          <w:tcPr>
            <w:tcW w:w="1834" w:type="dxa"/>
          </w:tcPr>
          <w:p w14:paraId="6FDC8482" w14:textId="77777777" w:rsidR="00110334" w:rsidRPr="00110334" w:rsidRDefault="00110334" w:rsidP="00467D47">
            <w:pPr>
              <w:pStyle w:val="OikoTables03Content"/>
            </w:pPr>
            <w:r>
              <w:t>68</w:t>
            </w:r>
          </w:p>
        </w:tc>
      </w:tr>
      <w:tr w:rsidR="00110334" w:rsidRPr="00110334" w14:paraId="7DAE53DD" w14:textId="77777777" w:rsidTr="0098543B">
        <w:tc>
          <w:tcPr>
            <w:tcW w:w="4821" w:type="dxa"/>
          </w:tcPr>
          <w:p w14:paraId="6311BFBE" w14:textId="77777777" w:rsidR="00110334" w:rsidRPr="00110334" w:rsidRDefault="00110334" w:rsidP="00467D47">
            <w:pPr>
              <w:pStyle w:val="OikoTables03Content"/>
            </w:pPr>
            <w:r>
              <w:t>Hawthorn (</w:t>
            </w:r>
            <w:r>
              <w:rPr>
                <w:i/>
                <w:iCs/>
              </w:rPr>
              <w:t>Crataegus spp.</w:t>
            </w:r>
            <w:r>
              <w:t>) – 25%</w:t>
            </w:r>
          </w:p>
        </w:tc>
        <w:tc>
          <w:tcPr>
            <w:tcW w:w="1151" w:type="dxa"/>
          </w:tcPr>
          <w:p w14:paraId="3AF5DA6E" w14:textId="77777777" w:rsidR="00110334" w:rsidRPr="00110334" w:rsidRDefault="00110334" w:rsidP="00467D47">
            <w:pPr>
              <w:pStyle w:val="OikoTables03Content"/>
            </w:pPr>
            <w:r>
              <w:t>1.5</w:t>
            </w:r>
          </w:p>
        </w:tc>
        <w:tc>
          <w:tcPr>
            <w:tcW w:w="1833" w:type="dxa"/>
          </w:tcPr>
          <w:p w14:paraId="04C971DA" w14:textId="77777777" w:rsidR="00110334" w:rsidRPr="00110334" w:rsidRDefault="00110334" w:rsidP="00467D47">
            <w:pPr>
              <w:pStyle w:val="OikoTables03Content"/>
            </w:pPr>
            <w:r>
              <w:t>17</w:t>
            </w:r>
          </w:p>
        </w:tc>
        <w:tc>
          <w:tcPr>
            <w:tcW w:w="1834" w:type="dxa"/>
          </w:tcPr>
          <w:p w14:paraId="3F215B0A" w14:textId="77777777" w:rsidR="00110334" w:rsidRPr="00110334" w:rsidRDefault="00110334" w:rsidP="00467D47">
            <w:pPr>
              <w:pStyle w:val="OikoTables03Content"/>
            </w:pPr>
            <w:r>
              <w:t>68</w:t>
            </w:r>
          </w:p>
        </w:tc>
      </w:tr>
      <w:tr w:rsidR="00110334" w:rsidRPr="00110334" w14:paraId="453BF9F5" w14:textId="77777777" w:rsidTr="0098543B">
        <w:tc>
          <w:tcPr>
            <w:tcW w:w="4821" w:type="dxa"/>
          </w:tcPr>
          <w:p w14:paraId="23D43F32" w14:textId="77777777" w:rsidR="00110334" w:rsidRPr="00110334" w:rsidRDefault="00110334" w:rsidP="00467D47">
            <w:pPr>
              <w:pStyle w:val="OikoTables03Content"/>
            </w:pPr>
            <w:r>
              <w:rPr>
                <w:i/>
                <w:iCs/>
              </w:rPr>
              <w:t>Lonicera caerulea</w:t>
            </w:r>
            <w:r>
              <w:t xml:space="preserve"> (Honeyberry/</w:t>
            </w:r>
            <w:proofErr w:type="spellStart"/>
            <w:r>
              <w:t>Haskap</w:t>
            </w:r>
            <w:proofErr w:type="spellEnd"/>
            <w:r>
              <w:t>) – 25%</w:t>
            </w:r>
          </w:p>
        </w:tc>
        <w:tc>
          <w:tcPr>
            <w:tcW w:w="1151" w:type="dxa"/>
          </w:tcPr>
          <w:p w14:paraId="20892906" w14:textId="77777777" w:rsidR="00110334" w:rsidRPr="00110334" w:rsidRDefault="00110334" w:rsidP="00467D47">
            <w:pPr>
              <w:pStyle w:val="OikoTables03Content"/>
            </w:pPr>
            <w:r>
              <w:t>1.5</w:t>
            </w:r>
          </w:p>
        </w:tc>
        <w:tc>
          <w:tcPr>
            <w:tcW w:w="1833" w:type="dxa"/>
          </w:tcPr>
          <w:p w14:paraId="48F78613" w14:textId="77777777" w:rsidR="00110334" w:rsidRPr="00110334" w:rsidRDefault="00110334" w:rsidP="00467D47">
            <w:pPr>
              <w:pStyle w:val="OikoTables03Content"/>
            </w:pPr>
            <w:r>
              <w:t>16</w:t>
            </w:r>
          </w:p>
        </w:tc>
        <w:tc>
          <w:tcPr>
            <w:tcW w:w="1834" w:type="dxa"/>
            <w:vAlign w:val="center"/>
          </w:tcPr>
          <w:p w14:paraId="5ADF57E6" w14:textId="77777777" w:rsidR="00110334" w:rsidRPr="00110334" w:rsidRDefault="00110334" w:rsidP="00467D47">
            <w:pPr>
              <w:pStyle w:val="OikoTables03Content"/>
            </w:pPr>
            <w:r>
              <w:t>64</w:t>
            </w:r>
          </w:p>
        </w:tc>
      </w:tr>
      <w:tr w:rsidR="00110334" w:rsidRPr="00110334" w14:paraId="79634892" w14:textId="77777777" w:rsidTr="00467D47">
        <w:tc>
          <w:tcPr>
            <w:tcW w:w="4821" w:type="dxa"/>
            <w:shd w:val="clear" w:color="auto" w:fill="F6D7C4" w:themeFill="accent3" w:themeFillTint="66"/>
          </w:tcPr>
          <w:p w14:paraId="28F0F8F5" w14:textId="77777777" w:rsidR="00110334" w:rsidRPr="00467D47" w:rsidRDefault="00110334" w:rsidP="00467D47">
            <w:pPr>
              <w:pStyle w:val="OikoTables03Content"/>
              <w:rPr>
                <w:i/>
                <w:iCs/>
              </w:rPr>
            </w:pPr>
            <w:r w:rsidRPr="00467D47">
              <w:rPr>
                <w:i/>
                <w:iCs/>
              </w:rPr>
              <w:t>Row 2 - Fast-growing protection layer</w:t>
            </w:r>
          </w:p>
        </w:tc>
        <w:tc>
          <w:tcPr>
            <w:tcW w:w="1151" w:type="dxa"/>
            <w:shd w:val="clear" w:color="auto" w:fill="F6D7C4" w:themeFill="accent3" w:themeFillTint="66"/>
          </w:tcPr>
          <w:p w14:paraId="3F8B9763" w14:textId="77777777" w:rsidR="00110334" w:rsidRPr="00467D47" w:rsidRDefault="00110334" w:rsidP="00467D47">
            <w:pPr>
              <w:pStyle w:val="OikoTables03Content"/>
              <w:rPr>
                <w:i/>
                <w:iCs/>
              </w:rPr>
            </w:pPr>
          </w:p>
        </w:tc>
        <w:tc>
          <w:tcPr>
            <w:tcW w:w="1833" w:type="dxa"/>
            <w:shd w:val="clear" w:color="auto" w:fill="F6D7C4" w:themeFill="accent3" w:themeFillTint="66"/>
          </w:tcPr>
          <w:p w14:paraId="693B7645" w14:textId="77777777" w:rsidR="00110334" w:rsidRPr="00467D47" w:rsidRDefault="00110334" w:rsidP="00467D47">
            <w:pPr>
              <w:pStyle w:val="OikoTables03Content"/>
              <w:rPr>
                <w:i/>
                <w:iCs/>
              </w:rPr>
            </w:pPr>
            <w:r w:rsidRPr="00467D47">
              <w:rPr>
                <w:i/>
                <w:iCs/>
              </w:rPr>
              <w:t>33</w:t>
            </w:r>
          </w:p>
        </w:tc>
        <w:tc>
          <w:tcPr>
            <w:tcW w:w="1834" w:type="dxa"/>
            <w:shd w:val="clear" w:color="auto" w:fill="F6D7C4" w:themeFill="accent3" w:themeFillTint="66"/>
          </w:tcPr>
          <w:p w14:paraId="293535F2" w14:textId="77777777" w:rsidR="00110334" w:rsidRPr="00467D47" w:rsidRDefault="00110334" w:rsidP="00467D47">
            <w:pPr>
              <w:pStyle w:val="OikoTables03Content"/>
              <w:rPr>
                <w:i/>
                <w:iCs/>
              </w:rPr>
            </w:pPr>
            <w:r w:rsidRPr="00467D47">
              <w:rPr>
                <w:i/>
                <w:iCs/>
              </w:rPr>
              <w:t>132</w:t>
            </w:r>
          </w:p>
        </w:tc>
      </w:tr>
      <w:tr w:rsidR="00110334" w:rsidRPr="00110334" w14:paraId="5EC2F78A" w14:textId="77777777" w:rsidTr="0098543B">
        <w:tc>
          <w:tcPr>
            <w:tcW w:w="4821" w:type="dxa"/>
          </w:tcPr>
          <w:p w14:paraId="70E40A10" w14:textId="77777777" w:rsidR="00110334" w:rsidRPr="00467D47" w:rsidRDefault="00110334" w:rsidP="00467D47">
            <w:pPr>
              <w:pStyle w:val="OikoTables03Content"/>
            </w:pPr>
            <w:r w:rsidRPr="00467D47">
              <w:rPr>
                <w:rStyle w:val="Strong"/>
                <w:b w:val="0"/>
                <w:bCs w:val="0"/>
              </w:rPr>
              <w:t>Ulmus pumila</w:t>
            </w:r>
            <w:r w:rsidRPr="00467D47">
              <w:t xml:space="preserve"> (≈30%)</w:t>
            </w:r>
          </w:p>
        </w:tc>
        <w:tc>
          <w:tcPr>
            <w:tcW w:w="1151" w:type="dxa"/>
          </w:tcPr>
          <w:p w14:paraId="7762FFEB" w14:textId="77777777" w:rsidR="00110334" w:rsidRPr="00467D47" w:rsidRDefault="00110334" w:rsidP="00467D47">
            <w:pPr>
              <w:pStyle w:val="OikoTables03Content"/>
            </w:pPr>
            <w:r w:rsidRPr="00467D47">
              <w:t>3</w:t>
            </w:r>
          </w:p>
        </w:tc>
        <w:tc>
          <w:tcPr>
            <w:tcW w:w="1833" w:type="dxa"/>
          </w:tcPr>
          <w:p w14:paraId="2C00E12B" w14:textId="77777777" w:rsidR="00110334" w:rsidRPr="00467D47" w:rsidRDefault="00110334" w:rsidP="00467D47">
            <w:pPr>
              <w:pStyle w:val="OikoTables03Content"/>
            </w:pPr>
            <w:r w:rsidRPr="00467D47">
              <w:t>10</w:t>
            </w:r>
          </w:p>
        </w:tc>
        <w:tc>
          <w:tcPr>
            <w:tcW w:w="1834" w:type="dxa"/>
            <w:vAlign w:val="center"/>
          </w:tcPr>
          <w:p w14:paraId="38CAFFC5" w14:textId="77777777" w:rsidR="00110334" w:rsidRPr="00467D47" w:rsidRDefault="00110334" w:rsidP="00467D47">
            <w:pPr>
              <w:pStyle w:val="OikoTables03Content"/>
            </w:pPr>
            <w:r w:rsidRPr="00467D47">
              <w:t>40</w:t>
            </w:r>
          </w:p>
        </w:tc>
      </w:tr>
      <w:tr w:rsidR="00110334" w:rsidRPr="00110334" w14:paraId="566DA9DA" w14:textId="77777777" w:rsidTr="0098543B">
        <w:tc>
          <w:tcPr>
            <w:tcW w:w="4821" w:type="dxa"/>
          </w:tcPr>
          <w:p w14:paraId="789F5434" w14:textId="77777777" w:rsidR="00110334" w:rsidRPr="00467D47" w:rsidRDefault="00110334" w:rsidP="00467D47">
            <w:pPr>
              <w:pStyle w:val="OikoTables03Content"/>
            </w:pPr>
            <w:r w:rsidRPr="00467D47">
              <w:t xml:space="preserve">Poplar (Populus </w:t>
            </w:r>
            <w:proofErr w:type="spellStart"/>
            <w:r w:rsidRPr="00467D47">
              <w:t>spp</w:t>
            </w:r>
            <w:proofErr w:type="spellEnd"/>
            <w:r w:rsidRPr="00467D47">
              <w:t>) (≈30%)</w:t>
            </w:r>
          </w:p>
        </w:tc>
        <w:tc>
          <w:tcPr>
            <w:tcW w:w="1151" w:type="dxa"/>
          </w:tcPr>
          <w:p w14:paraId="136E3E63" w14:textId="77777777" w:rsidR="00110334" w:rsidRPr="00467D47" w:rsidRDefault="00110334" w:rsidP="00467D47">
            <w:pPr>
              <w:pStyle w:val="OikoTables03Content"/>
            </w:pPr>
            <w:r w:rsidRPr="00467D47">
              <w:t xml:space="preserve">3 </w:t>
            </w:r>
          </w:p>
        </w:tc>
        <w:tc>
          <w:tcPr>
            <w:tcW w:w="1833" w:type="dxa"/>
          </w:tcPr>
          <w:p w14:paraId="075C1A3C" w14:textId="77777777" w:rsidR="00110334" w:rsidRPr="00467D47" w:rsidRDefault="00110334" w:rsidP="00467D47">
            <w:pPr>
              <w:pStyle w:val="OikoTables03Content"/>
            </w:pPr>
            <w:r w:rsidRPr="00467D47">
              <w:t>10</w:t>
            </w:r>
          </w:p>
        </w:tc>
        <w:tc>
          <w:tcPr>
            <w:tcW w:w="1834" w:type="dxa"/>
            <w:vAlign w:val="center"/>
          </w:tcPr>
          <w:p w14:paraId="73672119" w14:textId="77777777" w:rsidR="00110334" w:rsidRPr="00467D47" w:rsidRDefault="00110334" w:rsidP="00467D47">
            <w:pPr>
              <w:pStyle w:val="OikoTables03Content"/>
            </w:pPr>
            <w:r w:rsidRPr="00467D47">
              <w:t>40</w:t>
            </w:r>
          </w:p>
        </w:tc>
      </w:tr>
      <w:tr w:rsidR="00110334" w:rsidRPr="00110334" w14:paraId="6E336CF8" w14:textId="77777777" w:rsidTr="0098543B">
        <w:tc>
          <w:tcPr>
            <w:tcW w:w="4821" w:type="dxa"/>
          </w:tcPr>
          <w:p w14:paraId="4819EE15" w14:textId="77777777" w:rsidR="00110334" w:rsidRPr="00467D47" w:rsidRDefault="00110334" w:rsidP="00467D47">
            <w:pPr>
              <w:pStyle w:val="OikoTables03Content"/>
            </w:pPr>
            <w:r w:rsidRPr="00467D47">
              <w:rPr>
                <w:rStyle w:val="Strong"/>
                <w:b w:val="0"/>
                <w:bCs w:val="0"/>
              </w:rPr>
              <w:t>Elaeagnus angustifolia</w:t>
            </w:r>
            <w:r w:rsidRPr="00467D47">
              <w:t xml:space="preserve"> (≈20%)</w:t>
            </w:r>
          </w:p>
        </w:tc>
        <w:tc>
          <w:tcPr>
            <w:tcW w:w="1151" w:type="dxa"/>
          </w:tcPr>
          <w:p w14:paraId="25CF65F6" w14:textId="77777777" w:rsidR="00110334" w:rsidRPr="00467D47" w:rsidRDefault="00110334" w:rsidP="00467D47">
            <w:pPr>
              <w:pStyle w:val="OikoTables03Content"/>
            </w:pPr>
            <w:r w:rsidRPr="00467D47">
              <w:t>3</w:t>
            </w:r>
          </w:p>
        </w:tc>
        <w:tc>
          <w:tcPr>
            <w:tcW w:w="1833" w:type="dxa"/>
          </w:tcPr>
          <w:p w14:paraId="2087490A" w14:textId="77777777" w:rsidR="00110334" w:rsidRPr="00467D47" w:rsidRDefault="00110334" w:rsidP="00467D47">
            <w:pPr>
              <w:pStyle w:val="OikoTables03Content"/>
            </w:pPr>
            <w:r w:rsidRPr="00467D47">
              <w:t>7</w:t>
            </w:r>
          </w:p>
        </w:tc>
        <w:tc>
          <w:tcPr>
            <w:tcW w:w="1834" w:type="dxa"/>
            <w:vAlign w:val="center"/>
          </w:tcPr>
          <w:p w14:paraId="0109C0BB" w14:textId="77777777" w:rsidR="00110334" w:rsidRPr="00467D47" w:rsidRDefault="00110334" w:rsidP="00467D47">
            <w:pPr>
              <w:pStyle w:val="OikoTables03Content"/>
            </w:pPr>
            <w:r w:rsidRPr="00467D47">
              <w:t>28</w:t>
            </w:r>
          </w:p>
        </w:tc>
      </w:tr>
      <w:tr w:rsidR="00110334" w:rsidRPr="00110334" w14:paraId="682353F7" w14:textId="77777777" w:rsidTr="0098543B">
        <w:tc>
          <w:tcPr>
            <w:tcW w:w="4821" w:type="dxa"/>
          </w:tcPr>
          <w:p w14:paraId="45E85849" w14:textId="77777777" w:rsidR="00110334" w:rsidRPr="00467D47" w:rsidRDefault="00110334" w:rsidP="00467D47">
            <w:pPr>
              <w:pStyle w:val="OikoTables03Content"/>
            </w:pPr>
            <w:r w:rsidRPr="00467D47">
              <w:t xml:space="preserve">Malus </w:t>
            </w:r>
            <w:proofErr w:type="spellStart"/>
            <w:r w:rsidRPr="00467D47">
              <w:t>baccata</w:t>
            </w:r>
            <w:proofErr w:type="spellEnd"/>
            <w:r w:rsidRPr="00467D47">
              <w:t xml:space="preserve"> (Siberian Crab Apple) ≈20%</w:t>
            </w:r>
          </w:p>
        </w:tc>
        <w:tc>
          <w:tcPr>
            <w:tcW w:w="1151" w:type="dxa"/>
          </w:tcPr>
          <w:p w14:paraId="7D8FC700" w14:textId="77777777" w:rsidR="00110334" w:rsidRPr="00467D47" w:rsidRDefault="00110334" w:rsidP="00467D47">
            <w:pPr>
              <w:pStyle w:val="OikoTables03Content"/>
            </w:pPr>
            <w:r w:rsidRPr="00467D47">
              <w:t>3</w:t>
            </w:r>
          </w:p>
        </w:tc>
        <w:tc>
          <w:tcPr>
            <w:tcW w:w="1833" w:type="dxa"/>
          </w:tcPr>
          <w:p w14:paraId="0FD24D14" w14:textId="77777777" w:rsidR="00110334" w:rsidRPr="00467D47" w:rsidRDefault="00110334" w:rsidP="00467D47">
            <w:pPr>
              <w:pStyle w:val="OikoTables03Content"/>
            </w:pPr>
            <w:r w:rsidRPr="00467D47">
              <w:t>6</w:t>
            </w:r>
          </w:p>
        </w:tc>
        <w:tc>
          <w:tcPr>
            <w:tcW w:w="1834" w:type="dxa"/>
          </w:tcPr>
          <w:p w14:paraId="11E3B855" w14:textId="77777777" w:rsidR="00110334" w:rsidRPr="00467D47" w:rsidRDefault="00110334" w:rsidP="00467D47">
            <w:pPr>
              <w:pStyle w:val="OikoTables03Content"/>
            </w:pPr>
            <w:r w:rsidRPr="00467D47">
              <w:t>24</w:t>
            </w:r>
          </w:p>
        </w:tc>
      </w:tr>
      <w:tr w:rsidR="00110334" w:rsidRPr="00110334" w14:paraId="4DED47C0" w14:textId="77777777" w:rsidTr="00467D47">
        <w:tc>
          <w:tcPr>
            <w:tcW w:w="4821" w:type="dxa"/>
            <w:shd w:val="clear" w:color="auto" w:fill="E99E6D" w:themeFill="accent3"/>
          </w:tcPr>
          <w:p w14:paraId="2E5928B0" w14:textId="400A3C1D" w:rsidR="00110334" w:rsidRPr="00467D47" w:rsidRDefault="00110334" w:rsidP="00467D47">
            <w:pPr>
              <w:pStyle w:val="OikoTables03Content"/>
              <w:rPr>
                <w:b/>
                <w:bCs/>
              </w:rPr>
            </w:pPr>
            <w:r w:rsidRPr="00467D47">
              <w:rPr>
                <w:b/>
                <w:bCs/>
              </w:rPr>
              <w:t>Total number of trees &amp; shrubs</w:t>
            </w:r>
          </w:p>
        </w:tc>
        <w:tc>
          <w:tcPr>
            <w:tcW w:w="1151" w:type="dxa"/>
            <w:shd w:val="clear" w:color="auto" w:fill="E99E6D" w:themeFill="accent3"/>
          </w:tcPr>
          <w:p w14:paraId="2D7AA861" w14:textId="77777777" w:rsidR="00110334" w:rsidRPr="00467D47" w:rsidRDefault="00110334" w:rsidP="00467D47">
            <w:pPr>
              <w:pStyle w:val="OikoTables03Content"/>
              <w:rPr>
                <w:b/>
                <w:bCs/>
              </w:rPr>
            </w:pPr>
          </w:p>
        </w:tc>
        <w:tc>
          <w:tcPr>
            <w:tcW w:w="1833" w:type="dxa"/>
            <w:shd w:val="clear" w:color="auto" w:fill="E99E6D" w:themeFill="accent3"/>
          </w:tcPr>
          <w:p w14:paraId="559A4CCE" w14:textId="77777777" w:rsidR="00110334" w:rsidRPr="00467D47" w:rsidRDefault="00110334" w:rsidP="00467D47">
            <w:pPr>
              <w:pStyle w:val="OikoTables03Content"/>
              <w:rPr>
                <w:b/>
                <w:bCs/>
              </w:rPr>
            </w:pPr>
            <w:r w:rsidRPr="00467D47">
              <w:rPr>
                <w:b/>
                <w:bCs/>
              </w:rPr>
              <w:t>100</w:t>
            </w:r>
          </w:p>
        </w:tc>
        <w:tc>
          <w:tcPr>
            <w:tcW w:w="1834" w:type="dxa"/>
            <w:shd w:val="clear" w:color="auto" w:fill="E99E6D" w:themeFill="accent3"/>
          </w:tcPr>
          <w:p w14:paraId="1B816430" w14:textId="77777777" w:rsidR="00110334" w:rsidRPr="00467D47" w:rsidRDefault="00110334" w:rsidP="00467D47">
            <w:pPr>
              <w:pStyle w:val="OikoTables03Content"/>
              <w:rPr>
                <w:b/>
                <w:bCs/>
              </w:rPr>
            </w:pPr>
            <w:r w:rsidRPr="00467D47">
              <w:rPr>
                <w:b/>
                <w:bCs/>
              </w:rPr>
              <w:t>400</w:t>
            </w:r>
          </w:p>
        </w:tc>
      </w:tr>
      <w:tr w:rsidR="004D17E1" w:rsidRPr="00110334" w14:paraId="08338631" w14:textId="77777777" w:rsidTr="007A42AA">
        <w:tc>
          <w:tcPr>
            <w:tcW w:w="9639" w:type="dxa"/>
            <w:gridSpan w:val="4"/>
          </w:tcPr>
          <w:p w14:paraId="03B66B00" w14:textId="6C9FF5E3" w:rsidR="004D17E1" w:rsidRPr="00467D47" w:rsidRDefault="004D17E1" w:rsidP="004D17E1">
            <w:pPr>
              <w:pStyle w:val="OikoTables03Content"/>
              <w:rPr>
                <w:b/>
                <w:bCs/>
              </w:rPr>
            </w:pPr>
            <w:r w:rsidRPr="006A2D45">
              <w:rPr>
                <w:i/>
                <w:iCs/>
              </w:rPr>
              <w:t>Source: OIKO elaboration based on agroforestry expert design assumptions and province-specific recommendations developed for this feasibility assessment.</w:t>
            </w:r>
          </w:p>
        </w:tc>
      </w:tr>
    </w:tbl>
    <w:p w14:paraId="161EEF94" w14:textId="1205F629" w:rsidR="009461F7" w:rsidRDefault="00110334" w:rsidP="00A3159D">
      <w:pPr>
        <w:pStyle w:val="OikoSectionHeading5"/>
      </w:pPr>
      <w:bookmarkStart w:id="163" w:name="_Toc233981368"/>
      <w:proofErr w:type="spellStart"/>
      <w:r>
        <w:t>Agro-silvo</w:t>
      </w:r>
      <w:proofErr w:type="spellEnd"/>
      <w:r>
        <w:t xml:space="preserve"> system (orchard + horticulture)</w:t>
      </w:r>
      <w:bookmarkEnd w:id="163"/>
    </w:p>
    <w:p w14:paraId="07B22683" w14:textId="72B276A9" w:rsidR="00110334" w:rsidRDefault="00110334" w:rsidP="00110334">
      <w:pPr>
        <w:spacing w:before="120" w:after="120" w:line="240" w:lineRule="auto"/>
        <w:contextualSpacing w:val="0"/>
      </w:pPr>
      <w:r>
        <w:t>Unlike Dundgovi, Uvurkhangai offers favourable conditions for the gradual integration of fruit-tree production into climate-resilient horticultural systems. However, orchard development should not be considered as a stand-alone production system replacing vegetable farming. Instead, it should be viewed as a complementary diversification strategy that strengthens farm resilience, increases household income and enhances the long-term sustainability of the production system.</w:t>
      </w:r>
    </w:p>
    <w:p w14:paraId="587C11AE" w14:textId="77777777" w:rsidR="00110334" w:rsidRDefault="00110334" w:rsidP="00110334">
      <w:pPr>
        <w:spacing w:before="120" w:after="120" w:line="240" w:lineRule="auto"/>
        <w:contextualSpacing w:val="0"/>
      </w:pPr>
      <w:r>
        <w:t>The recommended approach therefore follows a progressive development pathway. Vegetable production remains the core agricultural activity, supported by passive solar greenhouses, drip irrigation and multifunctional shelterbelts. Once these essential components have been established, fruit trees and berry shrubs can gradually be introduced to diversify production while benefiting from the improved microclimatic conditions created by the shelterbelts.</w:t>
      </w:r>
    </w:p>
    <w:p w14:paraId="2ABF32DA" w14:textId="1D87265E" w:rsidR="00110334" w:rsidRDefault="00110334" w:rsidP="00110334">
      <w:pPr>
        <w:spacing w:before="120" w:after="120" w:line="240" w:lineRule="auto"/>
        <w:contextualSpacing w:val="0"/>
      </w:pPr>
      <w:r>
        <w:lastRenderedPageBreak/>
        <w:t xml:space="preserve">Field observations demonstrated that </w:t>
      </w:r>
      <w:proofErr w:type="spellStart"/>
      <w:r>
        <w:t>agro</w:t>
      </w:r>
      <w:proofErr w:type="spellEnd"/>
      <w:r>
        <w:t xml:space="preserve">-climatic conditions vary considerably across Uvurkhangai Province. Orchard establishment should therefore be prioritized in the most favourable areas, such as the Kharkhorin region, where cooler temperatures, improved soil conditions and lower wind exposure create suitable conditions for perennial crops. In contrast, more exposed areas around </w:t>
      </w:r>
      <w:proofErr w:type="spellStart"/>
      <w:r>
        <w:t>Arvaikheer</w:t>
      </w:r>
      <w:proofErr w:type="spellEnd"/>
      <w:r>
        <w:t xml:space="preserve"> require greater emphasis on wind protection before orchard establishment.</w:t>
      </w:r>
    </w:p>
    <w:p w14:paraId="0706B00D" w14:textId="437F1D71" w:rsidR="00110334" w:rsidRDefault="00110334" w:rsidP="00110334">
      <w:pPr>
        <w:spacing w:before="120" w:after="120" w:line="240" w:lineRule="auto"/>
        <w:contextualSpacing w:val="0"/>
      </w:pPr>
      <w:r>
        <w:t>Based on these observations, two complementary orchard models are recommended.</w:t>
      </w:r>
    </w:p>
    <w:p w14:paraId="7E994F30" w14:textId="19C16D8A" w:rsidR="00110334" w:rsidRPr="004A2EBF" w:rsidRDefault="00110334" w:rsidP="00110334">
      <w:pPr>
        <w:spacing w:before="120" w:after="120" w:line="240" w:lineRule="auto"/>
        <w:contextualSpacing w:val="0"/>
        <w:rPr>
          <w:b/>
          <w:bCs/>
          <w:i/>
          <w:iCs/>
          <w:color w:val="DD6B22" w:themeColor="accent3" w:themeShade="BF"/>
          <w:sz w:val="24"/>
          <w:szCs w:val="24"/>
        </w:rPr>
      </w:pPr>
      <w:r w:rsidRPr="004A2EBF">
        <w:rPr>
          <w:b/>
          <w:bCs/>
          <w:i/>
          <w:iCs/>
          <w:color w:val="DD6B22" w:themeColor="accent3" w:themeShade="BF"/>
          <w:sz w:val="24"/>
          <w:szCs w:val="24"/>
        </w:rPr>
        <w:t>Orchard model 1 – Simplified orchard-based horticultural system</w:t>
      </w:r>
    </w:p>
    <w:p w14:paraId="08060087" w14:textId="77777777" w:rsidR="00110334" w:rsidRDefault="00110334" w:rsidP="00110334">
      <w:pPr>
        <w:spacing w:before="120" w:after="120" w:line="240" w:lineRule="auto"/>
        <w:contextualSpacing w:val="0"/>
      </w:pPr>
      <w:r>
        <w:t>This model is designed for farmers wishing to progressively diversify vegetable production through commercial fruit production while maintaining vegetables as their principal source of income.</w:t>
      </w:r>
    </w:p>
    <w:p w14:paraId="78E048F9" w14:textId="04FE3E10" w:rsidR="00110334" w:rsidRDefault="00110334" w:rsidP="00110334">
      <w:pPr>
        <w:spacing w:before="120" w:after="120" w:line="240" w:lineRule="auto"/>
        <w:contextualSpacing w:val="0"/>
      </w:pPr>
      <w:r>
        <w:t>The orchard should always be established behind multifunctional shelterbelts and might be integrated with passive solar greenhouses and drip irrigation. This configuration reduces wind damage, improves pollination, limits evapotranspiration and creates a more favourable microclimate for fruit-tree establishment.</w:t>
      </w:r>
    </w:p>
    <w:p w14:paraId="289FACB4" w14:textId="1B2018A9" w:rsidR="004758AA" w:rsidRPr="004758AA" w:rsidRDefault="004758AA" w:rsidP="004A2EBF">
      <w:pPr>
        <w:pStyle w:val="Caption"/>
        <w:framePr w:wrap="notBeside"/>
        <w:rPr>
          <w:lang w:val="en-US"/>
        </w:rPr>
      </w:pPr>
      <w:r>
        <w:rPr>
          <w:lang w:val="en-US"/>
        </w:rPr>
        <w:t xml:space="preserve">Table </w:t>
      </w:r>
      <w:r w:rsidR="00A6733C">
        <w:rPr>
          <w:lang w:val="en-US"/>
        </w:rPr>
        <w:t>52</w:t>
      </w:r>
      <w:r>
        <w:rPr>
          <w:lang w:val="en-US"/>
        </w:rPr>
        <w:t>. Recommended tree species for orchard model 1</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70" w:type="dxa"/>
          <w:right w:w="70" w:type="dxa"/>
        </w:tblCellMar>
        <w:tblLook w:val="04A0" w:firstRow="1" w:lastRow="0" w:firstColumn="1" w:lastColumn="0" w:noHBand="0" w:noVBand="1"/>
      </w:tblPr>
      <w:tblGrid>
        <w:gridCol w:w="1273"/>
        <w:gridCol w:w="1964"/>
        <w:gridCol w:w="1093"/>
        <w:gridCol w:w="913"/>
        <w:gridCol w:w="765"/>
        <w:gridCol w:w="3626"/>
      </w:tblGrid>
      <w:tr w:rsidR="00110334" w:rsidRPr="004758AA" w14:paraId="036701DD" w14:textId="77777777" w:rsidTr="004A2EBF">
        <w:trPr>
          <w:trHeight w:val="680"/>
        </w:trPr>
        <w:tc>
          <w:tcPr>
            <w:tcW w:w="1273" w:type="dxa"/>
            <w:shd w:val="clear" w:color="auto" w:fill="E99E6D" w:themeFill="accent3"/>
            <w:vAlign w:val="center"/>
            <w:hideMark/>
          </w:tcPr>
          <w:p w14:paraId="1E2013F1" w14:textId="77777777" w:rsidR="00110334" w:rsidRPr="004758AA" w:rsidRDefault="00110334" w:rsidP="004A2EBF">
            <w:pPr>
              <w:pStyle w:val="OikoTables02"/>
            </w:pPr>
            <w:r>
              <w:t>Fruit Group</w:t>
            </w:r>
          </w:p>
        </w:tc>
        <w:tc>
          <w:tcPr>
            <w:tcW w:w="1964" w:type="dxa"/>
            <w:shd w:val="clear" w:color="auto" w:fill="E99E6D" w:themeFill="accent3"/>
            <w:vAlign w:val="center"/>
            <w:hideMark/>
          </w:tcPr>
          <w:p w14:paraId="4FA9D459" w14:textId="77777777" w:rsidR="00110334" w:rsidRPr="004758AA" w:rsidRDefault="00110334" w:rsidP="004A2EBF">
            <w:pPr>
              <w:pStyle w:val="OikoTables02"/>
            </w:pPr>
            <w:r>
              <w:t>Species</w:t>
            </w:r>
          </w:p>
        </w:tc>
        <w:tc>
          <w:tcPr>
            <w:tcW w:w="1093" w:type="dxa"/>
            <w:shd w:val="clear" w:color="auto" w:fill="E99E6D" w:themeFill="accent3"/>
            <w:vAlign w:val="center"/>
            <w:hideMark/>
          </w:tcPr>
          <w:p w14:paraId="41444554" w14:textId="77777777" w:rsidR="00110334" w:rsidRPr="004758AA" w:rsidRDefault="00110334" w:rsidP="004A2EBF">
            <w:pPr>
              <w:pStyle w:val="OikoTables02"/>
            </w:pPr>
            <w:r>
              <w:t>Orchard %</w:t>
            </w:r>
          </w:p>
        </w:tc>
        <w:tc>
          <w:tcPr>
            <w:tcW w:w="913" w:type="dxa"/>
            <w:shd w:val="clear" w:color="auto" w:fill="E99E6D" w:themeFill="accent3"/>
            <w:vAlign w:val="center"/>
            <w:hideMark/>
          </w:tcPr>
          <w:p w14:paraId="7324900A" w14:textId="77777777" w:rsidR="00110334" w:rsidRPr="004758AA" w:rsidRDefault="00110334" w:rsidP="004A2EBF">
            <w:pPr>
              <w:pStyle w:val="OikoTables02"/>
            </w:pPr>
            <w:r>
              <w:t>Trees /100 m</w:t>
            </w:r>
          </w:p>
        </w:tc>
        <w:tc>
          <w:tcPr>
            <w:tcW w:w="765" w:type="dxa"/>
            <w:shd w:val="clear" w:color="auto" w:fill="E99E6D" w:themeFill="accent3"/>
            <w:vAlign w:val="center"/>
            <w:hideMark/>
          </w:tcPr>
          <w:p w14:paraId="5CB6B862" w14:textId="77777777" w:rsidR="00110334" w:rsidRPr="004758AA" w:rsidRDefault="00110334" w:rsidP="004A2EBF">
            <w:pPr>
              <w:pStyle w:val="OikoTables02"/>
            </w:pPr>
            <w:r>
              <w:t>Trees /ha</w:t>
            </w:r>
          </w:p>
        </w:tc>
        <w:tc>
          <w:tcPr>
            <w:tcW w:w="3626" w:type="dxa"/>
            <w:shd w:val="clear" w:color="auto" w:fill="E99E6D" w:themeFill="accent3"/>
            <w:vAlign w:val="center"/>
            <w:hideMark/>
          </w:tcPr>
          <w:p w14:paraId="68CC5F0A" w14:textId="77777777" w:rsidR="00110334" w:rsidRPr="004758AA" w:rsidRDefault="00110334" w:rsidP="004A2EBF">
            <w:pPr>
              <w:pStyle w:val="OikoTables02"/>
            </w:pPr>
            <w:r>
              <w:t>Main role</w:t>
            </w:r>
          </w:p>
        </w:tc>
      </w:tr>
      <w:tr w:rsidR="00110334" w:rsidRPr="004758AA" w14:paraId="4C77AAF6" w14:textId="77777777" w:rsidTr="004A2EBF">
        <w:trPr>
          <w:trHeight w:val="320"/>
        </w:trPr>
        <w:tc>
          <w:tcPr>
            <w:tcW w:w="1273" w:type="dxa"/>
            <w:noWrap/>
            <w:vAlign w:val="bottom"/>
            <w:hideMark/>
          </w:tcPr>
          <w:p w14:paraId="21BF3F19" w14:textId="77777777" w:rsidR="00110334" w:rsidRPr="004758AA" w:rsidRDefault="00110334" w:rsidP="004A2EBF">
            <w:pPr>
              <w:pStyle w:val="OikoTables03Content"/>
            </w:pPr>
            <w:r>
              <w:t>Apple</w:t>
            </w:r>
          </w:p>
        </w:tc>
        <w:tc>
          <w:tcPr>
            <w:tcW w:w="1964" w:type="dxa"/>
            <w:noWrap/>
            <w:vAlign w:val="bottom"/>
            <w:hideMark/>
          </w:tcPr>
          <w:p w14:paraId="40E46452" w14:textId="77777777" w:rsidR="00110334" w:rsidRPr="004758AA" w:rsidRDefault="00110334" w:rsidP="004A2EBF">
            <w:pPr>
              <w:pStyle w:val="OikoTables03Content"/>
              <w:rPr>
                <w:i/>
                <w:iCs/>
              </w:rPr>
            </w:pPr>
            <w:r>
              <w:rPr>
                <w:i/>
                <w:iCs/>
              </w:rPr>
              <w:t>Malus domestica</w:t>
            </w:r>
          </w:p>
        </w:tc>
        <w:tc>
          <w:tcPr>
            <w:tcW w:w="1093" w:type="dxa"/>
            <w:noWrap/>
            <w:vAlign w:val="bottom"/>
            <w:hideMark/>
          </w:tcPr>
          <w:p w14:paraId="14E96726" w14:textId="77777777" w:rsidR="00110334" w:rsidRPr="004758AA" w:rsidRDefault="00110334" w:rsidP="004A2EBF">
            <w:pPr>
              <w:pStyle w:val="OikoTables03Content"/>
            </w:pPr>
            <w:r>
              <w:t>50</w:t>
            </w:r>
          </w:p>
        </w:tc>
        <w:tc>
          <w:tcPr>
            <w:tcW w:w="913" w:type="dxa"/>
            <w:noWrap/>
            <w:vAlign w:val="bottom"/>
            <w:hideMark/>
          </w:tcPr>
          <w:p w14:paraId="5926C99C" w14:textId="77777777" w:rsidR="00110334" w:rsidRPr="004758AA" w:rsidRDefault="00110334" w:rsidP="004A2EBF">
            <w:pPr>
              <w:pStyle w:val="OikoTables03Content"/>
            </w:pPr>
            <w:r>
              <w:t>50</w:t>
            </w:r>
          </w:p>
        </w:tc>
        <w:tc>
          <w:tcPr>
            <w:tcW w:w="765" w:type="dxa"/>
            <w:noWrap/>
            <w:vAlign w:val="bottom"/>
            <w:hideMark/>
          </w:tcPr>
          <w:p w14:paraId="40115757" w14:textId="77777777" w:rsidR="00110334" w:rsidRPr="004758AA" w:rsidRDefault="00110334" w:rsidP="004A2EBF">
            <w:pPr>
              <w:pStyle w:val="OikoTables03Content"/>
            </w:pPr>
            <w:r>
              <w:t>200</w:t>
            </w:r>
          </w:p>
        </w:tc>
        <w:tc>
          <w:tcPr>
            <w:tcW w:w="3626" w:type="dxa"/>
            <w:noWrap/>
            <w:vAlign w:val="bottom"/>
            <w:hideMark/>
          </w:tcPr>
          <w:p w14:paraId="74506D22" w14:textId="77777777" w:rsidR="00110334" w:rsidRPr="004758AA" w:rsidRDefault="00110334" w:rsidP="004A2EBF">
            <w:pPr>
              <w:pStyle w:val="OikoTables03Content"/>
            </w:pPr>
            <w:r>
              <w:t>Main production</w:t>
            </w:r>
          </w:p>
        </w:tc>
      </w:tr>
      <w:tr w:rsidR="00110334" w:rsidRPr="004758AA" w14:paraId="423DDF20" w14:textId="77777777" w:rsidTr="004A2EBF">
        <w:trPr>
          <w:trHeight w:val="320"/>
        </w:trPr>
        <w:tc>
          <w:tcPr>
            <w:tcW w:w="1273" w:type="dxa"/>
            <w:noWrap/>
            <w:vAlign w:val="bottom"/>
            <w:hideMark/>
          </w:tcPr>
          <w:p w14:paraId="25E671B7" w14:textId="77777777" w:rsidR="00110334" w:rsidRPr="004758AA" w:rsidRDefault="00110334" w:rsidP="004A2EBF">
            <w:pPr>
              <w:pStyle w:val="OikoTables03Content"/>
            </w:pPr>
            <w:r>
              <w:t>Apple</w:t>
            </w:r>
          </w:p>
        </w:tc>
        <w:tc>
          <w:tcPr>
            <w:tcW w:w="1964" w:type="dxa"/>
            <w:noWrap/>
            <w:vAlign w:val="bottom"/>
            <w:hideMark/>
          </w:tcPr>
          <w:p w14:paraId="14A544DC" w14:textId="77777777" w:rsidR="00110334" w:rsidRPr="004758AA" w:rsidRDefault="00110334" w:rsidP="004A2EBF">
            <w:pPr>
              <w:pStyle w:val="OikoTables03Content"/>
              <w:rPr>
                <w:i/>
                <w:iCs/>
              </w:rPr>
            </w:pPr>
            <w:r>
              <w:rPr>
                <w:i/>
                <w:iCs/>
              </w:rPr>
              <w:t xml:space="preserve">Malus </w:t>
            </w:r>
            <w:proofErr w:type="spellStart"/>
            <w:r>
              <w:rPr>
                <w:i/>
                <w:iCs/>
              </w:rPr>
              <w:t>baccata</w:t>
            </w:r>
            <w:proofErr w:type="spellEnd"/>
          </w:p>
        </w:tc>
        <w:tc>
          <w:tcPr>
            <w:tcW w:w="1093" w:type="dxa"/>
            <w:noWrap/>
            <w:vAlign w:val="bottom"/>
            <w:hideMark/>
          </w:tcPr>
          <w:p w14:paraId="234F7B6C" w14:textId="77777777" w:rsidR="00110334" w:rsidRPr="004758AA" w:rsidRDefault="00110334" w:rsidP="004A2EBF">
            <w:pPr>
              <w:pStyle w:val="OikoTables03Content"/>
            </w:pPr>
            <w:r>
              <w:t>10</w:t>
            </w:r>
          </w:p>
        </w:tc>
        <w:tc>
          <w:tcPr>
            <w:tcW w:w="913" w:type="dxa"/>
            <w:noWrap/>
            <w:vAlign w:val="bottom"/>
            <w:hideMark/>
          </w:tcPr>
          <w:p w14:paraId="3B3EAD5C" w14:textId="77777777" w:rsidR="00110334" w:rsidRPr="004758AA" w:rsidRDefault="00110334" w:rsidP="004A2EBF">
            <w:pPr>
              <w:pStyle w:val="OikoTables03Content"/>
            </w:pPr>
            <w:r>
              <w:t>50</w:t>
            </w:r>
          </w:p>
        </w:tc>
        <w:tc>
          <w:tcPr>
            <w:tcW w:w="765" w:type="dxa"/>
            <w:noWrap/>
            <w:vAlign w:val="bottom"/>
            <w:hideMark/>
          </w:tcPr>
          <w:p w14:paraId="6E8D7511" w14:textId="77777777" w:rsidR="00110334" w:rsidRPr="004758AA" w:rsidRDefault="00110334" w:rsidP="004A2EBF">
            <w:pPr>
              <w:pStyle w:val="OikoTables03Content"/>
            </w:pPr>
            <w:r>
              <w:t>50</w:t>
            </w:r>
          </w:p>
        </w:tc>
        <w:tc>
          <w:tcPr>
            <w:tcW w:w="3626" w:type="dxa"/>
            <w:noWrap/>
            <w:vAlign w:val="bottom"/>
            <w:hideMark/>
          </w:tcPr>
          <w:p w14:paraId="43D0F46D" w14:textId="77777777" w:rsidR="00110334" w:rsidRPr="004758AA" w:rsidRDefault="00110334" w:rsidP="004A2EBF">
            <w:pPr>
              <w:pStyle w:val="OikoTables03Content"/>
            </w:pPr>
            <w:r>
              <w:t>Pollination &amp; resilience</w:t>
            </w:r>
          </w:p>
        </w:tc>
      </w:tr>
      <w:tr w:rsidR="00110334" w:rsidRPr="004758AA" w14:paraId="3115DF7D" w14:textId="77777777" w:rsidTr="004A2EBF">
        <w:trPr>
          <w:trHeight w:val="320"/>
        </w:trPr>
        <w:tc>
          <w:tcPr>
            <w:tcW w:w="1273" w:type="dxa"/>
            <w:noWrap/>
            <w:vAlign w:val="bottom"/>
            <w:hideMark/>
          </w:tcPr>
          <w:p w14:paraId="5AA5AD2F" w14:textId="77777777" w:rsidR="00110334" w:rsidRPr="004758AA" w:rsidRDefault="00110334" w:rsidP="004A2EBF">
            <w:pPr>
              <w:pStyle w:val="OikoTables03Content"/>
            </w:pPr>
            <w:r>
              <w:t>Pear</w:t>
            </w:r>
          </w:p>
        </w:tc>
        <w:tc>
          <w:tcPr>
            <w:tcW w:w="1964" w:type="dxa"/>
            <w:noWrap/>
            <w:vAlign w:val="bottom"/>
            <w:hideMark/>
          </w:tcPr>
          <w:p w14:paraId="20F1C6C2" w14:textId="77777777" w:rsidR="00110334" w:rsidRPr="004758AA" w:rsidRDefault="00110334" w:rsidP="004A2EBF">
            <w:pPr>
              <w:pStyle w:val="OikoTables03Content"/>
              <w:rPr>
                <w:i/>
                <w:iCs/>
              </w:rPr>
            </w:pPr>
            <w:r>
              <w:rPr>
                <w:i/>
                <w:iCs/>
              </w:rPr>
              <w:t>Pyrus communis</w:t>
            </w:r>
          </w:p>
        </w:tc>
        <w:tc>
          <w:tcPr>
            <w:tcW w:w="1093" w:type="dxa"/>
            <w:noWrap/>
            <w:vAlign w:val="bottom"/>
            <w:hideMark/>
          </w:tcPr>
          <w:p w14:paraId="7662BC6B" w14:textId="77777777" w:rsidR="00110334" w:rsidRPr="004758AA" w:rsidRDefault="00110334" w:rsidP="004A2EBF">
            <w:pPr>
              <w:pStyle w:val="OikoTables03Content"/>
            </w:pPr>
            <w:r>
              <w:t>30</w:t>
            </w:r>
          </w:p>
        </w:tc>
        <w:tc>
          <w:tcPr>
            <w:tcW w:w="913" w:type="dxa"/>
            <w:noWrap/>
            <w:vAlign w:val="bottom"/>
            <w:hideMark/>
          </w:tcPr>
          <w:p w14:paraId="44E33AB3" w14:textId="77777777" w:rsidR="00110334" w:rsidRPr="004758AA" w:rsidRDefault="00110334" w:rsidP="004A2EBF">
            <w:pPr>
              <w:pStyle w:val="OikoTables03Content"/>
            </w:pPr>
            <w:r>
              <w:t>50</w:t>
            </w:r>
          </w:p>
        </w:tc>
        <w:tc>
          <w:tcPr>
            <w:tcW w:w="765" w:type="dxa"/>
            <w:noWrap/>
            <w:vAlign w:val="bottom"/>
            <w:hideMark/>
          </w:tcPr>
          <w:p w14:paraId="5C4FB92C" w14:textId="77777777" w:rsidR="00110334" w:rsidRPr="004758AA" w:rsidRDefault="00110334" w:rsidP="004A2EBF">
            <w:pPr>
              <w:pStyle w:val="OikoTables03Content"/>
            </w:pPr>
            <w:r>
              <w:t>100</w:t>
            </w:r>
          </w:p>
        </w:tc>
        <w:tc>
          <w:tcPr>
            <w:tcW w:w="3626" w:type="dxa"/>
            <w:noWrap/>
            <w:vAlign w:val="bottom"/>
            <w:hideMark/>
          </w:tcPr>
          <w:p w14:paraId="797FA625" w14:textId="77777777" w:rsidR="00110334" w:rsidRPr="004758AA" w:rsidRDefault="00110334" w:rsidP="004A2EBF">
            <w:pPr>
              <w:pStyle w:val="OikoTables03Content"/>
            </w:pPr>
            <w:r>
              <w:t>Commercial production</w:t>
            </w:r>
          </w:p>
        </w:tc>
      </w:tr>
      <w:tr w:rsidR="00110334" w:rsidRPr="004758AA" w14:paraId="14CD36E2" w14:textId="77777777" w:rsidTr="004A2EBF">
        <w:trPr>
          <w:trHeight w:val="320"/>
        </w:trPr>
        <w:tc>
          <w:tcPr>
            <w:tcW w:w="1273" w:type="dxa"/>
            <w:noWrap/>
            <w:vAlign w:val="bottom"/>
            <w:hideMark/>
          </w:tcPr>
          <w:p w14:paraId="2F2B969A" w14:textId="77777777" w:rsidR="00110334" w:rsidRPr="004758AA" w:rsidRDefault="00110334" w:rsidP="004A2EBF">
            <w:pPr>
              <w:pStyle w:val="OikoTables03Content"/>
            </w:pPr>
            <w:r>
              <w:t>Pear</w:t>
            </w:r>
          </w:p>
        </w:tc>
        <w:tc>
          <w:tcPr>
            <w:tcW w:w="1964" w:type="dxa"/>
            <w:noWrap/>
            <w:vAlign w:val="bottom"/>
            <w:hideMark/>
          </w:tcPr>
          <w:p w14:paraId="363D63C5" w14:textId="77777777" w:rsidR="00110334" w:rsidRPr="004758AA" w:rsidRDefault="00110334" w:rsidP="004A2EBF">
            <w:pPr>
              <w:pStyle w:val="OikoTables03Content"/>
              <w:rPr>
                <w:i/>
                <w:iCs/>
              </w:rPr>
            </w:pPr>
            <w:r>
              <w:rPr>
                <w:i/>
                <w:iCs/>
              </w:rPr>
              <w:t xml:space="preserve">Pyrus </w:t>
            </w:r>
            <w:proofErr w:type="spellStart"/>
            <w:r>
              <w:rPr>
                <w:i/>
                <w:iCs/>
              </w:rPr>
              <w:t>ussuriensis</w:t>
            </w:r>
            <w:proofErr w:type="spellEnd"/>
          </w:p>
        </w:tc>
        <w:tc>
          <w:tcPr>
            <w:tcW w:w="1093" w:type="dxa"/>
            <w:noWrap/>
            <w:vAlign w:val="bottom"/>
            <w:hideMark/>
          </w:tcPr>
          <w:p w14:paraId="6C293D87" w14:textId="77777777" w:rsidR="00110334" w:rsidRPr="004758AA" w:rsidRDefault="00110334" w:rsidP="004A2EBF">
            <w:pPr>
              <w:pStyle w:val="OikoTables03Content"/>
            </w:pPr>
            <w:r>
              <w:t>10</w:t>
            </w:r>
          </w:p>
        </w:tc>
        <w:tc>
          <w:tcPr>
            <w:tcW w:w="913" w:type="dxa"/>
            <w:noWrap/>
            <w:vAlign w:val="bottom"/>
            <w:hideMark/>
          </w:tcPr>
          <w:p w14:paraId="052A5065" w14:textId="77777777" w:rsidR="00110334" w:rsidRPr="004758AA" w:rsidRDefault="00110334" w:rsidP="004A2EBF">
            <w:pPr>
              <w:pStyle w:val="OikoTables03Content"/>
            </w:pPr>
            <w:r>
              <w:t>50</w:t>
            </w:r>
          </w:p>
        </w:tc>
        <w:tc>
          <w:tcPr>
            <w:tcW w:w="765" w:type="dxa"/>
            <w:noWrap/>
            <w:vAlign w:val="bottom"/>
            <w:hideMark/>
          </w:tcPr>
          <w:p w14:paraId="435AD8FB" w14:textId="77777777" w:rsidR="00110334" w:rsidRPr="004758AA" w:rsidRDefault="00110334" w:rsidP="004A2EBF">
            <w:pPr>
              <w:pStyle w:val="OikoTables03Content"/>
            </w:pPr>
            <w:r>
              <w:t>50</w:t>
            </w:r>
          </w:p>
        </w:tc>
        <w:tc>
          <w:tcPr>
            <w:tcW w:w="3626" w:type="dxa"/>
            <w:noWrap/>
            <w:vAlign w:val="bottom"/>
            <w:hideMark/>
          </w:tcPr>
          <w:p w14:paraId="0F42E80F" w14:textId="77777777" w:rsidR="00110334" w:rsidRPr="004758AA" w:rsidRDefault="00110334" w:rsidP="004A2EBF">
            <w:pPr>
              <w:pStyle w:val="OikoTables03Content"/>
            </w:pPr>
            <w:r>
              <w:t>Hardiness &amp; pollination</w:t>
            </w:r>
          </w:p>
        </w:tc>
      </w:tr>
      <w:tr w:rsidR="00CA07D9" w:rsidRPr="004758AA" w14:paraId="740693AB" w14:textId="77777777" w:rsidTr="00BF3082">
        <w:trPr>
          <w:trHeight w:val="320"/>
        </w:trPr>
        <w:tc>
          <w:tcPr>
            <w:tcW w:w="9634" w:type="dxa"/>
            <w:gridSpan w:val="6"/>
            <w:noWrap/>
          </w:tcPr>
          <w:p w14:paraId="67384045" w14:textId="157C9FDE" w:rsidR="00CA07D9" w:rsidRDefault="00CA07D9" w:rsidP="00CA07D9">
            <w:pPr>
              <w:pStyle w:val="OikoTables03Content"/>
            </w:pPr>
            <w:r w:rsidRPr="006A2D45">
              <w:rPr>
                <w:i/>
                <w:iCs/>
              </w:rPr>
              <w:t>Source: OIKO elaboration based on agroforestry expert design assumptions and province-specific recommendations developed for this feasibility assessment.</w:t>
            </w:r>
          </w:p>
        </w:tc>
      </w:tr>
    </w:tbl>
    <w:p w14:paraId="7EC41CE7" w14:textId="77777777" w:rsidR="00110334" w:rsidRDefault="00110334" w:rsidP="00110334">
      <w:pPr>
        <w:spacing w:before="120" w:after="120" w:line="240" w:lineRule="auto"/>
        <w:contextualSpacing w:val="0"/>
      </w:pPr>
      <w:r>
        <w:t>A diversified species composition is recommended to improve resilience against climatic variability, pests and diseases. Majority (60%) is targeting apple production, as we have seen in the field, it’s the main orchard specie grown. Pear will represent 40%, as second major tree crop most interesting to diversify the production.</w:t>
      </w:r>
    </w:p>
    <w:p w14:paraId="4495C76C" w14:textId="0306D2D1" w:rsidR="00110334" w:rsidRDefault="00110334" w:rsidP="00110334">
      <w:pPr>
        <w:spacing w:before="120" w:after="120" w:line="240" w:lineRule="auto"/>
        <w:contextualSpacing w:val="0"/>
      </w:pPr>
      <w:r>
        <w:t>Spacing between tree on the same line will be 2m, and spacing between tree rows will be at least 10m, but might be adapted (reduced or increased) according to the length of the greenhouse (6 to 8m wide planed for GERES-style passive-solar greenhouses). Total number of trees will be around 500 plants/ha.</w:t>
      </w:r>
    </w:p>
    <w:p w14:paraId="41105DAA" w14:textId="77777777" w:rsidR="00110334" w:rsidRDefault="00110334" w:rsidP="00110334">
      <w:pPr>
        <w:spacing w:before="120" w:after="120" w:line="240" w:lineRule="auto"/>
        <w:contextualSpacing w:val="0"/>
      </w:pPr>
      <w:r>
        <w:t>Within each group, species should be alternated to improve cross-pollination and reduce production risks, on each 100m row (example: 1 row mixed apple, 1 row mixed pear …</w:t>
      </w:r>
      <w:proofErr w:type="spellStart"/>
      <w:r>
        <w:t>ect</w:t>
      </w:r>
      <w:proofErr w:type="spellEnd"/>
      <w:r>
        <w:t>)</w:t>
      </w:r>
    </w:p>
    <w:p w14:paraId="27E1707D" w14:textId="2BE61E06" w:rsidR="00110334" w:rsidRDefault="00110334" w:rsidP="00110334">
      <w:pPr>
        <w:spacing w:before="120" w:after="120" w:line="240" w:lineRule="auto"/>
        <w:contextualSpacing w:val="0"/>
      </w:pPr>
      <w:r>
        <w:t>This diversified orchard provides stable fruit production while maintaining relatively simple management suitable for progressive smallholder development.</w:t>
      </w:r>
    </w:p>
    <w:p w14:paraId="71ACC478" w14:textId="0B2B16CD" w:rsidR="00110334" w:rsidRPr="003F794B" w:rsidRDefault="00110334" w:rsidP="00110334">
      <w:pPr>
        <w:spacing w:before="120" w:after="120" w:line="240" w:lineRule="auto"/>
        <w:contextualSpacing w:val="0"/>
        <w:rPr>
          <w:b/>
          <w:bCs/>
          <w:i/>
          <w:iCs/>
          <w:color w:val="DD6B22" w:themeColor="accent3" w:themeShade="BF"/>
          <w:sz w:val="24"/>
          <w:szCs w:val="24"/>
        </w:rPr>
      </w:pPr>
      <w:r w:rsidRPr="003F794B">
        <w:rPr>
          <w:b/>
          <w:bCs/>
          <w:i/>
          <w:iCs/>
          <w:color w:val="DD6B22" w:themeColor="accent3" w:themeShade="BF"/>
          <w:sz w:val="24"/>
          <w:szCs w:val="24"/>
        </w:rPr>
        <w:t>Orchard model 2 – Integrated fruit production system</w:t>
      </w:r>
    </w:p>
    <w:p w14:paraId="142E8325" w14:textId="708AB28A" w:rsidR="00110334" w:rsidRDefault="00110334" w:rsidP="00110334">
      <w:pPr>
        <w:spacing w:before="120" w:after="120" w:line="240" w:lineRule="auto"/>
        <w:contextualSpacing w:val="0"/>
      </w:pPr>
      <w:r>
        <w:t>This second model is intended for pilot farms and demonstration sites. Rather than focusing exclusively on fruit production, it aims to demonstrate integrated climate-resilient farming systems combining vegetable production, agroforestry, biodiversity conservation and income diversification. The system combines multifunctional shelterbelts, passive solar greenhouses, drip irrigation, open-field vegetable production, diversified orchards and berry production strips.</w:t>
      </w:r>
    </w:p>
    <w:p w14:paraId="13F04E73" w14:textId="28A2118A" w:rsidR="004758AA" w:rsidRPr="004758AA" w:rsidRDefault="004758AA" w:rsidP="00346192">
      <w:pPr>
        <w:pStyle w:val="Caption"/>
        <w:framePr w:wrap="notBeside"/>
        <w:rPr>
          <w:lang w:val="en-US"/>
        </w:rPr>
      </w:pPr>
      <w:r>
        <w:rPr>
          <w:lang w:val="en-US"/>
        </w:rPr>
        <w:t xml:space="preserve">Table </w:t>
      </w:r>
      <w:r w:rsidR="00A6733C">
        <w:rPr>
          <w:lang w:val="en-US"/>
        </w:rPr>
        <w:t>53</w:t>
      </w:r>
      <w:r>
        <w:rPr>
          <w:lang w:val="en-US"/>
        </w:rPr>
        <w:t xml:space="preserve">. Recommended tree species in orchard model 2 </w:t>
      </w:r>
    </w:p>
    <w:tbl>
      <w:tblPr>
        <w:tblW w:w="5000" w:type="pct"/>
        <w:tblBorders>
          <w:top w:val="single" w:sz="4" w:space="0" w:color="BCBCBC" w:themeColor="background1"/>
          <w:bottom w:val="single" w:sz="4" w:space="0" w:color="BCBCBC" w:themeColor="background1"/>
          <w:insideH w:val="single" w:sz="4" w:space="0" w:color="BCBCBC" w:themeColor="background1"/>
          <w:insideV w:val="single" w:sz="4" w:space="0" w:color="BCBCBC" w:themeColor="background1"/>
        </w:tblBorders>
        <w:tblCellMar>
          <w:left w:w="70" w:type="dxa"/>
          <w:right w:w="70" w:type="dxa"/>
        </w:tblCellMar>
        <w:tblLook w:val="04A0" w:firstRow="1" w:lastRow="0" w:firstColumn="1" w:lastColumn="0" w:noHBand="0" w:noVBand="1"/>
      </w:tblPr>
      <w:tblGrid>
        <w:gridCol w:w="1438"/>
        <w:gridCol w:w="2150"/>
        <w:gridCol w:w="1189"/>
        <w:gridCol w:w="1010"/>
        <w:gridCol w:w="854"/>
        <w:gridCol w:w="2997"/>
      </w:tblGrid>
      <w:tr w:rsidR="004758AA" w:rsidRPr="004758AA" w14:paraId="5F364068" w14:textId="77777777" w:rsidTr="00346192">
        <w:trPr>
          <w:trHeight w:val="680"/>
        </w:trPr>
        <w:tc>
          <w:tcPr>
            <w:tcW w:w="744" w:type="pct"/>
            <w:shd w:val="clear" w:color="auto" w:fill="E99E6D" w:themeFill="accent3"/>
            <w:vAlign w:val="center"/>
            <w:hideMark/>
          </w:tcPr>
          <w:p w14:paraId="717B0714" w14:textId="77777777" w:rsidR="004758AA" w:rsidRPr="004758AA" w:rsidRDefault="004758AA" w:rsidP="00346192">
            <w:pPr>
              <w:pStyle w:val="OikoTables02"/>
            </w:pPr>
            <w:r>
              <w:t>Fruit Group</w:t>
            </w:r>
          </w:p>
        </w:tc>
        <w:tc>
          <w:tcPr>
            <w:tcW w:w="1121" w:type="pct"/>
            <w:shd w:val="clear" w:color="auto" w:fill="E99E6D" w:themeFill="accent3"/>
            <w:vAlign w:val="center"/>
            <w:hideMark/>
          </w:tcPr>
          <w:p w14:paraId="17CB7438" w14:textId="77777777" w:rsidR="004758AA" w:rsidRPr="004758AA" w:rsidRDefault="004758AA" w:rsidP="00346192">
            <w:pPr>
              <w:pStyle w:val="OikoTables02"/>
            </w:pPr>
            <w:r>
              <w:t>Species</w:t>
            </w:r>
          </w:p>
        </w:tc>
        <w:tc>
          <w:tcPr>
            <w:tcW w:w="612" w:type="pct"/>
            <w:shd w:val="clear" w:color="auto" w:fill="E99E6D" w:themeFill="accent3"/>
            <w:vAlign w:val="center"/>
            <w:hideMark/>
          </w:tcPr>
          <w:p w14:paraId="733635D3" w14:textId="77777777" w:rsidR="004758AA" w:rsidRPr="004758AA" w:rsidRDefault="004758AA" w:rsidP="00346192">
            <w:pPr>
              <w:pStyle w:val="OikoTables02"/>
            </w:pPr>
            <w:r>
              <w:t>Orchard %</w:t>
            </w:r>
          </w:p>
        </w:tc>
        <w:tc>
          <w:tcPr>
            <w:tcW w:w="518" w:type="pct"/>
            <w:shd w:val="clear" w:color="auto" w:fill="E99E6D" w:themeFill="accent3"/>
            <w:vAlign w:val="center"/>
            <w:hideMark/>
          </w:tcPr>
          <w:p w14:paraId="01BBC350" w14:textId="77777777" w:rsidR="004758AA" w:rsidRPr="004758AA" w:rsidRDefault="004758AA" w:rsidP="00346192">
            <w:pPr>
              <w:pStyle w:val="OikoTables02"/>
            </w:pPr>
            <w:r>
              <w:t>Trees /100 m</w:t>
            </w:r>
          </w:p>
        </w:tc>
        <w:tc>
          <w:tcPr>
            <w:tcW w:w="435" w:type="pct"/>
            <w:shd w:val="clear" w:color="auto" w:fill="E99E6D" w:themeFill="accent3"/>
            <w:vAlign w:val="center"/>
            <w:hideMark/>
          </w:tcPr>
          <w:p w14:paraId="1B4077A8" w14:textId="77777777" w:rsidR="004758AA" w:rsidRPr="004758AA" w:rsidRDefault="004758AA" w:rsidP="00346192">
            <w:pPr>
              <w:pStyle w:val="OikoTables02"/>
            </w:pPr>
            <w:r>
              <w:t>Trees /ha</w:t>
            </w:r>
          </w:p>
        </w:tc>
        <w:tc>
          <w:tcPr>
            <w:tcW w:w="1570" w:type="pct"/>
            <w:shd w:val="clear" w:color="auto" w:fill="E99E6D" w:themeFill="accent3"/>
            <w:vAlign w:val="center"/>
            <w:hideMark/>
          </w:tcPr>
          <w:p w14:paraId="133B263A" w14:textId="77777777" w:rsidR="004758AA" w:rsidRPr="004758AA" w:rsidRDefault="004758AA" w:rsidP="00346192">
            <w:pPr>
              <w:pStyle w:val="OikoTables02"/>
            </w:pPr>
            <w:r>
              <w:t>Main role</w:t>
            </w:r>
          </w:p>
        </w:tc>
      </w:tr>
      <w:tr w:rsidR="004758AA" w:rsidRPr="004758AA" w14:paraId="534F7DAA" w14:textId="77777777" w:rsidTr="00346192">
        <w:trPr>
          <w:trHeight w:val="320"/>
        </w:trPr>
        <w:tc>
          <w:tcPr>
            <w:tcW w:w="744" w:type="pct"/>
            <w:noWrap/>
            <w:vAlign w:val="bottom"/>
            <w:hideMark/>
          </w:tcPr>
          <w:p w14:paraId="3F51BE9B" w14:textId="77777777" w:rsidR="004758AA" w:rsidRPr="004758AA" w:rsidRDefault="004758AA" w:rsidP="00346192">
            <w:pPr>
              <w:pStyle w:val="OikoTables03Content"/>
            </w:pPr>
            <w:r>
              <w:t>Apple</w:t>
            </w:r>
          </w:p>
        </w:tc>
        <w:tc>
          <w:tcPr>
            <w:tcW w:w="1121" w:type="pct"/>
            <w:noWrap/>
            <w:vAlign w:val="bottom"/>
            <w:hideMark/>
          </w:tcPr>
          <w:p w14:paraId="3E0A1E92" w14:textId="77777777" w:rsidR="004758AA" w:rsidRPr="004758AA" w:rsidRDefault="004758AA" w:rsidP="00346192">
            <w:pPr>
              <w:pStyle w:val="OikoTables03Content"/>
              <w:rPr>
                <w:i/>
                <w:iCs/>
              </w:rPr>
            </w:pPr>
            <w:r>
              <w:rPr>
                <w:i/>
                <w:iCs/>
              </w:rPr>
              <w:t>Malus domestica</w:t>
            </w:r>
          </w:p>
        </w:tc>
        <w:tc>
          <w:tcPr>
            <w:tcW w:w="612" w:type="pct"/>
            <w:noWrap/>
            <w:vAlign w:val="bottom"/>
            <w:hideMark/>
          </w:tcPr>
          <w:p w14:paraId="25438DD9" w14:textId="77777777" w:rsidR="004758AA" w:rsidRPr="004758AA" w:rsidRDefault="004758AA" w:rsidP="00346192">
            <w:pPr>
              <w:pStyle w:val="OikoTables03Content"/>
            </w:pPr>
            <w:r>
              <w:t>25</w:t>
            </w:r>
          </w:p>
        </w:tc>
        <w:tc>
          <w:tcPr>
            <w:tcW w:w="518" w:type="pct"/>
            <w:noWrap/>
            <w:vAlign w:val="bottom"/>
            <w:hideMark/>
          </w:tcPr>
          <w:p w14:paraId="2BA58A43" w14:textId="77777777" w:rsidR="004758AA" w:rsidRPr="004758AA" w:rsidRDefault="004758AA" w:rsidP="00346192">
            <w:pPr>
              <w:pStyle w:val="OikoTables03Content"/>
            </w:pPr>
            <w:r>
              <w:t>50</w:t>
            </w:r>
          </w:p>
        </w:tc>
        <w:tc>
          <w:tcPr>
            <w:tcW w:w="435" w:type="pct"/>
            <w:noWrap/>
            <w:vAlign w:val="bottom"/>
            <w:hideMark/>
          </w:tcPr>
          <w:p w14:paraId="08B5EA4F" w14:textId="77777777" w:rsidR="004758AA" w:rsidRPr="004758AA" w:rsidRDefault="004758AA" w:rsidP="00346192">
            <w:pPr>
              <w:pStyle w:val="OikoTables03Content"/>
            </w:pPr>
            <w:r>
              <w:t>125</w:t>
            </w:r>
          </w:p>
        </w:tc>
        <w:tc>
          <w:tcPr>
            <w:tcW w:w="1570" w:type="pct"/>
            <w:noWrap/>
            <w:vAlign w:val="bottom"/>
            <w:hideMark/>
          </w:tcPr>
          <w:p w14:paraId="45EA947E" w14:textId="77777777" w:rsidR="004758AA" w:rsidRPr="004758AA" w:rsidRDefault="004758AA" w:rsidP="00346192">
            <w:pPr>
              <w:pStyle w:val="OikoTables03Content"/>
            </w:pPr>
            <w:r>
              <w:t>Main production</w:t>
            </w:r>
          </w:p>
        </w:tc>
      </w:tr>
      <w:tr w:rsidR="004758AA" w:rsidRPr="004758AA" w14:paraId="0BBF884A" w14:textId="77777777" w:rsidTr="00346192">
        <w:trPr>
          <w:trHeight w:val="320"/>
        </w:trPr>
        <w:tc>
          <w:tcPr>
            <w:tcW w:w="744" w:type="pct"/>
            <w:noWrap/>
            <w:vAlign w:val="bottom"/>
            <w:hideMark/>
          </w:tcPr>
          <w:p w14:paraId="2B94BF12" w14:textId="77777777" w:rsidR="004758AA" w:rsidRPr="004758AA" w:rsidRDefault="004758AA" w:rsidP="00346192">
            <w:pPr>
              <w:pStyle w:val="OikoTables03Content"/>
            </w:pPr>
            <w:r>
              <w:t>Apple</w:t>
            </w:r>
          </w:p>
        </w:tc>
        <w:tc>
          <w:tcPr>
            <w:tcW w:w="1121" w:type="pct"/>
            <w:noWrap/>
            <w:vAlign w:val="bottom"/>
            <w:hideMark/>
          </w:tcPr>
          <w:p w14:paraId="0472E6FD" w14:textId="77777777" w:rsidR="004758AA" w:rsidRPr="004758AA" w:rsidRDefault="004758AA" w:rsidP="00346192">
            <w:pPr>
              <w:pStyle w:val="OikoTables03Content"/>
              <w:rPr>
                <w:i/>
                <w:iCs/>
              </w:rPr>
            </w:pPr>
            <w:r>
              <w:rPr>
                <w:i/>
                <w:iCs/>
              </w:rPr>
              <w:t xml:space="preserve">Malus </w:t>
            </w:r>
            <w:proofErr w:type="spellStart"/>
            <w:r>
              <w:rPr>
                <w:i/>
                <w:iCs/>
              </w:rPr>
              <w:t>baccata</w:t>
            </w:r>
            <w:proofErr w:type="spellEnd"/>
          </w:p>
        </w:tc>
        <w:tc>
          <w:tcPr>
            <w:tcW w:w="612" w:type="pct"/>
            <w:noWrap/>
            <w:vAlign w:val="bottom"/>
            <w:hideMark/>
          </w:tcPr>
          <w:p w14:paraId="47143C65" w14:textId="77777777" w:rsidR="004758AA" w:rsidRPr="004758AA" w:rsidRDefault="004758AA" w:rsidP="00346192">
            <w:pPr>
              <w:pStyle w:val="OikoTables03Content"/>
            </w:pPr>
            <w:r>
              <w:t>10</w:t>
            </w:r>
          </w:p>
        </w:tc>
        <w:tc>
          <w:tcPr>
            <w:tcW w:w="518" w:type="pct"/>
            <w:noWrap/>
            <w:vAlign w:val="bottom"/>
            <w:hideMark/>
          </w:tcPr>
          <w:p w14:paraId="6E5DC947" w14:textId="77777777" w:rsidR="004758AA" w:rsidRPr="004758AA" w:rsidRDefault="004758AA" w:rsidP="00346192">
            <w:pPr>
              <w:pStyle w:val="OikoTables03Content"/>
            </w:pPr>
            <w:r>
              <w:t>50</w:t>
            </w:r>
          </w:p>
        </w:tc>
        <w:tc>
          <w:tcPr>
            <w:tcW w:w="435" w:type="pct"/>
            <w:noWrap/>
            <w:vAlign w:val="bottom"/>
            <w:hideMark/>
          </w:tcPr>
          <w:p w14:paraId="1EFF99CA" w14:textId="77777777" w:rsidR="004758AA" w:rsidRPr="004758AA" w:rsidRDefault="004758AA" w:rsidP="00346192">
            <w:pPr>
              <w:pStyle w:val="OikoTables03Content"/>
            </w:pPr>
            <w:r>
              <w:t>50</w:t>
            </w:r>
          </w:p>
        </w:tc>
        <w:tc>
          <w:tcPr>
            <w:tcW w:w="1570" w:type="pct"/>
            <w:noWrap/>
            <w:vAlign w:val="bottom"/>
            <w:hideMark/>
          </w:tcPr>
          <w:p w14:paraId="4EBB8A90" w14:textId="77777777" w:rsidR="004758AA" w:rsidRPr="004758AA" w:rsidRDefault="004758AA" w:rsidP="00346192">
            <w:pPr>
              <w:pStyle w:val="OikoTables03Content"/>
            </w:pPr>
            <w:r>
              <w:t>Pollination &amp; resilience</w:t>
            </w:r>
          </w:p>
        </w:tc>
      </w:tr>
      <w:tr w:rsidR="004758AA" w:rsidRPr="004758AA" w14:paraId="77351CAD" w14:textId="77777777" w:rsidTr="00346192">
        <w:trPr>
          <w:trHeight w:val="320"/>
        </w:trPr>
        <w:tc>
          <w:tcPr>
            <w:tcW w:w="744" w:type="pct"/>
            <w:noWrap/>
            <w:vAlign w:val="bottom"/>
            <w:hideMark/>
          </w:tcPr>
          <w:p w14:paraId="4DDC276B" w14:textId="77777777" w:rsidR="004758AA" w:rsidRPr="004758AA" w:rsidRDefault="004758AA" w:rsidP="00346192">
            <w:pPr>
              <w:pStyle w:val="OikoTables03Content"/>
            </w:pPr>
            <w:r>
              <w:t>Pear</w:t>
            </w:r>
          </w:p>
        </w:tc>
        <w:tc>
          <w:tcPr>
            <w:tcW w:w="1121" w:type="pct"/>
            <w:noWrap/>
            <w:vAlign w:val="bottom"/>
            <w:hideMark/>
          </w:tcPr>
          <w:p w14:paraId="11E117FA" w14:textId="77777777" w:rsidR="004758AA" w:rsidRPr="004758AA" w:rsidRDefault="004758AA" w:rsidP="00346192">
            <w:pPr>
              <w:pStyle w:val="OikoTables03Content"/>
              <w:rPr>
                <w:i/>
                <w:iCs/>
              </w:rPr>
            </w:pPr>
            <w:r>
              <w:rPr>
                <w:i/>
                <w:iCs/>
              </w:rPr>
              <w:t>Pyrus communis</w:t>
            </w:r>
          </w:p>
        </w:tc>
        <w:tc>
          <w:tcPr>
            <w:tcW w:w="612" w:type="pct"/>
            <w:noWrap/>
            <w:vAlign w:val="bottom"/>
            <w:hideMark/>
          </w:tcPr>
          <w:p w14:paraId="03619F13" w14:textId="77777777" w:rsidR="004758AA" w:rsidRPr="004758AA" w:rsidRDefault="004758AA" w:rsidP="00346192">
            <w:pPr>
              <w:pStyle w:val="OikoTables03Content"/>
            </w:pPr>
            <w:r>
              <w:t>15</w:t>
            </w:r>
          </w:p>
        </w:tc>
        <w:tc>
          <w:tcPr>
            <w:tcW w:w="518" w:type="pct"/>
            <w:noWrap/>
            <w:vAlign w:val="bottom"/>
            <w:hideMark/>
          </w:tcPr>
          <w:p w14:paraId="532059CB" w14:textId="77777777" w:rsidR="004758AA" w:rsidRPr="004758AA" w:rsidRDefault="004758AA" w:rsidP="00346192">
            <w:pPr>
              <w:pStyle w:val="OikoTables03Content"/>
            </w:pPr>
            <w:r>
              <w:t>50</w:t>
            </w:r>
          </w:p>
        </w:tc>
        <w:tc>
          <w:tcPr>
            <w:tcW w:w="435" w:type="pct"/>
            <w:noWrap/>
            <w:vAlign w:val="bottom"/>
            <w:hideMark/>
          </w:tcPr>
          <w:p w14:paraId="1B219BF0" w14:textId="77777777" w:rsidR="004758AA" w:rsidRPr="004758AA" w:rsidRDefault="004758AA" w:rsidP="00346192">
            <w:pPr>
              <w:pStyle w:val="OikoTables03Content"/>
            </w:pPr>
            <w:r>
              <w:t>75</w:t>
            </w:r>
          </w:p>
        </w:tc>
        <w:tc>
          <w:tcPr>
            <w:tcW w:w="1570" w:type="pct"/>
            <w:noWrap/>
            <w:vAlign w:val="bottom"/>
            <w:hideMark/>
          </w:tcPr>
          <w:p w14:paraId="7367FBD5" w14:textId="77777777" w:rsidR="004758AA" w:rsidRPr="004758AA" w:rsidRDefault="004758AA" w:rsidP="00346192">
            <w:pPr>
              <w:pStyle w:val="OikoTables03Content"/>
            </w:pPr>
            <w:r>
              <w:t>Commercial production</w:t>
            </w:r>
          </w:p>
        </w:tc>
      </w:tr>
      <w:tr w:rsidR="004758AA" w:rsidRPr="004758AA" w14:paraId="2BC9E3F2" w14:textId="77777777" w:rsidTr="00346192">
        <w:trPr>
          <w:trHeight w:val="320"/>
        </w:trPr>
        <w:tc>
          <w:tcPr>
            <w:tcW w:w="744" w:type="pct"/>
            <w:noWrap/>
            <w:vAlign w:val="bottom"/>
            <w:hideMark/>
          </w:tcPr>
          <w:p w14:paraId="4B9A1441" w14:textId="77777777" w:rsidR="004758AA" w:rsidRPr="004758AA" w:rsidRDefault="004758AA" w:rsidP="00346192">
            <w:pPr>
              <w:pStyle w:val="OikoTables03Content"/>
            </w:pPr>
            <w:r>
              <w:t>Pear</w:t>
            </w:r>
          </w:p>
        </w:tc>
        <w:tc>
          <w:tcPr>
            <w:tcW w:w="1121" w:type="pct"/>
            <w:noWrap/>
            <w:vAlign w:val="bottom"/>
            <w:hideMark/>
          </w:tcPr>
          <w:p w14:paraId="7107E1BE" w14:textId="77777777" w:rsidR="004758AA" w:rsidRPr="004758AA" w:rsidRDefault="004758AA" w:rsidP="00346192">
            <w:pPr>
              <w:pStyle w:val="OikoTables03Content"/>
              <w:rPr>
                <w:i/>
                <w:iCs/>
              </w:rPr>
            </w:pPr>
            <w:r>
              <w:rPr>
                <w:i/>
                <w:iCs/>
              </w:rPr>
              <w:t xml:space="preserve">Pyrus </w:t>
            </w:r>
            <w:proofErr w:type="spellStart"/>
            <w:r>
              <w:rPr>
                <w:i/>
                <w:iCs/>
              </w:rPr>
              <w:t>ussuriensis</w:t>
            </w:r>
            <w:proofErr w:type="spellEnd"/>
          </w:p>
        </w:tc>
        <w:tc>
          <w:tcPr>
            <w:tcW w:w="612" w:type="pct"/>
            <w:noWrap/>
            <w:vAlign w:val="bottom"/>
            <w:hideMark/>
          </w:tcPr>
          <w:p w14:paraId="566C37F3" w14:textId="77777777" w:rsidR="004758AA" w:rsidRPr="004758AA" w:rsidRDefault="004758AA" w:rsidP="00346192">
            <w:pPr>
              <w:pStyle w:val="OikoTables03Content"/>
            </w:pPr>
            <w:r>
              <w:t>10</w:t>
            </w:r>
          </w:p>
        </w:tc>
        <w:tc>
          <w:tcPr>
            <w:tcW w:w="518" w:type="pct"/>
            <w:noWrap/>
            <w:vAlign w:val="bottom"/>
            <w:hideMark/>
          </w:tcPr>
          <w:p w14:paraId="10AB3DEC" w14:textId="77777777" w:rsidR="004758AA" w:rsidRPr="004758AA" w:rsidRDefault="004758AA" w:rsidP="00346192">
            <w:pPr>
              <w:pStyle w:val="OikoTables03Content"/>
            </w:pPr>
            <w:r>
              <w:t>50</w:t>
            </w:r>
          </w:p>
        </w:tc>
        <w:tc>
          <w:tcPr>
            <w:tcW w:w="435" w:type="pct"/>
            <w:noWrap/>
            <w:vAlign w:val="bottom"/>
            <w:hideMark/>
          </w:tcPr>
          <w:p w14:paraId="147335A4" w14:textId="77777777" w:rsidR="004758AA" w:rsidRPr="004758AA" w:rsidRDefault="004758AA" w:rsidP="00346192">
            <w:pPr>
              <w:pStyle w:val="OikoTables03Content"/>
            </w:pPr>
            <w:r>
              <w:t>50</w:t>
            </w:r>
          </w:p>
        </w:tc>
        <w:tc>
          <w:tcPr>
            <w:tcW w:w="1570" w:type="pct"/>
            <w:noWrap/>
            <w:vAlign w:val="bottom"/>
            <w:hideMark/>
          </w:tcPr>
          <w:p w14:paraId="22DDA32E" w14:textId="77777777" w:rsidR="004758AA" w:rsidRPr="004758AA" w:rsidRDefault="004758AA" w:rsidP="00346192">
            <w:pPr>
              <w:pStyle w:val="OikoTables03Content"/>
            </w:pPr>
            <w:r>
              <w:t>Hardiness &amp; pollination</w:t>
            </w:r>
          </w:p>
        </w:tc>
      </w:tr>
      <w:tr w:rsidR="004758AA" w:rsidRPr="004758AA" w14:paraId="22329A90" w14:textId="77777777" w:rsidTr="00346192">
        <w:trPr>
          <w:trHeight w:val="320"/>
        </w:trPr>
        <w:tc>
          <w:tcPr>
            <w:tcW w:w="744" w:type="pct"/>
            <w:noWrap/>
            <w:vAlign w:val="bottom"/>
            <w:hideMark/>
          </w:tcPr>
          <w:p w14:paraId="7B3A7248" w14:textId="77777777" w:rsidR="004758AA" w:rsidRPr="004758AA" w:rsidRDefault="004758AA" w:rsidP="00346192">
            <w:pPr>
              <w:pStyle w:val="OikoTables03Content"/>
            </w:pPr>
            <w:r>
              <w:t>Plum</w:t>
            </w:r>
          </w:p>
        </w:tc>
        <w:tc>
          <w:tcPr>
            <w:tcW w:w="1121" w:type="pct"/>
            <w:noWrap/>
            <w:vAlign w:val="bottom"/>
            <w:hideMark/>
          </w:tcPr>
          <w:p w14:paraId="0C3F3D47" w14:textId="77777777" w:rsidR="004758AA" w:rsidRPr="004758AA" w:rsidRDefault="004758AA" w:rsidP="00346192">
            <w:pPr>
              <w:pStyle w:val="OikoTables03Content"/>
              <w:rPr>
                <w:i/>
                <w:iCs/>
              </w:rPr>
            </w:pPr>
            <w:r>
              <w:rPr>
                <w:i/>
                <w:iCs/>
              </w:rPr>
              <w:t>Prunus domestica</w:t>
            </w:r>
          </w:p>
        </w:tc>
        <w:tc>
          <w:tcPr>
            <w:tcW w:w="612" w:type="pct"/>
            <w:noWrap/>
            <w:vAlign w:val="bottom"/>
            <w:hideMark/>
          </w:tcPr>
          <w:p w14:paraId="711E8FDA" w14:textId="77777777" w:rsidR="004758AA" w:rsidRPr="004758AA" w:rsidRDefault="004758AA" w:rsidP="00346192">
            <w:pPr>
              <w:pStyle w:val="OikoTables03Content"/>
            </w:pPr>
            <w:r>
              <w:t>10</w:t>
            </w:r>
          </w:p>
        </w:tc>
        <w:tc>
          <w:tcPr>
            <w:tcW w:w="518" w:type="pct"/>
            <w:noWrap/>
            <w:vAlign w:val="bottom"/>
            <w:hideMark/>
          </w:tcPr>
          <w:p w14:paraId="3C818DD7" w14:textId="77777777" w:rsidR="004758AA" w:rsidRPr="004758AA" w:rsidRDefault="004758AA" w:rsidP="00346192">
            <w:pPr>
              <w:pStyle w:val="OikoTables03Content"/>
            </w:pPr>
            <w:r>
              <w:t>50</w:t>
            </w:r>
          </w:p>
        </w:tc>
        <w:tc>
          <w:tcPr>
            <w:tcW w:w="435" w:type="pct"/>
            <w:noWrap/>
            <w:vAlign w:val="bottom"/>
            <w:hideMark/>
          </w:tcPr>
          <w:p w14:paraId="512B3D75" w14:textId="77777777" w:rsidR="004758AA" w:rsidRPr="004758AA" w:rsidRDefault="004758AA" w:rsidP="00346192">
            <w:pPr>
              <w:pStyle w:val="OikoTables03Content"/>
            </w:pPr>
            <w:r>
              <w:t>50</w:t>
            </w:r>
          </w:p>
        </w:tc>
        <w:tc>
          <w:tcPr>
            <w:tcW w:w="1570" w:type="pct"/>
            <w:noWrap/>
            <w:vAlign w:val="bottom"/>
            <w:hideMark/>
          </w:tcPr>
          <w:p w14:paraId="02E18EDE" w14:textId="77777777" w:rsidR="004758AA" w:rsidRPr="004758AA" w:rsidRDefault="004758AA" w:rsidP="00346192">
            <w:pPr>
              <w:pStyle w:val="OikoTables03Content"/>
            </w:pPr>
            <w:r>
              <w:t>Commercial production</w:t>
            </w:r>
          </w:p>
        </w:tc>
      </w:tr>
      <w:tr w:rsidR="004758AA" w:rsidRPr="004758AA" w14:paraId="70BE138A" w14:textId="77777777" w:rsidTr="00346192">
        <w:trPr>
          <w:trHeight w:val="320"/>
        </w:trPr>
        <w:tc>
          <w:tcPr>
            <w:tcW w:w="744" w:type="pct"/>
            <w:noWrap/>
            <w:vAlign w:val="bottom"/>
            <w:hideMark/>
          </w:tcPr>
          <w:p w14:paraId="0A605DD6" w14:textId="77777777" w:rsidR="004758AA" w:rsidRPr="004758AA" w:rsidRDefault="004758AA" w:rsidP="00346192">
            <w:pPr>
              <w:pStyle w:val="OikoTables03Content"/>
            </w:pPr>
            <w:r>
              <w:t>Cherry</w:t>
            </w:r>
          </w:p>
        </w:tc>
        <w:tc>
          <w:tcPr>
            <w:tcW w:w="1121" w:type="pct"/>
            <w:noWrap/>
            <w:vAlign w:val="bottom"/>
            <w:hideMark/>
          </w:tcPr>
          <w:p w14:paraId="2DFC84DA" w14:textId="77777777" w:rsidR="004758AA" w:rsidRPr="004758AA" w:rsidRDefault="004758AA" w:rsidP="00346192">
            <w:pPr>
              <w:pStyle w:val="OikoTables03Content"/>
              <w:rPr>
                <w:i/>
                <w:iCs/>
              </w:rPr>
            </w:pPr>
            <w:r>
              <w:rPr>
                <w:i/>
                <w:iCs/>
              </w:rPr>
              <w:t>Prunus cerasus</w:t>
            </w:r>
          </w:p>
        </w:tc>
        <w:tc>
          <w:tcPr>
            <w:tcW w:w="612" w:type="pct"/>
            <w:noWrap/>
            <w:vAlign w:val="bottom"/>
            <w:hideMark/>
          </w:tcPr>
          <w:p w14:paraId="4B817C2E" w14:textId="77777777" w:rsidR="004758AA" w:rsidRPr="004758AA" w:rsidRDefault="004758AA" w:rsidP="00346192">
            <w:pPr>
              <w:pStyle w:val="OikoTables03Content"/>
            </w:pPr>
            <w:r>
              <w:t>10</w:t>
            </w:r>
          </w:p>
        </w:tc>
        <w:tc>
          <w:tcPr>
            <w:tcW w:w="518" w:type="pct"/>
            <w:noWrap/>
            <w:vAlign w:val="bottom"/>
            <w:hideMark/>
          </w:tcPr>
          <w:p w14:paraId="4185DA83" w14:textId="77777777" w:rsidR="004758AA" w:rsidRPr="004758AA" w:rsidRDefault="004758AA" w:rsidP="00346192">
            <w:pPr>
              <w:pStyle w:val="OikoTables03Content"/>
            </w:pPr>
            <w:r>
              <w:t>50</w:t>
            </w:r>
          </w:p>
        </w:tc>
        <w:tc>
          <w:tcPr>
            <w:tcW w:w="435" w:type="pct"/>
            <w:noWrap/>
            <w:vAlign w:val="bottom"/>
            <w:hideMark/>
          </w:tcPr>
          <w:p w14:paraId="471C9959" w14:textId="77777777" w:rsidR="004758AA" w:rsidRPr="004758AA" w:rsidRDefault="004758AA" w:rsidP="00346192">
            <w:pPr>
              <w:pStyle w:val="OikoTables03Content"/>
            </w:pPr>
            <w:r>
              <w:t>50</w:t>
            </w:r>
          </w:p>
        </w:tc>
        <w:tc>
          <w:tcPr>
            <w:tcW w:w="1570" w:type="pct"/>
            <w:noWrap/>
            <w:vAlign w:val="bottom"/>
            <w:hideMark/>
          </w:tcPr>
          <w:p w14:paraId="2F33C94B" w14:textId="77777777" w:rsidR="004758AA" w:rsidRPr="004758AA" w:rsidRDefault="004758AA" w:rsidP="00346192">
            <w:pPr>
              <w:pStyle w:val="OikoTables03Content"/>
            </w:pPr>
            <w:r>
              <w:t>Diversification</w:t>
            </w:r>
          </w:p>
        </w:tc>
      </w:tr>
      <w:tr w:rsidR="004758AA" w:rsidRPr="004758AA" w14:paraId="6ED0E461" w14:textId="77777777" w:rsidTr="00346192">
        <w:trPr>
          <w:trHeight w:val="320"/>
        </w:trPr>
        <w:tc>
          <w:tcPr>
            <w:tcW w:w="744" w:type="pct"/>
            <w:noWrap/>
            <w:vAlign w:val="bottom"/>
            <w:hideMark/>
          </w:tcPr>
          <w:p w14:paraId="47009868" w14:textId="77777777" w:rsidR="004758AA" w:rsidRPr="004758AA" w:rsidRDefault="004758AA" w:rsidP="00346192">
            <w:pPr>
              <w:pStyle w:val="OikoTables03Content"/>
            </w:pPr>
            <w:r>
              <w:lastRenderedPageBreak/>
              <w:t>Apricot</w:t>
            </w:r>
          </w:p>
        </w:tc>
        <w:tc>
          <w:tcPr>
            <w:tcW w:w="1121" w:type="pct"/>
            <w:noWrap/>
            <w:vAlign w:val="bottom"/>
            <w:hideMark/>
          </w:tcPr>
          <w:p w14:paraId="7CE3B09C" w14:textId="77777777" w:rsidR="004758AA" w:rsidRPr="004758AA" w:rsidRDefault="004758AA" w:rsidP="00346192">
            <w:pPr>
              <w:pStyle w:val="OikoTables03Content"/>
              <w:rPr>
                <w:i/>
                <w:iCs/>
              </w:rPr>
            </w:pPr>
            <w:r>
              <w:rPr>
                <w:i/>
                <w:iCs/>
              </w:rPr>
              <w:t>Prunus sibirica</w:t>
            </w:r>
          </w:p>
        </w:tc>
        <w:tc>
          <w:tcPr>
            <w:tcW w:w="612" w:type="pct"/>
            <w:noWrap/>
            <w:vAlign w:val="bottom"/>
            <w:hideMark/>
          </w:tcPr>
          <w:p w14:paraId="45FB40EA" w14:textId="77777777" w:rsidR="004758AA" w:rsidRPr="004758AA" w:rsidRDefault="004758AA" w:rsidP="00346192">
            <w:pPr>
              <w:pStyle w:val="OikoTables03Content"/>
            </w:pPr>
            <w:r>
              <w:t>10</w:t>
            </w:r>
          </w:p>
        </w:tc>
        <w:tc>
          <w:tcPr>
            <w:tcW w:w="518" w:type="pct"/>
            <w:noWrap/>
            <w:vAlign w:val="bottom"/>
            <w:hideMark/>
          </w:tcPr>
          <w:p w14:paraId="52F62EBE" w14:textId="77777777" w:rsidR="004758AA" w:rsidRPr="004758AA" w:rsidRDefault="004758AA" w:rsidP="00346192">
            <w:pPr>
              <w:pStyle w:val="OikoTables03Content"/>
            </w:pPr>
            <w:r>
              <w:t>50</w:t>
            </w:r>
          </w:p>
        </w:tc>
        <w:tc>
          <w:tcPr>
            <w:tcW w:w="435" w:type="pct"/>
            <w:noWrap/>
            <w:vAlign w:val="bottom"/>
            <w:hideMark/>
          </w:tcPr>
          <w:p w14:paraId="496C11C7" w14:textId="77777777" w:rsidR="004758AA" w:rsidRPr="004758AA" w:rsidRDefault="004758AA" w:rsidP="00346192">
            <w:pPr>
              <w:pStyle w:val="OikoTables03Content"/>
            </w:pPr>
            <w:r>
              <w:t>50</w:t>
            </w:r>
          </w:p>
        </w:tc>
        <w:tc>
          <w:tcPr>
            <w:tcW w:w="1570" w:type="pct"/>
            <w:noWrap/>
            <w:vAlign w:val="bottom"/>
            <w:hideMark/>
          </w:tcPr>
          <w:p w14:paraId="51F2E891" w14:textId="77777777" w:rsidR="004758AA" w:rsidRPr="004758AA" w:rsidRDefault="004758AA" w:rsidP="00346192">
            <w:pPr>
              <w:pStyle w:val="OikoTables03Content"/>
            </w:pPr>
            <w:r>
              <w:t>Diversification</w:t>
            </w:r>
          </w:p>
        </w:tc>
      </w:tr>
      <w:tr w:rsidR="004758AA" w:rsidRPr="004758AA" w14:paraId="4B3C79E7" w14:textId="77777777" w:rsidTr="00346192">
        <w:trPr>
          <w:trHeight w:val="320"/>
        </w:trPr>
        <w:tc>
          <w:tcPr>
            <w:tcW w:w="744" w:type="pct"/>
            <w:noWrap/>
            <w:vAlign w:val="bottom"/>
            <w:hideMark/>
          </w:tcPr>
          <w:p w14:paraId="5ED6580B" w14:textId="77777777" w:rsidR="004758AA" w:rsidRPr="004758AA" w:rsidRDefault="004758AA" w:rsidP="00346192">
            <w:pPr>
              <w:pStyle w:val="OikoTables03Content"/>
            </w:pPr>
            <w:r>
              <w:t>Bird cherry</w:t>
            </w:r>
          </w:p>
        </w:tc>
        <w:tc>
          <w:tcPr>
            <w:tcW w:w="1121" w:type="pct"/>
            <w:noWrap/>
            <w:vAlign w:val="bottom"/>
            <w:hideMark/>
          </w:tcPr>
          <w:p w14:paraId="5FFC931B" w14:textId="77777777" w:rsidR="004758AA" w:rsidRPr="004758AA" w:rsidRDefault="004758AA" w:rsidP="00346192">
            <w:pPr>
              <w:pStyle w:val="OikoTables03Content"/>
              <w:rPr>
                <w:i/>
                <w:iCs/>
              </w:rPr>
            </w:pPr>
            <w:r>
              <w:rPr>
                <w:i/>
                <w:iCs/>
              </w:rPr>
              <w:t>Prunus padus</w:t>
            </w:r>
          </w:p>
        </w:tc>
        <w:tc>
          <w:tcPr>
            <w:tcW w:w="612" w:type="pct"/>
            <w:noWrap/>
            <w:vAlign w:val="bottom"/>
            <w:hideMark/>
          </w:tcPr>
          <w:p w14:paraId="77A46F56" w14:textId="77777777" w:rsidR="004758AA" w:rsidRPr="004758AA" w:rsidRDefault="004758AA" w:rsidP="00346192">
            <w:pPr>
              <w:pStyle w:val="OikoTables03Content"/>
            </w:pPr>
            <w:r>
              <w:t>10</w:t>
            </w:r>
          </w:p>
        </w:tc>
        <w:tc>
          <w:tcPr>
            <w:tcW w:w="518" w:type="pct"/>
            <w:noWrap/>
            <w:vAlign w:val="bottom"/>
            <w:hideMark/>
          </w:tcPr>
          <w:p w14:paraId="7A503218" w14:textId="77777777" w:rsidR="004758AA" w:rsidRPr="004758AA" w:rsidRDefault="004758AA" w:rsidP="00346192">
            <w:pPr>
              <w:pStyle w:val="OikoTables03Content"/>
            </w:pPr>
            <w:r>
              <w:t>50</w:t>
            </w:r>
          </w:p>
        </w:tc>
        <w:tc>
          <w:tcPr>
            <w:tcW w:w="435" w:type="pct"/>
            <w:noWrap/>
            <w:vAlign w:val="bottom"/>
            <w:hideMark/>
          </w:tcPr>
          <w:p w14:paraId="719ECCA9" w14:textId="77777777" w:rsidR="004758AA" w:rsidRPr="004758AA" w:rsidRDefault="004758AA" w:rsidP="00346192">
            <w:pPr>
              <w:pStyle w:val="OikoTables03Content"/>
            </w:pPr>
            <w:r>
              <w:t>50</w:t>
            </w:r>
          </w:p>
        </w:tc>
        <w:tc>
          <w:tcPr>
            <w:tcW w:w="1570" w:type="pct"/>
            <w:noWrap/>
            <w:vAlign w:val="bottom"/>
            <w:hideMark/>
          </w:tcPr>
          <w:p w14:paraId="741E58AA" w14:textId="77777777" w:rsidR="004758AA" w:rsidRPr="004758AA" w:rsidRDefault="004758AA" w:rsidP="00346192">
            <w:pPr>
              <w:pStyle w:val="OikoTables03Content"/>
            </w:pPr>
            <w:r>
              <w:t>Niche processing products</w:t>
            </w:r>
          </w:p>
        </w:tc>
      </w:tr>
      <w:tr w:rsidR="00CA07D9" w:rsidRPr="004758AA" w14:paraId="585E4800" w14:textId="77777777" w:rsidTr="00D10435">
        <w:trPr>
          <w:trHeight w:val="320"/>
        </w:trPr>
        <w:tc>
          <w:tcPr>
            <w:tcW w:w="5000" w:type="pct"/>
            <w:gridSpan w:val="6"/>
            <w:noWrap/>
          </w:tcPr>
          <w:p w14:paraId="6827C285" w14:textId="04DBDB6B" w:rsidR="00CA07D9" w:rsidRDefault="00CA07D9" w:rsidP="00CA07D9">
            <w:pPr>
              <w:pStyle w:val="OikoTables03Content"/>
            </w:pPr>
            <w:r w:rsidRPr="006A2D45">
              <w:rPr>
                <w:i/>
                <w:iCs/>
              </w:rPr>
              <w:t>Source: OIKO elaboration based on agroforestry expert design assumptions and province-specific recommendations developed for this feasibility assessment.</w:t>
            </w:r>
          </w:p>
        </w:tc>
      </w:tr>
    </w:tbl>
    <w:p w14:paraId="5ED6FE06" w14:textId="4A64EF99" w:rsidR="004758AA" w:rsidRDefault="004758AA" w:rsidP="004758AA">
      <w:pPr>
        <w:spacing w:before="120" w:after="120" w:line="240" w:lineRule="auto"/>
        <w:contextualSpacing w:val="0"/>
      </w:pPr>
      <w:r>
        <w:t>Recommended berry species include sea buckthorn (</w:t>
      </w:r>
      <w:proofErr w:type="spellStart"/>
      <w:r>
        <w:rPr>
          <w:i/>
          <w:iCs/>
        </w:rPr>
        <w:t>Hippophae</w:t>
      </w:r>
      <w:proofErr w:type="spellEnd"/>
      <w:r>
        <w:rPr>
          <w:i/>
          <w:iCs/>
        </w:rPr>
        <w:t xml:space="preserve"> </w:t>
      </w:r>
      <w:proofErr w:type="spellStart"/>
      <w:r>
        <w:rPr>
          <w:i/>
          <w:iCs/>
        </w:rPr>
        <w:t>rhamnoides</w:t>
      </w:r>
      <w:proofErr w:type="spellEnd"/>
      <w:r>
        <w:t>), honeyberry (</w:t>
      </w:r>
      <w:r>
        <w:rPr>
          <w:i/>
          <w:iCs/>
        </w:rPr>
        <w:t>Lonicera caerulea</w:t>
      </w:r>
      <w:r>
        <w:t>), blackcurrant (</w:t>
      </w:r>
      <w:r>
        <w:rPr>
          <w:i/>
          <w:iCs/>
        </w:rPr>
        <w:t>Ribes nigrum</w:t>
      </w:r>
      <w:r>
        <w:t>), and raspberry (</w:t>
      </w:r>
      <w:r>
        <w:rPr>
          <w:i/>
          <w:iCs/>
        </w:rPr>
        <w:t xml:space="preserve">Rubus </w:t>
      </w:r>
      <w:proofErr w:type="spellStart"/>
      <w:r>
        <w:rPr>
          <w:i/>
          <w:iCs/>
        </w:rPr>
        <w:t>idaeus</w:t>
      </w:r>
      <w:proofErr w:type="spellEnd"/>
      <w:r>
        <w:t>).</w:t>
      </w:r>
    </w:p>
    <w:p w14:paraId="78DC22F0" w14:textId="77777777" w:rsidR="004758AA" w:rsidRDefault="004758AA" w:rsidP="004758AA">
      <w:pPr>
        <w:spacing w:before="120" w:after="120" w:line="240" w:lineRule="auto"/>
        <w:contextualSpacing w:val="0"/>
      </w:pPr>
      <w:r>
        <w:t xml:space="preserve">This model has a more diversified species composition, with almost all major fruits tree growing under continental climate represented (6 groups and 8 different species). More than 1/3 (35%) are going for apple production, 25% for pear, and 40% for the rest of species (10% each). Unlike the 1st orchard model, this one intentionally maximizes species diversity in order to evaluate long-term adaptation to local climatic conditions while creating demonstration sites for future scaling-up. The integration of multiple perennial species also contributes to biodiversity enhancement, pollinator conservation, improved ecosystem services and increased resilience to climate variability. </w:t>
      </w:r>
    </w:p>
    <w:p w14:paraId="30354D92" w14:textId="77777777" w:rsidR="004758AA" w:rsidRDefault="004758AA" w:rsidP="004758AA">
      <w:pPr>
        <w:spacing w:before="120" w:after="120" w:line="240" w:lineRule="auto"/>
        <w:contextualSpacing w:val="0"/>
      </w:pPr>
      <w:r>
        <w:t xml:space="preserve">It’s also feasible to replace some fruits tree by other type of tree: medicinal, valuable/precious timber tree, fuelwood, fodder for livestock or legume trees. This strategy depends mainly on the objectives of farmers, and his motivation to diversify incomes and outcomes of the same plot of land. Tree height should be maintained between 3m and 4m (max 5m) through regular pruning in order to minimize shading of adjacent vegetable crops and passive solar greenhouses while facilitating harvesting and orchard maintenance. Canopy width should also be controlled to maintain adequate light penetration and air circulation within the integrated production system. </w:t>
      </w:r>
    </w:p>
    <w:p w14:paraId="76B85FF4" w14:textId="4A0D1919" w:rsidR="00110334" w:rsidRDefault="004758AA" w:rsidP="004758AA">
      <w:pPr>
        <w:spacing w:before="120" w:after="120" w:line="240" w:lineRule="auto"/>
        <w:contextualSpacing w:val="0"/>
      </w:pPr>
      <w:r>
        <w:t>Same spacing than previous model between tree on the same line (2m), and between tree rows (10m), and will be adapted according to the length of the greenhouse, which gives a total number of trees around 500 plants/ha.</w:t>
      </w:r>
    </w:p>
    <w:p w14:paraId="4CF4306A" w14:textId="77777777" w:rsidR="004758AA" w:rsidRDefault="004758AA" w:rsidP="004758AA">
      <w:pPr>
        <w:spacing w:before="120" w:after="120" w:line="240" w:lineRule="auto"/>
        <w:contextualSpacing w:val="0"/>
      </w:pPr>
      <w:r>
        <w:t xml:space="preserve">There are 2 options with berry species: </w:t>
      </w:r>
    </w:p>
    <w:p w14:paraId="4EF23257" w14:textId="54C1B18F" w:rsidR="004758AA" w:rsidRDefault="004758AA" w:rsidP="006342DD">
      <w:pPr>
        <w:pStyle w:val="ListParagraph"/>
        <w:numPr>
          <w:ilvl w:val="0"/>
          <w:numId w:val="43"/>
        </w:numPr>
        <w:spacing w:before="120" w:after="120" w:line="240" w:lineRule="auto"/>
        <w:contextualSpacing w:val="0"/>
      </w:pPr>
      <w:r>
        <w:t xml:space="preserve">To plant them in the same row than fruit trees, one berry in between each tree (50 plants/100m), using the same drip irrigation system than for trees. </w:t>
      </w:r>
    </w:p>
    <w:p w14:paraId="3C8219A9" w14:textId="71E3518D" w:rsidR="004758AA" w:rsidRDefault="004758AA" w:rsidP="006342DD">
      <w:pPr>
        <w:pStyle w:val="ListParagraph"/>
        <w:numPr>
          <w:ilvl w:val="0"/>
          <w:numId w:val="43"/>
        </w:numPr>
        <w:spacing w:before="120" w:after="120" w:line="240" w:lineRule="auto"/>
        <w:contextualSpacing w:val="0"/>
      </w:pPr>
      <w:r>
        <w:t xml:space="preserve">To plant them all around the windbreak inside the orchard, as the fourth row of the main shelterbelt (so 400m/Ha), with a spacing of 1,5m between berry shrubs on the same line/row (67 shrubs/100m, and 268 for 1Ha). This option will require another drip irrigation system just for these berries. </w:t>
      </w:r>
    </w:p>
    <w:p w14:paraId="0A355CAB" w14:textId="68EB444D" w:rsidR="00110334" w:rsidRDefault="004758AA" w:rsidP="004758AA">
      <w:pPr>
        <w:spacing w:before="120" w:after="120" w:line="240" w:lineRule="auto"/>
        <w:contextualSpacing w:val="0"/>
      </w:pPr>
      <w:r>
        <w:t xml:space="preserve">The proposed </w:t>
      </w:r>
      <w:proofErr w:type="spellStart"/>
      <w:r>
        <w:t>Agro</w:t>
      </w:r>
      <w:proofErr w:type="spellEnd"/>
      <w:r>
        <w:t>-</w:t>
      </w:r>
      <w:proofErr w:type="spellStart"/>
      <w:r>
        <w:t>silvo</w:t>
      </w:r>
      <w:proofErr w:type="spellEnd"/>
      <w:r>
        <w:t>-horticultural system therefore represents the highest level of diversification recommended within the project and illustrates how greenhouse production, vegetable cultivation, agroforestry and fruit production can be successfully integrated into a single climate-resilient farming system.</w:t>
      </w:r>
    </w:p>
    <w:p w14:paraId="377AA800" w14:textId="07C504B5" w:rsidR="00110334" w:rsidRDefault="004758AA" w:rsidP="004758AA">
      <w:pPr>
        <w:pStyle w:val="Heading3"/>
      </w:pPr>
      <w:bookmarkStart w:id="164" w:name="_Toc233981369"/>
      <w:r>
        <w:t>Comparative summary of agroforestry recommendations</w:t>
      </w:r>
      <w:bookmarkEnd w:id="164"/>
    </w:p>
    <w:p w14:paraId="42F3839D" w14:textId="77777777" w:rsidR="004758AA" w:rsidRDefault="004758AA" w:rsidP="004758AA">
      <w:pPr>
        <w:spacing w:before="120" w:after="120" w:line="240" w:lineRule="auto"/>
        <w:contextualSpacing w:val="0"/>
      </w:pPr>
      <w:r>
        <w:t>The assessment demonstrates that agroforestry fulfils different but complementary functions in the two target provinces.</w:t>
      </w:r>
    </w:p>
    <w:p w14:paraId="130D0956" w14:textId="77777777" w:rsidR="004758AA" w:rsidRDefault="004758AA" w:rsidP="004758AA">
      <w:pPr>
        <w:spacing w:before="120" w:after="120" w:line="240" w:lineRule="auto"/>
        <w:contextualSpacing w:val="0"/>
      </w:pPr>
      <w:r>
        <w:t>In Dundgovi, agroforestry should primarily be considered a climate adaptation measure designed to protect agricultural production from wind erosion, drought and harsh environmental conditions. Living shelterbelts therefore represent the most appropriate, scalable and economically realistic intervention.</w:t>
      </w:r>
    </w:p>
    <w:p w14:paraId="762BDFE9" w14:textId="6558C183" w:rsidR="004758AA" w:rsidRDefault="004758AA" w:rsidP="004758AA">
      <w:pPr>
        <w:spacing w:before="120" w:after="120" w:line="240" w:lineRule="auto"/>
        <w:contextualSpacing w:val="0"/>
      </w:pPr>
      <w:r>
        <w:t xml:space="preserve">In Uvurkhangai, shelterbelts remain the cornerstone of climate resilience but also create opportunities for more diversified </w:t>
      </w:r>
      <w:proofErr w:type="spellStart"/>
      <w:r>
        <w:t>agro</w:t>
      </w:r>
      <w:proofErr w:type="spellEnd"/>
      <w:r>
        <w:t>-</w:t>
      </w:r>
      <w:proofErr w:type="spellStart"/>
      <w:r>
        <w:t>silvo</w:t>
      </w:r>
      <w:proofErr w:type="spellEnd"/>
      <w:r>
        <w:t>-horticultural systems integrating fruit trees and berry production. Agroforestry therefore contributes simultaneously to climate adaptation, ecosystem restoration and income diversification.</w:t>
      </w:r>
    </w:p>
    <w:p w14:paraId="4D6F1AC0" w14:textId="0C39EC47" w:rsidR="00110334" w:rsidRDefault="004758AA" w:rsidP="004758AA">
      <w:pPr>
        <w:spacing w:before="120" w:after="120" w:line="240" w:lineRule="auto"/>
        <w:contextualSpacing w:val="0"/>
      </w:pPr>
      <w:r>
        <w:t xml:space="preserve">The overall recommendation emerging from this feasibility assessment is therefore clear: living shelterbelts should constitute the common agroforestry foundation across both provinces, while oasis-type </w:t>
      </w:r>
      <w:proofErr w:type="spellStart"/>
      <w:r>
        <w:t>agro</w:t>
      </w:r>
      <w:proofErr w:type="spellEnd"/>
      <w:r>
        <w:t>-</w:t>
      </w:r>
      <w:proofErr w:type="spellStart"/>
      <w:r>
        <w:t>silvo</w:t>
      </w:r>
      <w:proofErr w:type="spellEnd"/>
      <w:r>
        <w:t>-horticultural systems should be promoted only in locations where environmental conditions and water resources allow sustainable long-term development.</w:t>
      </w:r>
    </w:p>
    <w:p w14:paraId="5F499F87" w14:textId="5DE3D674" w:rsidR="00110334" w:rsidRDefault="004758AA" w:rsidP="004758AA">
      <w:pPr>
        <w:pStyle w:val="Heading2"/>
      </w:pPr>
      <w:bookmarkStart w:id="165" w:name="_Toc233981370"/>
      <w:r>
        <w:t>Basis for the Cost-Benefit Analysis</w:t>
      </w:r>
      <w:bookmarkEnd w:id="165"/>
    </w:p>
    <w:p w14:paraId="64915501" w14:textId="381AB61A" w:rsidR="004758AA" w:rsidRDefault="00A41DD1" w:rsidP="00110334">
      <w:pPr>
        <w:spacing w:before="120" w:after="120" w:line="240" w:lineRule="auto"/>
        <w:contextualSpacing w:val="0"/>
      </w:pPr>
      <w:r>
        <w:t xml:space="preserve">Because the province packages define what will actually be built, they also define what the cost-benefit analysis (CBA) will assess. The CBA compares a set of scenarios that build the package up incrementally — from the baseline of traditional farming, through single-technology upgrades, to the full integrated model. An </w:t>
      </w:r>
      <w:r>
        <w:lastRenderedPageBreak/>
        <w:t>insurance-only scenario is retained as an analytical reference case: it is not a recommended investment package, but it isolates the value of risk transfer on its own and thereby demonstrates that insurance is a complement to, not a substitute for, the underlying productivity and resilience investments. Table 49 defines the six scenarios and, consistent with the province-specific rankings of Chapter 7, the configuration each scenario takes in each province.</w:t>
      </w:r>
    </w:p>
    <w:p w14:paraId="4CB3A34A" w14:textId="00B978A6" w:rsidR="00CA07D9" w:rsidRDefault="00CA07D9" w:rsidP="00A476D5">
      <w:pPr>
        <w:spacing w:after="160" w:line="259" w:lineRule="auto"/>
        <w:contextualSpacing w:val="0"/>
        <w:jc w:val="left"/>
      </w:pPr>
    </w:p>
    <w:p w14:paraId="589C6570" w14:textId="0A3D1B38" w:rsidR="001B7138" w:rsidRDefault="001B7138" w:rsidP="00346192">
      <w:pPr>
        <w:pStyle w:val="Caption"/>
        <w:framePr w:wrap="notBeside"/>
        <w:rPr>
          <w:lang w:val="en-US"/>
        </w:rPr>
      </w:pPr>
      <w:r>
        <w:rPr>
          <w:lang w:val="en-US"/>
        </w:rPr>
        <w:t xml:space="preserve">Table </w:t>
      </w:r>
      <w:r w:rsidR="00A6733C">
        <w:rPr>
          <w:lang w:val="en-US"/>
        </w:rPr>
        <w:t>54</w:t>
      </w:r>
      <w:r>
        <w:rPr>
          <w:lang w:val="en-US"/>
        </w:rPr>
        <w:t>. Scenarios for the cost-benefit analysis and their province-specific configurations</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1150"/>
        <w:gridCol w:w="2121"/>
        <w:gridCol w:w="2121"/>
        <w:gridCol w:w="2121"/>
        <w:gridCol w:w="2121"/>
      </w:tblGrid>
      <w:tr w:rsidR="00A41DD1" w14:paraId="73B2A6B9" w14:textId="77777777" w:rsidTr="00346192">
        <w:trPr>
          <w:cantSplit/>
          <w:tblHeader/>
        </w:trPr>
        <w:tc>
          <w:tcPr>
            <w:tcW w:w="1150" w:type="dxa"/>
            <w:shd w:val="clear" w:color="auto" w:fill="E99E6D" w:themeFill="accent3"/>
            <w:tcMar>
              <w:top w:w="40" w:type="dxa"/>
              <w:left w:w="80" w:type="dxa"/>
              <w:bottom w:w="40" w:type="dxa"/>
              <w:right w:w="80" w:type="dxa"/>
            </w:tcMar>
            <w:vAlign w:val="center"/>
          </w:tcPr>
          <w:p w14:paraId="4AD6406B" w14:textId="77777777" w:rsidR="00A41DD1" w:rsidRDefault="00A41DD1" w:rsidP="00346192">
            <w:pPr>
              <w:pStyle w:val="OikoTables02"/>
            </w:pPr>
            <w:r>
              <w:t>Scenario</w:t>
            </w:r>
          </w:p>
        </w:tc>
        <w:tc>
          <w:tcPr>
            <w:tcW w:w="2121" w:type="dxa"/>
            <w:shd w:val="clear" w:color="auto" w:fill="E99E6D" w:themeFill="accent3"/>
            <w:tcMar>
              <w:top w:w="40" w:type="dxa"/>
              <w:left w:w="80" w:type="dxa"/>
              <w:bottom w:w="40" w:type="dxa"/>
              <w:right w:w="80" w:type="dxa"/>
            </w:tcMar>
            <w:vAlign w:val="center"/>
          </w:tcPr>
          <w:p w14:paraId="187221D0" w14:textId="77777777" w:rsidR="00A41DD1" w:rsidRDefault="00A41DD1" w:rsidP="00346192">
            <w:pPr>
              <w:pStyle w:val="OikoTables02"/>
            </w:pPr>
            <w:r>
              <w:t>What it represents</w:t>
            </w:r>
          </w:p>
        </w:tc>
        <w:tc>
          <w:tcPr>
            <w:tcW w:w="2121" w:type="dxa"/>
            <w:shd w:val="clear" w:color="auto" w:fill="E99E6D" w:themeFill="accent3"/>
            <w:tcMar>
              <w:top w:w="40" w:type="dxa"/>
              <w:left w:w="80" w:type="dxa"/>
              <w:bottom w:w="40" w:type="dxa"/>
              <w:right w:w="80" w:type="dxa"/>
            </w:tcMar>
            <w:vAlign w:val="center"/>
          </w:tcPr>
          <w:p w14:paraId="6D87F357" w14:textId="77777777" w:rsidR="00A41DD1" w:rsidRDefault="00A41DD1" w:rsidP="00346192">
            <w:pPr>
              <w:pStyle w:val="OikoTables02"/>
            </w:pPr>
            <w:r>
              <w:t>Core components</w:t>
            </w:r>
          </w:p>
        </w:tc>
        <w:tc>
          <w:tcPr>
            <w:tcW w:w="2121" w:type="dxa"/>
            <w:shd w:val="clear" w:color="auto" w:fill="E99E6D" w:themeFill="accent3"/>
            <w:tcMar>
              <w:top w:w="40" w:type="dxa"/>
              <w:left w:w="80" w:type="dxa"/>
              <w:bottom w:w="40" w:type="dxa"/>
              <w:right w:w="80" w:type="dxa"/>
            </w:tcMar>
            <w:vAlign w:val="center"/>
          </w:tcPr>
          <w:p w14:paraId="138F3516" w14:textId="77777777" w:rsidR="00A41DD1" w:rsidRDefault="00A41DD1" w:rsidP="00346192">
            <w:pPr>
              <w:pStyle w:val="OikoTables02"/>
            </w:pPr>
            <w:r>
              <w:t>Uvurkhangai configuration</w:t>
            </w:r>
          </w:p>
        </w:tc>
        <w:tc>
          <w:tcPr>
            <w:tcW w:w="2121" w:type="dxa"/>
            <w:shd w:val="clear" w:color="auto" w:fill="E99E6D" w:themeFill="accent3"/>
            <w:tcMar>
              <w:top w:w="40" w:type="dxa"/>
              <w:left w:w="80" w:type="dxa"/>
              <w:bottom w:w="40" w:type="dxa"/>
              <w:right w:w="80" w:type="dxa"/>
            </w:tcMar>
            <w:vAlign w:val="center"/>
          </w:tcPr>
          <w:p w14:paraId="77F456CB" w14:textId="77777777" w:rsidR="00A41DD1" w:rsidRDefault="00A41DD1" w:rsidP="00346192">
            <w:pPr>
              <w:pStyle w:val="OikoTables02"/>
            </w:pPr>
            <w:r>
              <w:t>Dundgovi configuration</w:t>
            </w:r>
          </w:p>
        </w:tc>
      </w:tr>
      <w:tr w:rsidR="00A41DD1" w14:paraId="6BBEA1B3" w14:textId="77777777" w:rsidTr="00346192">
        <w:trPr>
          <w:cantSplit/>
        </w:trPr>
        <w:tc>
          <w:tcPr>
            <w:tcW w:w="1150" w:type="dxa"/>
            <w:tcMar>
              <w:top w:w="40" w:type="dxa"/>
              <w:left w:w="80" w:type="dxa"/>
              <w:bottom w:w="40" w:type="dxa"/>
              <w:right w:w="80" w:type="dxa"/>
            </w:tcMar>
            <w:vAlign w:val="center"/>
          </w:tcPr>
          <w:p w14:paraId="27B30683" w14:textId="77777777" w:rsidR="00A41DD1" w:rsidRDefault="00A41DD1" w:rsidP="00346192">
            <w:pPr>
              <w:pStyle w:val="OikoTables03Content"/>
            </w:pPr>
            <w:r>
              <w:t>S0 Baseline</w:t>
            </w:r>
          </w:p>
        </w:tc>
        <w:tc>
          <w:tcPr>
            <w:tcW w:w="2121" w:type="dxa"/>
            <w:tcMar>
              <w:top w:w="40" w:type="dxa"/>
              <w:left w:w="80" w:type="dxa"/>
              <w:bottom w:w="40" w:type="dxa"/>
              <w:right w:w="80" w:type="dxa"/>
            </w:tcMar>
            <w:vAlign w:val="center"/>
          </w:tcPr>
          <w:p w14:paraId="1A0D9A72" w14:textId="77777777" w:rsidR="00A41DD1" w:rsidRDefault="00A41DD1" w:rsidP="00346192">
            <w:pPr>
              <w:pStyle w:val="OikoTables03Content"/>
            </w:pPr>
            <w:r>
              <w:t>Traditional vegetable farming without the project package — the reference case against which all other scenarios are measured.</w:t>
            </w:r>
          </w:p>
        </w:tc>
        <w:tc>
          <w:tcPr>
            <w:tcW w:w="2121" w:type="dxa"/>
            <w:tcMar>
              <w:top w:w="40" w:type="dxa"/>
              <w:left w:w="80" w:type="dxa"/>
              <w:bottom w:w="40" w:type="dxa"/>
              <w:right w:w="80" w:type="dxa"/>
            </w:tcMar>
            <w:vAlign w:val="center"/>
          </w:tcPr>
          <w:p w14:paraId="16EACC80" w14:textId="77777777" w:rsidR="00A41DD1" w:rsidRDefault="00A41DD1" w:rsidP="00346192">
            <w:pPr>
              <w:pStyle w:val="OikoTables03Content"/>
            </w:pPr>
            <w:r>
              <w:t>Rain-fed or low-efficiency irrigation; no improved greenhouse (at most rudimentary structures); no agroforestry protection; no insurance.</w:t>
            </w:r>
          </w:p>
        </w:tc>
        <w:tc>
          <w:tcPr>
            <w:tcW w:w="2121" w:type="dxa"/>
            <w:tcMar>
              <w:top w:w="40" w:type="dxa"/>
              <w:left w:w="80" w:type="dxa"/>
              <w:bottom w:w="40" w:type="dxa"/>
              <w:right w:w="80" w:type="dxa"/>
            </w:tcMar>
            <w:vAlign w:val="center"/>
          </w:tcPr>
          <w:p w14:paraId="48B4101C" w14:textId="77777777" w:rsidR="00A41DD1" w:rsidRDefault="00A41DD1" w:rsidP="00346192">
            <w:pPr>
              <w:pStyle w:val="OikoTables03Content"/>
            </w:pPr>
            <w:r>
              <w:t>Open-field plot watered from shallow wells by hose or furrow; unprotected against wind and frost.</w:t>
            </w:r>
          </w:p>
        </w:tc>
        <w:tc>
          <w:tcPr>
            <w:tcW w:w="2121" w:type="dxa"/>
            <w:tcMar>
              <w:top w:w="40" w:type="dxa"/>
              <w:left w:w="80" w:type="dxa"/>
              <w:bottom w:w="40" w:type="dxa"/>
              <w:right w:w="80" w:type="dxa"/>
            </w:tcMar>
            <w:vAlign w:val="center"/>
          </w:tcPr>
          <w:p w14:paraId="3EDAD232" w14:textId="77777777" w:rsidR="00A41DD1" w:rsidRDefault="00A41DD1" w:rsidP="00346192">
            <w:pPr>
              <w:pStyle w:val="OikoTables03Content"/>
            </w:pPr>
            <w:r>
              <w:t>Open-field plot dependent on existing boreholes where available; unprotected against wind, dust and frost.</w:t>
            </w:r>
          </w:p>
        </w:tc>
      </w:tr>
      <w:tr w:rsidR="00A41DD1" w14:paraId="2C855877" w14:textId="77777777" w:rsidTr="00346192">
        <w:trPr>
          <w:cantSplit/>
        </w:trPr>
        <w:tc>
          <w:tcPr>
            <w:tcW w:w="1150" w:type="dxa"/>
            <w:tcMar>
              <w:top w:w="40" w:type="dxa"/>
              <w:left w:w="80" w:type="dxa"/>
              <w:bottom w:w="40" w:type="dxa"/>
              <w:right w:w="80" w:type="dxa"/>
            </w:tcMar>
            <w:vAlign w:val="center"/>
          </w:tcPr>
          <w:p w14:paraId="0B4E528E" w14:textId="77777777" w:rsidR="00A41DD1" w:rsidRDefault="00A41DD1" w:rsidP="00346192">
            <w:pPr>
              <w:pStyle w:val="OikoTables03Content"/>
            </w:pPr>
            <w:r>
              <w:t>S1 Improved irrigation</w:t>
            </w:r>
          </w:p>
        </w:tc>
        <w:tc>
          <w:tcPr>
            <w:tcW w:w="2121" w:type="dxa"/>
            <w:tcMar>
              <w:top w:w="40" w:type="dxa"/>
              <w:left w:w="80" w:type="dxa"/>
              <w:bottom w:w="40" w:type="dxa"/>
              <w:right w:w="80" w:type="dxa"/>
            </w:tcMar>
            <w:vAlign w:val="center"/>
          </w:tcPr>
          <w:p w14:paraId="56C1D53F" w14:textId="77777777" w:rsidR="00A41DD1" w:rsidRDefault="00A41DD1" w:rsidP="00346192">
            <w:pPr>
              <w:pStyle w:val="OikoTables03Content"/>
            </w:pPr>
            <w:r>
              <w:t>Water efficiency: shared solar pumping and storage with household drip irrigation on the open-field plot; no greenhouse, no insurance.</w:t>
            </w:r>
          </w:p>
        </w:tc>
        <w:tc>
          <w:tcPr>
            <w:tcW w:w="2121" w:type="dxa"/>
            <w:tcMar>
              <w:top w:w="40" w:type="dxa"/>
              <w:left w:w="80" w:type="dxa"/>
              <w:bottom w:w="40" w:type="dxa"/>
              <w:right w:w="80" w:type="dxa"/>
            </w:tcMar>
            <w:vAlign w:val="center"/>
          </w:tcPr>
          <w:p w14:paraId="651EAC8C" w14:textId="77777777" w:rsidR="00A41DD1" w:rsidRDefault="00A41DD1" w:rsidP="00346192">
            <w:pPr>
              <w:pStyle w:val="OikoTables03Content"/>
            </w:pPr>
            <w:r>
              <w:t>Shared solar pump and elevated storage tank (water-users' association); household drip lines; water metering.</w:t>
            </w:r>
          </w:p>
        </w:tc>
        <w:tc>
          <w:tcPr>
            <w:tcW w:w="2121" w:type="dxa"/>
            <w:tcMar>
              <w:top w:w="40" w:type="dxa"/>
              <w:left w:w="80" w:type="dxa"/>
              <w:bottom w:w="40" w:type="dxa"/>
              <w:right w:w="80" w:type="dxa"/>
            </w:tcMar>
            <w:vAlign w:val="center"/>
          </w:tcPr>
          <w:p w14:paraId="64CE6ED1" w14:textId="77777777" w:rsidR="00A41DD1" w:rsidRDefault="00A41DD1" w:rsidP="00346192">
            <w:pPr>
              <w:pStyle w:val="OikoTables03Content"/>
            </w:pPr>
            <w:r>
              <w:t>Direct-coupled solar pump (no battery) on shallow wells (5–25 m); gravity-fed drip where elevation allows a header tank.</w:t>
            </w:r>
          </w:p>
        </w:tc>
        <w:tc>
          <w:tcPr>
            <w:tcW w:w="2121" w:type="dxa"/>
            <w:tcMar>
              <w:top w:w="40" w:type="dxa"/>
              <w:left w:w="80" w:type="dxa"/>
              <w:bottom w:w="40" w:type="dxa"/>
              <w:right w:w="80" w:type="dxa"/>
            </w:tcMar>
            <w:vAlign w:val="center"/>
          </w:tcPr>
          <w:p w14:paraId="5E7E40B5" w14:textId="77777777" w:rsidR="00A41DD1" w:rsidRDefault="00A41DD1" w:rsidP="00346192">
            <w:pPr>
              <w:pStyle w:val="OikoTables03Content"/>
            </w:pPr>
            <w:r>
              <w:t xml:space="preserve">Solar pumping from deep boreholes (50–150 m) with </w:t>
            </w:r>
            <w:proofErr w:type="spellStart"/>
            <w:r>
              <w:t>LiFePO</w:t>
            </w:r>
            <w:proofErr w:type="spellEnd"/>
            <w:r>
              <w:t>₄ battery storage; drip supplied from the storage tank; WUA-managed.</w:t>
            </w:r>
          </w:p>
        </w:tc>
      </w:tr>
      <w:tr w:rsidR="00A41DD1" w14:paraId="64FE67E0" w14:textId="77777777" w:rsidTr="00346192">
        <w:trPr>
          <w:cantSplit/>
        </w:trPr>
        <w:tc>
          <w:tcPr>
            <w:tcW w:w="1150" w:type="dxa"/>
            <w:tcMar>
              <w:top w:w="40" w:type="dxa"/>
              <w:left w:w="80" w:type="dxa"/>
              <w:bottom w:w="40" w:type="dxa"/>
              <w:right w:w="80" w:type="dxa"/>
            </w:tcMar>
            <w:vAlign w:val="center"/>
          </w:tcPr>
          <w:p w14:paraId="129F989D" w14:textId="77777777" w:rsidR="00A41DD1" w:rsidRDefault="00A41DD1" w:rsidP="00346192">
            <w:pPr>
              <w:pStyle w:val="OikoTables03Content"/>
            </w:pPr>
            <w:r>
              <w:t>S2 Irrigation + Greenhouse</w:t>
            </w:r>
          </w:p>
        </w:tc>
        <w:tc>
          <w:tcPr>
            <w:tcW w:w="2121" w:type="dxa"/>
            <w:tcMar>
              <w:top w:w="40" w:type="dxa"/>
              <w:left w:w="80" w:type="dxa"/>
              <w:bottom w:w="40" w:type="dxa"/>
              <w:right w:w="80" w:type="dxa"/>
            </w:tcMar>
            <w:vAlign w:val="center"/>
          </w:tcPr>
          <w:p w14:paraId="0FAE682D" w14:textId="77777777" w:rsidR="00A41DD1" w:rsidRDefault="00A41DD1" w:rsidP="00346192">
            <w:pPr>
              <w:pStyle w:val="OikoTables03Content"/>
            </w:pPr>
            <w:r>
              <w:t>Productivity and climate protection: S1 plus the protected-production core identified by the MCA as the pivotal productive asset.</w:t>
            </w:r>
          </w:p>
        </w:tc>
        <w:tc>
          <w:tcPr>
            <w:tcW w:w="2121" w:type="dxa"/>
            <w:tcMar>
              <w:top w:w="40" w:type="dxa"/>
              <w:left w:w="80" w:type="dxa"/>
              <w:bottom w:w="40" w:type="dxa"/>
              <w:right w:w="80" w:type="dxa"/>
            </w:tcMar>
            <w:vAlign w:val="center"/>
          </w:tcPr>
          <w:p w14:paraId="30DF2F1C" w14:textId="77777777" w:rsidR="00A41DD1" w:rsidRDefault="00A41DD1" w:rsidP="00346192">
            <w:pPr>
              <w:pStyle w:val="OikoTables03Content"/>
            </w:pPr>
            <w:r>
              <w:t>S1 components plus an earth-sheltered passive-solar greenhouse (200–300 m²) with in-house drip irrigation.</w:t>
            </w:r>
          </w:p>
        </w:tc>
        <w:tc>
          <w:tcPr>
            <w:tcW w:w="2121" w:type="dxa"/>
            <w:tcMar>
              <w:top w:w="40" w:type="dxa"/>
              <w:left w:w="80" w:type="dxa"/>
              <w:bottom w:w="40" w:type="dxa"/>
              <w:right w:w="80" w:type="dxa"/>
            </w:tcMar>
            <w:vAlign w:val="center"/>
          </w:tcPr>
          <w:p w14:paraId="7D1F17D0" w14:textId="77777777" w:rsidR="00A41DD1" w:rsidRDefault="00A41DD1" w:rsidP="00346192">
            <w:pPr>
              <w:pStyle w:val="OikoTables03Content"/>
            </w:pPr>
            <w:proofErr w:type="gramStart"/>
            <w:r>
              <w:t>Third-generation</w:t>
            </w:r>
            <w:proofErr w:type="gramEnd"/>
            <w:r>
              <w:t xml:space="preserve"> double hollow block-sheltered passive-solar greenhouse (MCA rank 1).</w:t>
            </w:r>
          </w:p>
        </w:tc>
        <w:tc>
          <w:tcPr>
            <w:tcW w:w="2121" w:type="dxa"/>
            <w:tcMar>
              <w:top w:w="40" w:type="dxa"/>
              <w:left w:w="80" w:type="dxa"/>
              <w:bottom w:w="40" w:type="dxa"/>
              <w:right w:w="80" w:type="dxa"/>
            </w:tcMar>
            <w:vAlign w:val="center"/>
          </w:tcPr>
          <w:p w14:paraId="2CE1942E" w14:textId="77777777" w:rsidR="00A41DD1" w:rsidRDefault="00A41DD1" w:rsidP="00346192">
            <w:pPr>
              <w:pStyle w:val="OikoTables03Content"/>
            </w:pPr>
            <w:r>
              <w:t>Low-cost earth-sheltered passive-solar design (USD 15–25/m²), sheltered by windbreaks; the wind-resistant polycarbonate structure is appraised in the CBA only as a higher-specification, co-financed variant.</w:t>
            </w:r>
          </w:p>
        </w:tc>
      </w:tr>
      <w:tr w:rsidR="00A41DD1" w14:paraId="59262107" w14:textId="77777777" w:rsidTr="00346192">
        <w:trPr>
          <w:cantSplit/>
        </w:trPr>
        <w:tc>
          <w:tcPr>
            <w:tcW w:w="1150" w:type="dxa"/>
            <w:tcMar>
              <w:top w:w="40" w:type="dxa"/>
              <w:left w:w="80" w:type="dxa"/>
              <w:bottom w:w="40" w:type="dxa"/>
              <w:right w:w="80" w:type="dxa"/>
            </w:tcMar>
            <w:vAlign w:val="center"/>
          </w:tcPr>
          <w:p w14:paraId="0EE3DAF0" w14:textId="77777777" w:rsidR="00A41DD1" w:rsidRDefault="00A41DD1" w:rsidP="00346192">
            <w:pPr>
              <w:pStyle w:val="OikoTables03Content"/>
            </w:pPr>
            <w:r>
              <w:t>S3 Irrigation + Agroforestry (</w:t>
            </w:r>
            <w:proofErr w:type="spellStart"/>
            <w:r>
              <w:t>EbA</w:t>
            </w:r>
            <w:proofErr w:type="spellEnd"/>
            <w:r>
              <w:t>)</w:t>
            </w:r>
          </w:p>
        </w:tc>
        <w:tc>
          <w:tcPr>
            <w:tcW w:w="2121" w:type="dxa"/>
            <w:tcMar>
              <w:top w:w="40" w:type="dxa"/>
              <w:left w:w="80" w:type="dxa"/>
              <w:bottom w:w="40" w:type="dxa"/>
              <w:right w:w="80" w:type="dxa"/>
            </w:tcMar>
            <w:vAlign w:val="center"/>
          </w:tcPr>
          <w:p w14:paraId="5652E581" w14:textId="77777777" w:rsidR="00A41DD1" w:rsidRDefault="00A41DD1" w:rsidP="00346192">
            <w:pPr>
              <w:pStyle w:val="OikoTables03Content"/>
            </w:pPr>
            <w:r>
              <w:t xml:space="preserve">Nature-based </w:t>
            </w:r>
            <w:proofErr w:type="gramStart"/>
            <w:r>
              <w:t>solution</w:t>
            </w:r>
            <w:proofErr w:type="gramEnd"/>
            <w:r>
              <w:t xml:space="preserve"> and ecosystem resilience: S1 plus the foundational protective layer; no greenhouse, no insurance.</w:t>
            </w:r>
          </w:p>
        </w:tc>
        <w:tc>
          <w:tcPr>
            <w:tcW w:w="2121" w:type="dxa"/>
            <w:tcMar>
              <w:top w:w="40" w:type="dxa"/>
              <w:left w:w="80" w:type="dxa"/>
              <w:bottom w:w="40" w:type="dxa"/>
              <w:right w:w="80" w:type="dxa"/>
            </w:tcMar>
            <w:vAlign w:val="center"/>
          </w:tcPr>
          <w:p w14:paraId="453B682B" w14:textId="77777777" w:rsidR="00A41DD1" w:rsidRDefault="00A41DD1" w:rsidP="00346192">
            <w:pPr>
              <w:pStyle w:val="OikoTables03Content"/>
            </w:pPr>
            <w:r>
              <w:t xml:space="preserve">S1 components plus a layered multifunctional shelterbelt / windbreak strip: wind protection, soil-moisture retention, soil </w:t>
            </w:r>
            <w:proofErr w:type="spellStart"/>
            <w:r>
              <w:t>stabilisation</w:t>
            </w:r>
            <w:proofErr w:type="spellEnd"/>
            <w:r>
              <w:t>.</w:t>
            </w:r>
          </w:p>
        </w:tc>
        <w:tc>
          <w:tcPr>
            <w:tcW w:w="2121" w:type="dxa"/>
            <w:tcMar>
              <w:top w:w="40" w:type="dxa"/>
              <w:left w:w="80" w:type="dxa"/>
              <w:bottom w:w="40" w:type="dxa"/>
              <w:right w:w="80" w:type="dxa"/>
            </w:tcMar>
            <w:vAlign w:val="center"/>
          </w:tcPr>
          <w:p w14:paraId="13181F74" w14:textId="77777777" w:rsidR="00A41DD1" w:rsidRDefault="00A41DD1" w:rsidP="00346192">
            <w:pPr>
              <w:pStyle w:val="OikoTables03Content"/>
            </w:pPr>
            <w:r>
              <w:t xml:space="preserve">Multifunctional shelterbelts incorporating fast-yielding berry shrubs (sea buckthorn); entry point for later </w:t>
            </w:r>
            <w:proofErr w:type="spellStart"/>
            <w:r>
              <w:t>agro-silvo</w:t>
            </w:r>
            <w:proofErr w:type="spellEnd"/>
            <w:r>
              <w:t xml:space="preserve"> diversification.</w:t>
            </w:r>
          </w:p>
        </w:tc>
        <w:tc>
          <w:tcPr>
            <w:tcW w:w="2121" w:type="dxa"/>
            <w:tcMar>
              <w:top w:w="40" w:type="dxa"/>
              <w:left w:w="80" w:type="dxa"/>
              <w:bottom w:w="40" w:type="dxa"/>
              <w:right w:w="80" w:type="dxa"/>
            </w:tcMar>
            <w:vAlign w:val="center"/>
          </w:tcPr>
          <w:p w14:paraId="1F7B52D9" w14:textId="77777777" w:rsidR="00A41DD1" w:rsidRDefault="00A41DD1" w:rsidP="00346192">
            <w:pPr>
              <w:pStyle w:val="OikoTables03Content"/>
            </w:pPr>
            <w:r>
              <w:t xml:space="preserve">Protective multifunctional shelterbelts of drought-tolerant species (Caragana, Ulmus, Populus, saxaul); </w:t>
            </w:r>
            <w:proofErr w:type="spellStart"/>
            <w:r>
              <w:t>agro-silvo</w:t>
            </w:r>
            <w:proofErr w:type="spellEnd"/>
            <w:r>
              <w:t xml:space="preserve"> systems remain secondary.</w:t>
            </w:r>
          </w:p>
        </w:tc>
      </w:tr>
      <w:tr w:rsidR="00A41DD1" w14:paraId="08B0314B" w14:textId="77777777" w:rsidTr="00346192">
        <w:trPr>
          <w:cantSplit/>
        </w:trPr>
        <w:tc>
          <w:tcPr>
            <w:tcW w:w="1150" w:type="dxa"/>
            <w:tcMar>
              <w:top w:w="40" w:type="dxa"/>
              <w:left w:w="80" w:type="dxa"/>
              <w:bottom w:w="40" w:type="dxa"/>
              <w:right w:w="80" w:type="dxa"/>
            </w:tcMar>
            <w:vAlign w:val="center"/>
          </w:tcPr>
          <w:p w14:paraId="26CDED59" w14:textId="77777777" w:rsidR="00A41DD1" w:rsidRDefault="00A41DD1" w:rsidP="00346192">
            <w:pPr>
              <w:pStyle w:val="OikoTables03Content"/>
            </w:pPr>
            <w:r>
              <w:t>S4 Full Integrated Model</w:t>
            </w:r>
          </w:p>
        </w:tc>
        <w:tc>
          <w:tcPr>
            <w:tcW w:w="2121" w:type="dxa"/>
            <w:tcMar>
              <w:top w:w="40" w:type="dxa"/>
              <w:left w:w="80" w:type="dxa"/>
              <w:bottom w:w="40" w:type="dxa"/>
              <w:right w:w="80" w:type="dxa"/>
            </w:tcMar>
            <w:vAlign w:val="center"/>
          </w:tcPr>
          <w:p w14:paraId="45174713" w14:textId="77777777" w:rsidR="00A41DD1" w:rsidRDefault="00A41DD1" w:rsidP="00346192">
            <w:pPr>
              <w:pStyle w:val="OikoTables03Content"/>
            </w:pPr>
            <w:r>
              <w:t>The project's full concept: maximum resilience plus financial protection — all four focal technologies combined.</w:t>
            </w:r>
          </w:p>
        </w:tc>
        <w:tc>
          <w:tcPr>
            <w:tcW w:w="2121" w:type="dxa"/>
            <w:tcMar>
              <w:top w:w="40" w:type="dxa"/>
              <w:left w:w="80" w:type="dxa"/>
              <w:bottom w:w="40" w:type="dxa"/>
              <w:right w:w="80" w:type="dxa"/>
            </w:tcMar>
            <w:vAlign w:val="center"/>
          </w:tcPr>
          <w:p w14:paraId="290E7247" w14:textId="77777777" w:rsidR="00A41DD1" w:rsidRDefault="00A41DD1" w:rsidP="00346192">
            <w:pPr>
              <w:pStyle w:val="OikoTables03Content"/>
            </w:pPr>
            <w:r>
              <w:t xml:space="preserve">Solar drip irrigation + passive-solar greenhouse + agroforestry / shelterbelts + </w:t>
            </w:r>
            <w:proofErr w:type="spellStart"/>
            <w:r>
              <w:t>digitalised</w:t>
            </w:r>
            <w:proofErr w:type="spellEnd"/>
            <w:r>
              <w:t xml:space="preserve"> index-based crop insurance.</w:t>
            </w:r>
          </w:p>
        </w:tc>
        <w:tc>
          <w:tcPr>
            <w:tcW w:w="2121" w:type="dxa"/>
            <w:tcMar>
              <w:top w:w="40" w:type="dxa"/>
              <w:left w:w="80" w:type="dxa"/>
              <w:bottom w:w="40" w:type="dxa"/>
              <w:right w:w="80" w:type="dxa"/>
            </w:tcMar>
            <w:vAlign w:val="center"/>
          </w:tcPr>
          <w:p w14:paraId="2A42E77C" w14:textId="77777777" w:rsidR="00A41DD1" w:rsidRDefault="00A41DD1" w:rsidP="00346192">
            <w:pPr>
              <w:pStyle w:val="OikoTables03Content"/>
            </w:pPr>
            <w:r>
              <w:t xml:space="preserve">Combines the S1–S3 configurations above, extended where water and capacity allow by oasis-type </w:t>
            </w:r>
            <w:proofErr w:type="spellStart"/>
            <w:r>
              <w:t>agro-silvo</w:t>
            </w:r>
            <w:proofErr w:type="spellEnd"/>
            <w:r>
              <w:t xml:space="preserve"> diversification (fruit trees, berries).</w:t>
            </w:r>
          </w:p>
        </w:tc>
        <w:tc>
          <w:tcPr>
            <w:tcW w:w="2121" w:type="dxa"/>
            <w:tcMar>
              <w:top w:w="40" w:type="dxa"/>
              <w:left w:w="80" w:type="dxa"/>
              <w:bottom w:w="40" w:type="dxa"/>
              <w:right w:w="80" w:type="dxa"/>
            </w:tcMar>
            <w:vAlign w:val="center"/>
          </w:tcPr>
          <w:p w14:paraId="63B743C8" w14:textId="77777777" w:rsidR="00A41DD1" w:rsidRDefault="00A41DD1" w:rsidP="00346192">
            <w:pPr>
              <w:pStyle w:val="OikoTables03Content"/>
            </w:pPr>
            <w:r>
              <w:t>Combines the S1–S3 configurations above in a protection-first sequence: shelterbelts established ahead of the greenhouse and solar system.</w:t>
            </w:r>
          </w:p>
        </w:tc>
      </w:tr>
      <w:tr w:rsidR="00A41DD1" w14:paraId="6A2755B6" w14:textId="77777777" w:rsidTr="00346192">
        <w:trPr>
          <w:cantSplit/>
        </w:trPr>
        <w:tc>
          <w:tcPr>
            <w:tcW w:w="1150" w:type="dxa"/>
            <w:tcMar>
              <w:top w:w="40" w:type="dxa"/>
              <w:left w:w="80" w:type="dxa"/>
              <w:bottom w:w="40" w:type="dxa"/>
              <w:right w:w="80" w:type="dxa"/>
            </w:tcMar>
            <w:vAlign w:val="center"/>
          </w:tcPr>
          <w:p w14:paraId="6A5FB15B" w14:textId="77777777" w:rsidR="00A41DD1" w:rsidRDefault="00A41DD1" w:rsidP="00346192">
            <w:pPr>
              <w:pStyle w:val="OikoTables03Content"/>
            </w:pPr>
            <w:r>
              <w:t>S5 Insurance only</w:t>
            </w:r>
          </w:p>
        </w:tc>
        <w:tc>
          <w:tcPr>
            <w:tcW w:w="2121" w:type="dxa"/>
            <w:tcMar>
              <w:top w:w="40" w:type="dxa"/>
              <w:left w:w="80" w:type="dxa"/>
              <w:bottom w:w="40" w:type="dxa"/>
              <w:right w:w="80" w:type="dxa"/>
            </w:tcMar>
            <w:vAlign w:val="center"/>
          </w:tcPr>
          <w:p w14:paraId="7423E937" w14:textId="77777777" w:rsidR="00A41DD1" w:rsidRDefault="00A41DD1" w:rsidP="00346192">
            <w:pPr>
              <w:pStyle w:val="OikoTables03Content"/>
            </w:pPr>
            <w:r>
              <w:t xml:space="preserve">Analytical reference scenario, not a recommended </w:t>
            </w:r>
            <w:proofErr w:type="gramStart"/>
            <w:r>
              <w:t>package:</w:t>
            </w:r>
            <w:proofErr w:type="gramEnd"/>
            <w:r>
              <w:t xml:space="preserve"> isolates the value of risk transfer alone and demonstrates that insurance is not a substitute for the physical investments.</w:t>
            </w:r>
          </w:p>
        </w:tc>
        <w:tc>
          <w:tcPr>
            <w:tcW w:w="2121" w:type="dxa"/>
            <w:tcMar>
              <w:top w:w="40" w:type="dxa"/>
              <w:left w:w="80" w:type="dxa"/>
              <w:bottom w:w="40" w:type="dxa"/>
              <w:right w:w="80" w:type="dxa"/>
            </w:tcMar>
            <w:vAlign w:val="center"/>
          </w:tcPr>
          <w:p w14:paraId="20B6D82C" w14:textId="77777777" w:rsidR="00A41DD1" w:rsidRDefault="00A41DD1" w:rsidP="00346192">
            <w:pPr>
              <w:pStyle w:val="OikoTables03Content"/>
            </w:pPr>
            <w:r>
              <w:t xml:space="preserve">No technology upgrade; </w:t>
            </w:r>
            <w:proofErr w:type="spellStart"/>
            <w:r>
              <w:t>digitalised</w:t>
            </w:r>
            <w:proofErr w:type="spellEnd"/>
            <w:r>
              <w:t xml:space="preserve"> index-based crop insurance written on the baseline production system.</w:t>
            </w:r>
          </w:p>
        </w:tc>
        <w:tc>
          <w:tcPr>
            <w:tcW w:w="2121" w:type="dxa"/>
            <w:tcMar>
              <w:top w:w="40" w:type="dxa"/>
              <w:left w:w="80" w:type="dxa"/>
              <w:bottom w:w="40" w:type="dxa"/>
              <w:right w:w="80" w:type="dxa"/>
            </w:tcMar>
            <w:vAlign w:val="center"/>
          </w:tcPr>
          <w:p w14:paraId="218FC6C2" w14:textId="77777777" w:rsidR="00A41DD1" w:rsidRDefault="00A41DD1" w:rsidP="00346192">
            <w:pPr>
              <w:pStyle w:val="OikoTables03Content"/>
            </w:pPr>
            <w:r>
              <w:t>As core components; province-specific premium and sum insured.</w:t>
            </w:r>
          </w:p>
        </w:tc>
        <w:tc>
          <w:tcPr>
            <w:tcW w:w="2121" w:type="dxa"/>
            <w:tcMar>
              <w:top w:w="40" w:type="dxa"/>
              <w:left w:w="80" w:type="dxa"/>
              <w:bottom w:w="40" w:type="dxa"/>
              <w:right w:w="80" w:type="dxa"/>
            </w:tcMar>
            <w:vAlign w:val="center"/>
          </w:tcPr>
          <w:p w14:paraId="23C8D1DA" w14:textId="77777777" w:rsidR="00A41DD1" w:rsidRDefault="00A41DD1" w:rsidP="00346192">
            <w:pPr>
              <w:pStyle w:val="OikoTables03Content"/>
            </w:pPr>
            <w:r>
              <w:t>As core components; province-specific premium and sum insured.</w:t>
            </w:r>
          </w:p>
        </w:tc>
      </w:tr>
    </w:tbl>
    <w:p w14:paraId="7B4891EA" w14:textId="6A00504C" w:rsidR="00A41DD1" w:rsidRPr="00A41DD1" w:rsidRDefault="00A41DD1" w:rsidP="00A41DD1">
      <w:pPr>
        <w:spacing w:before="120" w:after="120" w:line="240" w:lineRule="auto"/>
        <w:contextualSpacing w:val="0"/>
        <w:rPr>
          <w:i/>
          <w:iCs/>
          <w:sz w:val="21"/>
          <w:szCs w:val="21"/>
        </w:rPr>
      </w:pPr>
      <w:r>
        <w:rPr>
          <w:i/>
          <w:iCs/>
          <w:sz w:val="21"/>
          <w:szCs w:val="21"/>
        </w:rPr>
        <w:t>Scenario identifiers (S0–S5) and definitions correspond one-to-one to those used in the companion cost-benefit analysis report (Output 1.3).</w:t>
      </w:r>
    </w:p>
    <w:p w14:paraId="233DC370" w14:textId="29131D5F" w:rsidR="00A41DD1" w:rsidRDefault="004758AA" w:rsidP="00A41DD1">
      <w:pPr>
        <w:spacing w:before="120" w:after="120" w:line="240" w:lineRule="auto"/>
        <w:contextualSpacing w:val="0"/>
      </w:pPr>
      <w:r>
        <w:t xml:space="preserve">The same scenario families are therefore applied in both provinces, but each province carries its own configuration and assumptions, as the last two columns of Table </w:t>
      </w:r>
      <w:r w:rsidR="00A6733C">
        <w:t>54</w:t>
      </w:r>
      <w:r>
        <w:t xml:space="preserve"> summarise. In line with the multi-criteria analysis in Chapter 7, the earth-sheltered passive-solar greenhouse is the primary greenhouse type in both provinces; the wind-resistant polycarbonate structure enters the analysis only for Dundgovi, as a higher-specification variant whose additional cost presupposes public co-financing. Irrigation is differentiated by groundwater depth rather than by technology: direct-coupled or gravity-fed solar drip on </w:t>
      </w:r>
      <w:proofErr w:type="spellStart"/>
      <w:r>
        <w:t>Uvurkhangai's</w:t>
      </w:r>
      <w:proofErr w:type="spellEnd"/>
      <w:r>
        <w:t xml:space="preserve"> shallow wells, and battery-buffered deep-borehole solar pumping in Dundgovi.</w:t>
      </w:r>
    </w:p>
    <w:p w14:paraId="137F6393" w14:textId="77777777" w:rsidR="00A41DD1" w:rsidRDefault="00A41DD1" w:rsidP="00A41DD1">
      <w:pPr>
        <w:spacing w:before="120" w:after="120" w:line="240" w:lineRule="auto"/>
        <w:contextualSpacing w:val="0"/>
      </w:pPr>
      <w:r>
        <w:lastRenderedPageBreak/>
        <w:t>The unit of analysis is a reference smallholder household with a 500 m² open-field vegetable plot, a 200–300 m² greenhouse (300 m² in the CBA base case) and a 250 m² shelterbelt strip. The greenhouse, drip network, shelterbelt and insurance are household-level investments, while the solar borehole, pump and storage are shared infrastructure sized for a water-users' association of roughly 15–20 households (18 in the CBA base case), whose cost is allocated to the household as a per-household share. The key assumptions to be tested in the CBA are the empirical parameters that most affect the outcome: greenhouse capital cost per m² — and, for Dundgovi, the choice of greenhouse specification itself — vegetable yields and farm-gate prices, agroforestry establishment and survival rates, and the insurance premium structure. On this basis the CBA evaluates each scenario against the baseline using net present value, internal rate of return, the benefit–cost ratio and the payback period.</w:t>
      </w:r>
    </w:p>
    <w:p w14:paraId="191BC79C" w14:textId="77777777" w:rsidR="00A41DD1" w:rsidRDefault="00A41DD1" w:rsidP="00A41DD1">
      <w:pPr>
        <w:spacing w:before="120" w:after="120" w:line="240" w:lineRule="auto"/>
        <w:contextualSpacing w:val="0"/>
      </w:pPr>
      <w:r>
        <w:t>The CBA complements, rather than repeats, the multi-criteria assessment in Chapter 7. The MCA screened a diverse set of technologies against several weighted criteria, including benefits that are difficult to monetise — resilience, soil protection and insurability — and produced the shortlist. The CBA now converts the costs and benefits of the shortlisted packages into monetary terms so that they can be compared directly with the baseline and with alternative investments, in the form that financiers and public co-financing bodies expect. The financial analysis is complemented by an economic analysis using import-parity valuation and carbon co-benefits, which is why economic returns are expected to exceed financial returns and to strengthen the case for public support.</w:t>
      </w:r>
    </w:p>
    <w:p w14:paraId="3AB321CC" w14:textId="59C570E8" w:rsidR="00110334" w:rsidRPr="00110334" w:rsidRDefault="00A41DD1" w:rsidP="00A41DD1">
      <w:pPr>
        <w:spacing w:before="120" w:after="120" w:line="240" w:lineRule="auto"/>
        <w:contextualSpacing w:val="0"/>
      </w:pPr>
      <w:r>
        <w:t>The full appraisal — the detailed benefit streams and the net-present-value, internal-rate-of-return, benefit–cost-ratio and payback results for each scenario and province, together with the sensitivity analysis — is carried out in the companion report under Output 1.3, to which this study hands off. The two documents are designed to be read together: this report defines the packages, scenarios, units and assumptions; the companion report evaluates them. Consistent with that appraisal, the greenhouse-centred packages are the decisive value drivers, and only the configurations that contain the greenhouse are robustly viable — in Dundgovi contingent on the low-cost passive-solar design.</w:t>
      </w:r>
    </w:p>
    <w:p w14:paraId="1DCDB675" w14:textId="7A19DB78" w:rsidR="00081905" w:rsidRDefault="00081905" w:rsidP="00EB489E"/>
    <w:p w14:paraId="4D057764" w14:textId="65C20746" w:rsidR="00C43A1D" w:rsidRDefault="00C43A1D" w:rsidP="00EB489E"/>
    <w:p w14:paraId="5F9E015D" w14:textId="209D9319" w:rsidR="00C43A1D" w:rsidRDefault="00C43A1D" w:rsidP="00EB489E"/>
    <w:p w14:paraId="5820EE29" w14:textId="48A05B28" w:rsidR="00C43A1D" w:rsidRDefault="00C43A1D" w:rsidP="00EB489E"/>
    <w:p w14:paraId="4AD5E6EC" w14:textId="7CA0173C" w:rsidR="00C43A1D" w:rsidRDefault="00C43A1D" w:rsidP="00EB489E"/>
    <w:p w14:paraId="24A8600B" w14:textId="124AD58E" w:rsidR="00C43A1D" w:rsidRDefault="00C43A1D" w:rsidP="00EB489E"/>
    <w:p w14:paraId="5BEF5C96" w14:textId="5A0CB955" w:rsidR="00C43A1D" w:rsidRDefault="00C43A1D" w:rsidP="00EB489E"/>
    <w:p w14:paraId="352ECB58" w14:textId="6769652E" w:rsidR="00C43A1D" w:rsidRDefault="00C43A1D" w:rsidP="00EB489E"/>
    <w:p w14:paraId="515B7312" w14:textId="04564AE3" w:rsidR="00C43A1D" w:rsidRDefault="00C43A1D" w:rsidP="00EB489E"/>
    <w:p w14:paraId="7D83A63A" w14:textId="648FA64D" w:rsidR="00C43A1D" w:rsidRDefault="00C43A1D" w:rsidP="00EB489E"/>
    <w:p w14:paraId="75EBBFBF" w14:textId="7A947A73" w:rsidR="00C43A1D" w:rsidRDefault="00C43A1D" w:rsidP="00EB489E"/>
    <w:p w14:paraId="2D2A8404" w14:textId="66B64250" w:rsidR="00C43A1D" w:rsidRDefault="00C43A1D" w:rsidP="00EB489E"/>
    <w:p w14:paraId="791AF1F1" w14:textId="57C5D167" w:rsidR="00C43A1D" w:rsidRDefault="00C43A1D" w:rsidP="00EB489E"/>
    <w:p w14:paraId="5AFF37E7" w14:textId="1881BF5A" w:rsidR="00C43A1D" w:rsidRDefault="00C43A1D" w:rsidP="00EB489E"/>
    <w:p w14:paraId="4496AAD9" w14:textId="3F8F7B89" w:rsidR="00C43A1D" w:rsidRDefault="00C43A1D" w:rsidP="00EB489E"/>
    <w:p w14:paraId="240FF91C" w14:textId="77777777" w:rsidR="00346192" w:rsidRDefault="00346192">
      <w:pPr>
        <w:spacing w:after="160" w:line="259" w:lineRule="auto"/>
        <w:contextualSpacing w:val="0"/>
        <w:jc w:val="left"/>
        <w:rPr>
          <w:rFonts w:eastAsiaTheme="majorEastAsia" w:cstheme="majorBidi"/>
          <w:color w:val="DD6B22" w:themeColor="accent3" w:themeShade="BF"/>
          <w:sz w:val="52"/>
          <w:szCs w:val="32"/>
        </w:rPr>
      </w:pPr>
      <w:r>
        <w:br w:type="page"/>
      </w:r>
    </w:p>
    <w:p w14:paraId="102B9129" w14:textId="7FB37EAF" w:rsidR="00574737" w:rsidRPr="00E35798" w:rsidRDefault="00664917" w:rsidP="00D16E24">
      <w:pPr>
        <w:pStyle w:val="Heading1"/>
        <w:spacing w:line="240" w:lineRule="auto"/>
        <w:contextualSpacing w:val="0"/>
      </w:pPr>
      <w:bookmarkStart w:id="166" w:name="_Toc233981371"/>
      <w:r>
        <w:lastRenderedPageBreak/>
        <w:t>Conclusion and Recommendations</w:t>
      </w:r>
      <w:bookmarkEnd w:id="166"/>
    </w:p>
    <w:p w14:paraId="5C734571" w14:textId="1CEA4F45" w:rsidR="00574737" w:rsidRDefault="00F26EB8" w:rsidP="00F26EB8">
      <w:pPr>
        <w:pStyle w:val="Heading2"/>
      </w:pPr>
      <w:bookmarkStart w:id="167" w:name="_Toc233981372"/>
      <w:r>
        <w:t>Conclusions</w:t>
      </w:r>
      <w:bookmarkEnd w:id="167"/>
    </w:p>
    <w:p w14:paraId="7F5A6B67" w14:textId="77777777" w:rsidR="00F26EB8" w:rsidRDefault="00F26EB8" w:rsidP="00EB489E">
      <w:r>
        <w:t>Climate change poses a direct and growing threat to smallholder vegetable production in Mongolia. In the arid and semi-arid conditions of Dundgovi and Uvurkhangai the combined pressures of water scarcity, wind erosion and a short, variable season leave yields volatile and household incomes precarious, while the country continues to depend on imports for much of its vegetable supply. This assessment concludes that these pressures can be addressed, and domestic supply strengthened, through a defined set of climate-resilient technologies deployed as integrated, province-specific packages.</w:t>
      </w:r>
    </w:p>
    <w:p w14:paraId="583E3A97" w14:textId="77777777" w:rsidR="00346192" w:rsidRDefault="00346192" w:rsidP="00EB489E"/>
    <w:p w14:paraId="4AD73EBC" w14:textId="13D472A1" w:rsidR="00F26EB8" w:rsidRDefault="00F26EB8" w:rsidP="00EB489E">
      <w:r>
        <w:t>Four focal technologies, supported by an enabling energy layer, form the core of the recommended response. Earth-sheltered passive-solar greenhouses provide the most cost-effective route to protected, season-extended production and are the single most important determinant of financial viability. Solar-powered drip irrigation, managed collectively, delivers water efficiently and reliably in a water-scarce setting. Multifunctional shelterbelts are the foundational adaptation measure — the most scalable and economically realistic intervention, and a precondition for the others, since the wind protection they provide is what allows lower-cost greenhouses and reduces irrigation demand. Solar photovoltaics is the appropriate enabling energy source, and digitalised index-based insurance completes the package as a risk-transfer layer, though not as a substitute for the physical investments.</w:t>
      </w:r>
    </w:p>
    <w:p w14:paraId="3E5AF1BA" w14:textId="77777777" w:rsidR="00346192" w:rsidRDefault="00346192" w:rsidP="00EB489E"/>
    <w:p w14:paraId="3E8E96ED" w14:textId="665AA438" w:rsidR="00F26EB8" w:rsidRDefault="00F26EB8" w:rsidP="00EB489E">
      <w:r>
        <w:t xml:space="preserve">The assessment’s central finding is that these technologies are complementary and should not be evaluated or deployed in isolation. The recommended packages differ by province — a protection-first package for Dundgovi, prioritising wind and water, and a protect-and-diversify package for Uvurkhangai, which adds fruit-tree and berry production — but in both, living shelterbelts are the common foundation, while oasis-type </w:t>
      </w:r>
      <w:proofErr w:type="spellStart"/>
      <w:r>
        <w:t>agro-silvo</w:t>
      </w:r>
      <w:proofErr w:type="spellEnd"/>
      <w:r>
        <w:t xml:space="preserve"> systems are promoted only where water resources permit sustainable long-term development.</w:t>
      </w:r>
    </w:p>
    <w:p w14:paraId="6E2D6ABE" w14:textId="77777777" w:rsidR="00346192" w:rsidRDefault="00346192" w:rsidP="00EB489E"/>
    <w:p w14:paraId="39C646D8" w14:textId="41F8504D" w:rsidR="00F26EB8" w:rsidRDefault="00F26EB8" w:rsidP="00EB489E">
      <w:r>
        <w:t>The economic case, developed in the companion cost-benefit analysis, reinforces these conclusions. The greenhouse drives value; the integrated package is robustly viable in Uvurkhangai and viable in Dundgovi when it is built around the low-cost passive-solar design; and economic returns consistently exceed financial returns once import substitution and carbon co-benefits are valued. That differential is the analytical basis for public co-financing, particularly for the higher-specification options and for the agroforestry components, whose benefits are partly public.</w:t>
      </w:r>
    </w:p>
    <w:p w14:paraId="40D651C5" w14:textId="77777777" w:rsidR="00F26EB8" w:rsidRDefault="00F26EB8" w:rsidP="00EB489E"/>
    <w:p w14:paraId="29B8104B" w14:textId="17F89FB1" w:rsidR="00F26EB8" w:rsidRPr="00E35798" w:rsidRDefault="00F26EB8" w:rsidP="00F26EB8">
      <w:pPr>
        <w:pStyle w:val="Heading2"/>
      </w:pPr>
      <w:bookmarkStart w:id="168" w:name="_Toc233981373"/>
      <w:r>
        <w:t>Recommendations</w:t>
      </w:r>
      <w:bookmarkEnd w:id="168"/>
    </w:p>
    <w:p w14:paraId="3D6EF03E" w14:textId="66B84D3F" w:rsidR="00F26EB8" w:rsidRDefault="00F26EB8" w:rsidP="00346192">
      <w:pPr>
        <w:pStyle w:val="ListBullet3"/>
      </w:pPr>
      <w:r>
        <w:t xml:space="preserve">Deploy integrated, province-specific packages rather than stand-alone technologies, and sequence the components so that shelterbelts are established first, followed by the greenhouse and solar irrigation, with </w:t>
      </w:r>
      <w:proofErr w:type="spellStart"/>
      <w:r>
        <w:t>agro-silvo</w:t>
      </w:r>
      <w:proofErr w:type="spellEnd"/>
      <w:r>
        <w:t xml:space="preserve"> diversification added where conditions allow.</w:t>
      </w:r>
    </w:p>
    <w:p w14:paraId="64034EAB" w14:textId="4778552F" w:rsidR="00F26EB8" w:rsidRDefault="00F26EB8" w:rsidP="00346192">
      <w:pPr>
        <w:pStyle w:val="ListBullet3"/>
      </w:pPr>
      <w:r>
        <w:t>Prioritise multifunctional shelterbelts as the foundational layer in both provinces, using the three-row multifunctional design as the reference and the two-row compact design for smaller plots.</w:t>
      </w:r>
    </w:p>
    <w:p w14:paraId="6DEDCF49" w14:textId="6E68CA1B" w:rsidR="00F26EB8" w:rsidRDefault="00F26EB8" w:rsidP="00346192">
      <w:pPr>
        <w:pStyle w:val="ListBullet3"/>
      </w:pPr>
      <w:r>
        <w:t>Adopt the earth-sheltered passive-solar greenhouse as the primary protected-production technology in both provinces; in Dundgovi, reserve the higher-specification polycarbonate greenhouse for situations where public co-financing is available, since it is not financially viable on its own.</w:t>
      </w:r>
    </w:p>
    <w:p w14:paraId="57360334" w14:textId="451E6C70" w:rsidR="00F26EB8" w:rsidRDefault="00F26EB8" w:rsidP="00346192">
      <w:pPr>
        <w:pStyle w:val="ListBullet3"/>
      </w:pPr>
      <w:r>
        <w:t>Deliver water through solar-powered pumping and drip irrigation, sized and managed collectively through water-users’ associations rather than one system per household, with battery storage in Dundgovi and direct-coupled or gravity-fed configurations in Uvurkhangai.</w:t>
      </w:r>
    </w:p>
    <w:p w14:paraId="4E25BA15" w14:textId="3B32DDA1" w:rsidR="00F26EB8" w:rsidRDefault="00F26EB8" w:rsidP="00346192">
      <w:pPr>
        <w:pStyle w:val="ListBullet3"/>
      </w:pPr>
      <w:r>
        <w:t>Use solar photovoltaics as the enabling energy source and pair the package with digitalised index-based crop insurance as a complementary risk-transfer layer — not as a substitute for the physical investments.</w:t>
      </w:r>
    </w:p>
    <w:p w14:paraId="18608974" w14:textId="296D3445" w:rsidR="00F26EB8" w:rsidRDefault="00F26EB8" w:rsidP="00346192">
      <w:pPr>
        <w:pStyle w:val="ListBullet3"/>
      </w:pPr>
      <w:r>
        <w:t>Provide public co-financing to capture the economic and adaptation co-benefits that exceed private financial returns, targeting in particular the agroforestry components and the higher-specification options.</w:t>
      </w:r>
    </w:p>
    <w:p w14:paraId="4A85E81A" w14:textId="5D7AF92E" w:rsidR="00F26EB8" w:rsidRDefault="00F26EB8" w:rsidP="00346192">
      <w:pPr>
        <w:pStyle w:val="ListBullet3"/>
      </w:pPr>
      <w:r>
        <w:lastRenderedPageBreak/>
        <w:t xml:space="preserve">Strengthen the enabling environment: establish producers’ associations; deliver training across the value chain to the predominantly female membership; and build on existing assets such as the </w:t>
      </w:r>
      <w:proofErr w:type="spellStart"/>
      <w:r>
        <w:t>AgroParks</w:t>
      </w:r>
      <w:proofErr w:type="spellEnd"/>
      <w:r>
        <w:t>, the Korea–Mongolia nursery, vocational colleges and local banks.</w:t>
      </w:r>
    </w:p>
    <w:p w14:paraId="4C0AC95E" w14:textId="593A337C" w:rsidR="00F26EB8" w:rsidRDefault="00F26EB8" w:rsidP="00346192">
      <w:pPr>
        <w:pStyle w:val="ListBullet3"/>
      </w:pPr>
      <w:r>
        <w:t>Confirm the key parameters through field verification before scale-up — greenhouse capital costs and yields, open-field yields, agroforestry establishment and survival rates, and the insurance premium structure — and proceed through a phased, pilot-based rollout.</w:t>
      </w:r>
    </w:p>
    <w:p w14:paraId="28D5F91C" w14:textId="33C27194" w:rsidR="00F26EB8" w:rsidRDefault="00F26EB8" w:rsidP="00EB489E"/>
    <w:p w14:paraId="458BFC67" w14:textId="58416545" w:rsidR="00F26EB8" w:rsidRDefault="00F26EB8" w:rsidP="00F26EB8">
      <w:pPr>
        <w:pStyle w:val="Heading2"/>
      </w:pPr>
      <w:bookmarkStart w:id="169" w:name="_Toc233981374"/>
      <w:r>
        <w:t>Next steps</w:t>
      </w:r>
      <w:bookmarkEnd w:id="169"/>
    </w:p>
    <w:p w14:paraId="03B46E20" w14:textId="3D3665EB" w:rsidR="009223EB" w:rsidRDefault="00F26EB8" w:rsidP="00EB489E">
      <w:r>
        <w:t>The shortlisted packages and the assumptions defined in this report are carried forward to the full cost-benefit analysis in the companion report under Output 1.3, which evaluates each package against the baseline and quantifies the financial and economic returns. On that basis, detailed implementation design, procurement specification and monitoring arrangements can be developed for the pilot phase.</w:t>
      </w:r>
    </w:p>
    <w:p w14:paraId="376B8C09" w14:textId="77777777" w:rsidR="009223EB" w:rsidRDefault="009223EB" w:rsidP="00EB489E"/>
    <w:p w14:paraId="65E695E1" w14:textId="6AF0C9C7" w:rsidR="009223EB" w:rsidRDefault="009223EB" w:rsidP="00EB489E"/>
    <w:p w14:paraId="3279CD3B" w14:textId="05C326AE" w:rsidR="00F26EB8" w:rsidRDefault="00F26EB8" w:rsidP="00EB489E"/>
    <w:p w14:paraId="2AAF9750" w14:textId="2D4C9116" w:rsidR="00F26EB8" w:rsidRDefault="00F26EB8" w:rsidP="00EB489E"/>
    <w:p w14:paraId="6D66B53B" w14:textId="18439A23" w:rsidR="00F26EB8" w:rsidRDefault="00F26EB8" w:rsidP="00EB489E"/>
    <w:p w14:paraId="747CF45F" w14:textId="78B7E189" w:rsidR="00F26EB8" w:rsidRDefault="00F26EB8" w:rsidP="00EB489E"/>
    <w:p w14:paraId="41543CE1" w14:textId="57B0642B" w:rsidR="00F26EB8" w:rsidRDefault="00F26EB8" w:rsidP="00EB489E"/>
    <w:p w14:paraId="24FFBD0F" w14:textId="0204B076" w:rsidR="00F26EB8" w:rsidRDefault="00F26EB8" w:rsidP="00EB489E"/>
    <w:p w14:paraId="08F24157" w14:textId="50C14900" w:rsidR="00F26EB8" w:rsidRDefault="00F26EB8" w:rsidP="00EB489E"/>
    <w:p w14:paraId="221A5DC8" w14:textId="688C9593" w:rsidR="00F26EB8" w:rsidRDefault="00F26EB8" w:rsidP="00EB489E"/>
    <w:p w14:paraId="74531306" w14:textId="320DB93A" w:rsidR="00F26EB8" w:rsidRDefault="00F26EB8" w:rsidP="00EB489E"/>
    <w:p w14:paraId="5387BD36" w14:textId="1972A3FA" w:rsidR="00F26EB8" w:rsidRDefault="00F26EB8" w:rsidP="00EB489E"/>
    <w:p w14:paraId="5E095BC0" w14:textId="2811BBDA" w:rsidR="00F26EB8" w:rsidRDefault="00F26EB8" w:rsidP="00EB489E"/>
    <w:p w14:paraId="4B6071A3" w14:textId="4DF45314" w:rsidR="00F26EB8" w:rsidRDefault="00F26EB8" w:rsidP="00EB489E"/>
    <w:p w14:paraId="31241071" w14:textId="4F978149" w:rsidR="00F26EB8" w:rsidRDefault="00F26EB8" w:rsidP="00EB489E"/>
    <w:p w14:paraId="0247BD3E" w14:textId="1533A055" w:rsidR="00F26EB8" w:rsidRDefault="00F26EB8" w:rsidP="00EB489E"/>
    <w:p w14:paraId="789AA82E" w14:textId="6032F29B" w:rsidR="00F26EB8" w:rsidRDefault="00F26EB8" w:rsidP="00EB489E"/>
    <w:p w14:paraId="1D9214EE" w14:textId="0839A22A" w:rsidR="00F26EB8" w:rsidRDefault="00F26EB8" w:rsidP="00EB489E"/>
    <w:p w14:paraId="260EE579" w14:textId="24861FFC" w:rsidR="00F26EB8" w:rsidRDefault="00F26EB8" w:rsidP="00EB489E"/>
    <w:p w14:paraId="4885D5E5" w14:textId="516B99BE" w:rsidR="00F26EB8" w:rsidRDefault="00F26EB8" w:rsidP="00EB489E"/>
    <w:p w14:paraId="27F5E8EA" w14:textId="1FF51926" w:rsidR="00F26EB8" w:rsidRDefault="00F26EB8" w:rsidP="00EB489E"/>
    <w:p w14:paraId="18D28CDE" w14:textId="6072CDC1" w:rsidR="00F26EB8" w:rsidRDefault="00F26EB8" w:rsidP="00EB489E"/>
    <w:p w14:paraId="2F4C4C4A" w14:textId="1D17914B" w:rsidR="00F26EB8" w:rsidRDefault="00F26EB8" w:rsidP="00EB489E"/>
    <w:p w14:paraId="2C2DBEFE" w14:textId="7204DA75" w:rsidR="00F26EB8" w:rsidRDefault="00F26EB8" w:rsidP="00EB489E"/>
    <w:p w14:paraId="3F3D9F95" w14:textId="3A1FF251" w:rsidR="00F26EB8" w:rsidRDefault="00F26EB8" w:rsidP="00EB489E"/>
    <w:p w14:paraId="769FE96F" w14:textId="6FCB499F" w:rsidR="00F26EB8" w:rsidRDefault="00F26EB8" w:rsidP="00EB489E"/>
    <w:p w14:paraId="64D4542B" w14:textId="40ADD5C1" w:rsidR="00F26EB8" w:rsidRDefault="00F26EB8" w:rsidP="00EB489E"/>
    <w:p w14:paraId="67EE28AC" w14:textId="369B4D57" w:rsidR="00F26EB8" w:rsidRDefault="00F26EB8" w:rsidP="00EB489E"/>
    <w:p w14:paraId="7EF2C9EF" w14:textId="4339D308" w:rsidR="00F26EB8" w:rsidRDefault="00F26EB8" w:rsidP="00EB489E"/>
    <w:p w14:paraId="07E02117" w14:textId="77777777" w:rsidR="00346192" w:rsidRDefault="00346192">
      <w:pPr>
        <w:spacing w:after="160" w:line="259" w:lineRule="auto"/>
        <w:contextualSpacing w:val="0"/>
        <w:jc w:val="left"/>
        <w:rPr>
          <w:rFonts w:eastAsiaTheme="majorEastAsia" w:cstheme="majorBidi"/>
          <w:color w:val="DD6B22" w:themeColor="accent3" w:themeShade="BF"/>
          <w:sz w:val="52"/>
          <w:szCs w:val="32"/>
        </w:rPr>
      </w:pPr>
      <w:r>
        <w:br w:type="page"/>
      </w:r>
    </w:p>
    <w:p w14:paraId="5773C861" w14:textId="404A926C" w:rsidR="009223EB" w:rsidRDefault="009223EB" w:rsidP="009223EB">
      <w:pPr>
        <w:pStyle w:val="Heading1"/>
      </w:pPr>
      <w:bookmarkStart w:id="170" w:name="_Toc233981375"/>
      <w:r>
        <w:lastRenderedPageBreak/>
        <w:t>References</w:t>
      </w:r>
      <w:bookmarkEnd w:id="170"/>
    </w:p>
    <w:p w14:paraId="21374E8F" w14:textId="77777777" w:rsidR="00E45F2E" w:rsidRDefault="005F3D45">
      <w:pPr>
        <w:pStyle w:val="BodyText"/>
        <w:spacing w:line="240" w:lineRule="auto"/>
        <w:contextualSpacing w:val="0"/>
      </w:pPr>
      <w:r>
        <w:rPr>
          <w:rFonts w:cs="Times New Roman"/>
        </w:rPr>
        <w:t>[1] Asian Development Bank (2017). Guidelines for the Economic Analysis of Projects. Asian Development Bank, Manila.</w:t>
      </w:r>
    </w:p>
    <w:p w14:paraId="29EB25AB" w14:textId="77777777" w:rsidR="009223EB" w:rsidRPr="00E8296F" w:rsidRDefault="009223EB" w:rsidP="009223EB">
      <w:pPr>
        <w:pStyle w:val="BodyText"/>
        <w:spacing w:line="240" w:lineRule="auto"/>
        <w:contextualSpacing w:val="0"/>
        <w:rPr>
          <w:lang w:val="it-IT"/>
        </w:rPr>
      </w:pPr>
      <w:r>
        <w:rPr>
          <w:rFonts w:cs="Times New Roman"/>
        </w:rPr>
        <w:t>[2]</w:t>
      </w:r>
      <w:r>
        <w:t xml:space="preserve"> Asian Development Bank (2020). Vegetable Production and Value Chains in Mongolia. </w:t>
      </w:r>
      <w:r w:rsidRPr="00E8296F">
        <w:rPr>
          <w:lang w:val="it-IT"/>
        </w:rPr>
        <w:t xml:space="preserve">Manila. </w:t>
      </w:r>
      <w:r>
        <w:fldChar w:fldCharType="begin"/>
      </w:r>
      <w:r>
        <w:instrText>HYPERLINK "https://www.adb.org/sites/default/files/publication/624311/vegetable-production-value-chains-mongolia.pdf"</w:instrText>
      </w:r>
      <w:r>
        <w:fldChar w:fldCharType="separate"/>
      </w:r>
      <w:r w:rsidRPr="00E8296F">
        <w:rPr>
          <w:rStyle w:val="Hyperlink"/>
          <w:lang w:val="it-IT"/>
        </w:rPr>
        <w:t>https://www.adb.org/sites/default/files/publication/624311/vegetable-production-value-chains-mongolia.pdf</w:t>
      </w:r>
      <w:r>
        <w:fldChar w:fldCharType="end"/>
      </w:r>
      <w:r w:rsidRPr="00E8296F">
        <w:rPr>
          <w:lang w:val="it-IT"/>
        </w:rPr>
        <w:t xml:space="preserve"> </w:t>
      </w:r>
    </w:p>
    <w:p w14:paraId="3D10D05C" w14:textId="77777777" w:rsidR="009223EB" w:rsidRDefault="009223EB" w:rsidP="009223EB">
      <w:pPr>
        <w:pStyle w:val="BodyText"/>
        <w:spacing w:line="240" w:lineRule="auto"/>
        <w:contextualSpacing w:val="0"/>
      </w:pPr>
      <w:r>
        <w:rPr>
          <w:rFonts w:cs="Times New Roman"/>
        </w:rPr>
        <w:t xml:space="preserve">[3] </w:t>
      </w:r>
      <w:r>
        <w:t>Azjargal, E.</w:t>
      </w:r>
      <w:r>
        <w:rPr>
          <w:rFonts w:cs="Times New Roman"/>
        </w:rPr>
        <w:t xml:space="preserve"> (2022). </w:t>
      </w:r>
      <w:r>
        <w:rPr>
          <w:rFonts w:eastAsia="Times New Roman" w:cs="Times New Roman"/>
        </w:rPr>
        <w:t>Hazardous and Catastrophic Weather Events in Dundgovi aimag 2003–2021</w:t>
      </w:r>
      <w:r>
        <w:rPr>
          <w:rFonts w:cs="Times New Roman"/>
        </w:rPr>
        <w:t>.</w:t>
      </w:r>
      <w:r>
        <w:rPr>
          <w:rFonts w:eastAsia="Times New Roman" w:cs="Times New Roman"/>
        </w:rPr>
        <w:t xml:space="preserve"> </w:t>
      </w:r>
      <w:proofErr w:type="spellStart"/>
      <w:r>
        <w:rPr>
          <w:rFonts w:eastAsia="Times New Roman" w:cs="Times New Roman"/>
        </w:rPr>
        <w:t>Mandalgovi</w:t>
      </w:r>
      <w:proofErr w:type="spellEnd"/>
      <w:r>
        <w:rPr>
          <w:rFonts w:eastAsia="Times New Roman" w:cs="Times New Roman"/>
        </w:rPr>
        <w:t>.</w:t>
      </w:r>
    </w:p>
    <w:p w14:paraId="49163EF3" w14:textId="77777777" w:rsidR="009223EB" w:rsidRDefault="009223EB" w:rsidP="009223EB">
      <w:pPr>
        <w:pStyle w:val="BodyText"/>
        <w:suppressAutoHyphens/>
        <w:spacing w:line="240" w:lineRule="auto"/>
        <w:contextualSpacing w:val="0"/>
      </w:pPr>
      <w:r>
        <w:rPr>
          <w:rFonts w:cs="Times New Roman"/>
        </w:rPr>
        <w:t>[4]</w:t>
      </w:r>
      <w:r>
        <w:t xml:space="preserve"> </w:t>
      </w:r>
      <w:proofErr w:type="spellStart"/>
      <w:r>
        <w:t>Baast</w:t>
      </w:r>
      <w:proofErr w:type="spellEnd"/>
      <w:r>
        <w:t xml:space="preserve">, E. (2023). Business plan for a vegetable logistics centre. </w:t>
      </w:r>
      <w:proofErr w:type="gramStart"/>
      <w:r>
        <w:t>German-Mongolian</w:t>
      </w:r>
      <w:proofErr w:type="gramEnd"/>
      <w:r>
        <w:t xml:space="preserve"> Cooperation Project Sustainable Agriculture.</w:t>
      </w:r>
    </w:p>
    <w:p w14:paraId="7579CED5" w14:textId="77777777" w:rsidR="009223EB" w:rsidRPr="007A5C6F" w:rsidRDefault="009223EB" w:rsidP="009223EB">
      <w:pPr>
        <w:pStyle w:val="BodyText"/>
        <w:spacing w:line="240" w:lineRule="auto"/>
        <w:contextualSpacing w:val="0"/>
        <w:rPr>
          <w:lang w:val="en-US"/>
        </w:rPr>
      </w:pPr>
      <w:r>
        <w:rPr>
          <w:rFonts w:cs="Times New Roman"/>
        </w:rPr>
        <w:t>[5]</w:t>
      </w:r>
      <w:r>
        <w:t xml:space="preserve"> </w:t>
      </w:r>
      <w:proofErr w:type="spellStart"/>
      <w:r>
        <w:t>Baast</w:t>
      </w:r>
      <w:proofErr w:type="spellEnd"/>
      <w:r>
        <w:t xml:space="preserve">, E. (2022). Inception report. </w:t>
      </w:r>
      <w:r>
        <w:rPr>
          <w:lang w:val="en-US"/>
        </w:rPr>
        <w:t xml:space="preserve">Commissioned by </w:t>
      </w:r>
      <w:r>
        <w:t>the World Bank for the purpose of developing a Green and Competitive Agriculture Project proposal.</w:t>
      </w:r>
    </w:p>
    <w:p w14:paraId="5D00CA6C" w14:textId="77777777" w:rsidR="009223EB" w:rsidRDefault="009223EB" w:rsidP="009223EB">
      <w:pPr>
        <w:pStyle w:val="BodyText"/>
        <w:spacing w:line="240" w:lineRule="auto"/>
        <w:contextualSpacing w:val="0"/>
      </w:pPr>
      <w:r>
        <w:rPr>
          <w:rFonts w:cs="Times New Roman"/>
        </w:rPr>
        <w:t>[6]</w:t>
      </w:r>
      <w:r>
        <w:rPr>
          <w:rFonts w:eastAsia="Times New Roman" w:cs="Times New Roman"/>
        </w:rPr>
        <w:t xml:space="preserve"> </w:t>
      </w:r>
      <w:proofErr w:type="spellStart"/>
      <w:r>
        <w:rPr>
          <w:rFonts w:cs="Times New Roman"/>
        </w:rPr>
        <w:t>Baast</w:t>
      </w:r>
      <w:proofErr w:type="spellEnd"/>
      <w:r>
        <w:rPr>
          <w:rFonts w:cs="Times New Roman"/>
        </w:rPr>
        <w:t>, E. (2026).</w:t>
      </w:r>
      <w:r>
        <w:rPr>
          <w:rFonts w:eastAsia="Times New Roman" w:cs="Times New Roman"/>
        </w:rPr>
        <w:t xml:space="preserve"> Status Report on the Extension Advisory Service System for the Crop Sector in Mongolia</w:t>
      </w:r>
      <w:r>
        <w:rPr>
          <w:rFonts w:cs="Times New Roman"/>
        </w:rPr>
        <w:t>.</w:t>
      </w:r>
      <w:r>
        <w:rPr>
          <w:rFonts w:eastAsia="Times New Roman" w:cs="Times New Roman"/>
        </w:rPr>
        <w:t xml:space="preserve"> Ulaanbaatar.</w:t>
      </w:r>
    </w:p>
    <w:p w14:paraId="0262739F" w14:textId="77777777" w:rsidR="009223EB" w:rsidRPr="00993E3B" w:rsidRDefault="009223EB" w:rsidP="009223EB">
      <w:pPr>
        <w:pStyle w:val="BodyText"/>
        <w:spacing w:line="240" w:lineRule="auto"/>
        <w:contextualSpacing w:val="0"/>
        <w:rPr>
          <w:rFonts w:cs="Times New Roman"/>
        </w:rPr>
      </w:pPr>
      <w:r>
        <w:rPr>
          <w:rFonts w:cs="Times New Roman"/>
          <w:lang w:val="en-US"/>
        </w:rPr>
        <w:t>[7]</w:t>
      </w:r>
      <w:r>
        <w:rPr>
          <w:rFonts w:eastAsia="Times New Roman" w:cs="Times New Roman"/>
          <w:lang w:val="en-US"/>
        </w:rPr>
        <w:t xml:space="preserve"> </w:t>
      </w:r>
      <w:r>
        <w:rPr>
          <w:lang w:val="en-US"/>
        </w:rPr>
        <w:t xml:space="preserve">Badarch, A. </w:t>
      </w:r>
      <w:r>
        <w:rPr>
          <w:rFonts w:eastAsia="Times New Roman" w:cs="Times New Roman"/>
          <w:lang w:val="en-US"/>
        </w:rPr>
        <w:t xml:space="preserve">et al. </w:t>
      </w:r>
      <w:r>
        <w:rPr>
          <w:rFonts w:cs="Times New Roman"/>
          <w:lang w:val="en-US"/>
        </w:rPr>
        <w:t>(</w:t>
      </w:r>
      <w:r>
        <w:rPr>
          <w:rFonts w:eastAsia="Times New Roman" w:cs="Times New Roman"/>
          <w:lang w:val="en-US"/>
        </w:rPr>
        <w:t>2021</w:t>
      </w:r>
      <w:r>
        <w:rPr>
          <w:rFonts w:cs="Times New Roman"/>
          <w:lang w:val="en-US"/>
        </w:rPr>
        <w:t xml:space="preserve">). </w:t>
      </w:r>
      <w:r>
        <w:rPr>
          <w:rFonts w:eastAsia="Times New Roman" w:cs="Times New Roman"/>
        </w:rPr>
        <w:t>Projected water demand by 2050 in South Gobi region of Mongolia</w:t>
      </w:r>
      <w:r>
        <w:t>.</w:t>
      </w:r>
      <w:r>
        <w:rPr>
          <w:rFonts w:eastAsia="Times New Roman" w:cs="Times New Roman"/>
        </w:rPr>
        <w:t xml:space="preserve"> </w:t>
      </w:r>
      <w:r>
        <w:t xml:space="preserve">Proceedings of the Mongolian Academy of Sciences, 61(03), 24-35. </w:t>
      </w:r>
      <w:hyperlink r:id="rId52" w:history="1">
        <w:r>
          <w:rPr>
            <w:rStyle w:val="Hyperlink"/>
          </w:rPr>
          <w:t>https://doi.org/10.5564/pmas.v61i03.1820</w:t>
        </w:r>
      </w:hyperlink>
      <w:r>
        <w:t xml:space="preserve">. </w:t>
      </w:r>
    </w:p>
    <w:p w14:paraId="61CD794C" w14:textId="77777777" w:rsidR="00E45F2E" w:rsidRDefault="005F3D45">
      <w:pPr>
        <w:pStyle w:val="BodyText"/>
        <w:spacing w:line="240" w:lineRule="auto"/>
        <w:contextualSpacing w:val="0"/>
      </w:pPr>
      <w:r>
        <w:rPr>
          <w:rFonts w:cs="Times New Roman"/>
        </w:rPr>
        <w:t>[8] Belton, V. &amp; Stewart, T.J. (2002). Multiple Criteria Decision Analysis: An Integrated Approach. Kluwer Academic Publishers, Boston.</w:t>
      </w:r>
    </w:p>
    <w:p w14:paraId="15FA3AD5" w14:textId="77777777" w:rsidR="009223EB" w:rsidRDefault="009223EB" w:rsidP="009223EB">
      <w:pPr>
        <w:pStyle w:val="BodyText"/>
        <w:spacing w:line="240" w:lineRule="auto"/>
        <w:contextualSpacing w:val="0"/>
      </w:pPr>
      <w:r>
        <w:rPr>
          <w:rFonts w:cs="Times New Roman"/>
        </w:rPr>
        <w:t>[9]</w:t>
      </w:r>
      <w:r>
        <w:t xml:space="preserve"> Customs General Administration of Mongolia (2025). Customs statistics 2024–2025. </w:t>
      </w:r>
      <w:hyperlink r:id="rId53" w:history="1">
        <w:r>
          <w:rPr>
            <w:rStyle w:val="Hyperlink"/>
          </w:rPr>
          <w:t>https://gaali.mn/statistic</w:t>
        </w:r>
      </w:hyperlink>
      <w:r>
        <w:t>.</w:t>
      </w:r>
    </w:p>
    <w:p w14:paraId="3BAFCD55" w14:textId="77777777" w:rsidR="009223EB" w:rsidRDefault="009223EB" w:rsidP="009223EB">
      <w:pPr>
        <w:pStyle w:val="BodyText"/>
        <w:suppressAutoHyphens/>
        <w:spacing w:line="240" w:lineRule="auto"/>
        <w:contextualSpacing w:val="0"/>
      </w:pPr>
      <w:r>
        <w:rPr>
          <w:rFonts w:cs="Times New Roman"/>
        </w:rPr>
        <w:t>[10]</w:t>
      </w:r>
      <w:r>
        <w:t xml:space="preserve"> </w:t>
      </w:r>
      <w:r>
        <w:rPr>
          <w:lang w:val="en-US"/>
        </w:rPr>
        <w:t xml:space="preserve">Delgermaa, D. et al. </w:t>
      </w:r>
      <w:r>
        <w:t xml:space="preserve">(2023). Assessment of Mongolian dietary intake for planetary and human health. PLOS Global Public Health. </w:t>
      </w:r>
      <w:hyperlink r:id="rId54" w:history="1">
        <w:r>
          <w:rPr>
            <w:rStyle w:val="Hyperlink"/>
          </w:rPr>
          <w:t>https://doi.org/10.1371/journal.pgph.0001229</w:t>
        </w:r>
      </w:hyperlink>
      <w:r>
        <w:t xml:space="preserve"> </w:t>
      </w:r>
    </w:p>
    <w:p w14:paraId="6264F916" w14:textId="77777777" w:rsidR="009223EB" w:rsidRDefault="009223EB" w:rsidP="009223EB">
      <w:pPr>
        <w:pStyle w:val="BodyText"/>
        <w:spacing w:line="240" w:lineRule="auto"/>
        <w:contextualSpacing w:val="0"/>
      </w:pPr>
      <w:r>
        <w:rPr>
          <w:rFonts w:cs="Times New Roman"/>
        </w:rPr>
        <w:t>[11]</w:t>
      </w:r>
      <w:r>
        <w:rPr>
          <w:rFonts w:eastAsia="Times New Roman" w:cs="Times New Roman"/>
        </w:rPr>
        <w:t xml:space="preserve"> </w:t>
      </w:r>
      <w:bookmarkStart w:id="171" w:name="_Hlk233752930"/>
      <w:r>
        <w:rPr>
          <w:rFonts w:eastAsia="Times New Roman" w:cs="Times New Roman"/>
        </w:rPr>
        <w:t>Department of Environment and Tourism of Dundgovi aimag</w:t>
      </w:r>
      <w:r>
        <w:rPr>
          <w:rFonts w:cs="Times New Roman"/>
        </w:rPr>
        <w:t xml:space="preserve"> (2023)</w:t>
      </w:r>
      <w:bookmarkEnd w:id="171"/>
      <w:r>
        <w:rPr>
          <w:rFonts w:cs="Times New Roman"/>
        </w:rPr>
        <w:t xml:space="preserve">. </w:t>
      </w:r>
      <w:r>
        <w:rPr>
          <w:rFonts w:eastAsia="Times New Roman" w:cs="Times New Roman"/>
        </w:rPr>
        <w:t xml:space="preserve">2021–2022 Environmental Status Report, </w:t>
      </w:r>
      <w:proofErr w:type="spellStart"/>
      <w:r>
        <w:rPr>
          <w:rFonts w:eastAsia="Times New Roman" w:cs="Times New Roman"/>
        </w:rPr>
        <w:t>Mandalgovi</w:t>
      </w:r>
      <w:proofErr w:type="spellEnd"/>
      <w:r>
        <w:rPr>
          <w:rFonts w:eastAsia="Times New Roman" w:cs="Times New Roman"/>
        </w:rPr>
        <w:t>.</w:t>
      </w:r>
      <w:r>
        <w:t xml:space="preserve"> </w:t>
      </w:r>
      <w:hyperlink r:id="rId55" w:history="1">
        <w:r>
          <w:rPr>
            <w:rStyle w:val="Hyperlink"/>
          </w:rPr>
          <w:t>https://baigali.du.gov.mn/files/editor/202312261412342021-2022%20он.pdf</w:t>
        </w:r>
      </w:hyperlink>
    </w:p>
    <w:p w14:paraId="56B4BE92" w14:textId="77777777" w:rsidR="009223EB" w:rsidRPr="00993E3B" w:rsidRDefault="009223EB" w:rsidP="009223EB">
      <w:pPr>
        <w:pStyle w:val="BodyText"/>
        <w:suppressAutoHyphens/>
        <w:spacing w:line="240" w:lineRule="auto"/>
        <w:contextualSpacing w:val="0"/>
        <w:rPr>
          <w:rFonts w:cs="Times New Roman"/>
        </w:rPr>
      </w:pPr>
      <w:r>
        <w:rPr>
          <w:rFonts w:cs="Times New Roman"/>
        </w:rPr>
        <w:t>[12]</w:t>
      </w:r>
      <w:r>
        <w:t xml:space="preserve"> </w:t>
      </w:r>
      <w:r>
        <w:rPr>
          <w:rFonts w:cs="Times New Roman"/>
        </w:rPr>
        <w:t xml:space="preserve">Department of Food and Agriculture </w:t>
      </w:r>
      <w:r>
        <w:t xml:space="preserve">of Dundgovi aimag </w:t>
      </w:r>
      <w:r>
        <w:rPr>
          <w:rFonts w:cs="Times New Roman"/>
        </w:rPr>
        <w:t>(2025). End-of-year performance report</w:t>
      </w:r>
      <w:r>
        <w:t xml:space="preserve"> 2025</w:t>
      </w:r>
      <w:r>
        <w:rPr>
          <w:rFonts w:cs="Times New Roman"/>
        </w:rPr>
        <w:t>.</w:t>
      </w:r>
    </w:p>
    <w:p w14:paraId="6EFFD15C" w14:textId="77777777" w:rsidR="009223EB" w:rsidRPr="00993E3B" w:rsidRDefault="009223EB" w:rsidP="009223EB">
      <w:pPr>
        <w:pStyle w:val="BodyText"/>
        <w:spacing w:line="240" w:lineRule="auto"/>
        <w:contextualSpacing w:val="0"/>
        <w:rPr>
          <w:rFonts w:cs="Times New Roman"/>
        </w:rPr>
      </w:pPr>
      <w:r>
        <w:rPr>
          <w:rFonts w:cs="Times New Roman"/>
        </w:rPr>
        <w:t>[13]</w:t>
      </w:r>
      <w:r>
        <w:rPr>
          <w:rFonts w:eastAsia="Times New Roman" w:cs="Times New Roman"/>
        </w:rPr>
        <w:t xml:space="preserve"> Department of Food and Agriculture of </w:t>
      </w:r>
      <w:r>
        <w:rPr>
          <w:rFonts w:cs="Times New Roman"/>
        </w:rPr>
        <w:t>U</w:t>
      </w:r>
      <w:r>
        <w:rPr>
          <w:rFonts w:eastAsia="Times New Roman" w:cs="Times New Roman"/>
        </w:rPr>
        <w:t>v</w:t>
      </w:r>
      <w:r>
        <w:rPr>
          <w:rFonts w:cs="Times New Roman"/>
        </w:rPr>
        <w:t>u</w:t>
      </w:r>
      <w:r>
        <w:rPr>
          <w:rFonts w:eastAsia="Times New Roman" w:cs="Times New Roman"/>
        </w:rPr>
        <w:t>rkhangai aimag</w:t>
      </w:r>
      <w:r>
        <w:rPr>
          <w:rFonts w:cs="Times New Roman"/>
        </w:rPr>
        <w:t xml:space="preserve"> (2025).</w:t>
      </w:r>
      <w:r>
        <w:rPr>
          <w:rFonts w:eastAsia="Times New Roman" w:cs="Times New Roman"/>
        </w:rPr>
        <w:t xml:space="preserve"> </w:t>
      </w:r>
      <w:r>
        <w:rPr>
          <w:rFonts w:cs="Times New Roman"/>
        </w:rPr>
        <w:t xml:space="preserve">End-of-year </w:t>
      </w:r>
      <w:r>
        <w:rPr>
          <w:rFonts w:eastAsia="Times New Roman" w:cs="Times New Roman"/>
        </w:rPr>
        <w:t>Performance Report</w:t>
      </w:r>
      <w:r>
        <w:t xml:space="preserve"> 2025</w:t>
      </w:r>
      <w:r>
        <w:rPr>
          <w:rFonts w:cs="Times New Roman"/>
        </w:rPr>
        <w:t>.</w:t>
      </w:r>
      <w:r>
        <w:rPr>
          <w:rFonts w:eastAsia="Times New Roman" w:cs="Times New Roman"/>
        </w:rPr>
        <w:t xml:space="preserve"> </w:t>
      </w:r>
      <w:proofErr w:type="spellStart"/>
      <w:r>
        <w:rPr>
          <w:rFonts w:eastAsia="Times New Roman" w:cs="Times New Roman"/>
        </w:rPr>
        <w:t>Arvaikheer</w:t>
      </w:r>
      <w:proofErr w:type="spellEnd"/>
      <w:r>
        <w:rPr>
          <w:rFonts w:eastAsia="Times New Roman" w:cs="Times New Roman"/>
        </w:rPr>
        <w:t>, December 2025.</w:t>
      </w:r>
    </w:p>
    <w:p w14:paraId="670FACF5" w14:textId="77777777" w:rsidR="009223EB" w:rsidRPr="00993E3B" w:rsidRDefault="009223EB" w:rsidP="009223EB">
      <w:pPr>
        <w:pStyle w:val="BodyText"/>
        <w:spacing w:line="240" w:lineRule="auto"/>
        <w:contextualSpacing w:val="0"/>
        <w:rPr>
          <w:rFonts w:cs="Times New Roman"/>
        </w:rPr>
      </w:pPr>
      <w:r>
        <w:rPr>
          <w:rFonts w:cs="Times New Roman"/>
        </w:rPr>
        <w:t>[14]</w:t>
      </w:r>
      <w:r>
        <w:rPr>
          <w:rFonts w:eastAsia="Times New Roman" w:cs="Times New Roman"/>
        </w:rPr>
        <w:t xml:space="preserve"> </w:t>
      </w:r>
      <w:r>
        <w:rPr>
          <w:rFonts w:cs="Times New Roman"/>
        </w:rPr>
        <w:t xml:space="preserve">Division of </w:t>
      </w:r>
      <w:r>
        <w:rPr>
          <w:rFonts w:eastAsia="Times New Roman" w:cs="Times New Roman"/>
        </w:rPr>
        <w:t xml:space="preserve">Industry, Trade and Services </w:t>
      </w:r>
      <w:r>
        <w:rPr>
          <w:rFonts w:cs="Times New Roman"/>
        </w:rPr>
        <w:t xml:space="preserve">of </w:t>
      </w:r>
      <w:r>
        <w:rPr>
          <w:rFonts w:eastAsia="Times New Roman" w:cs="Times New Roman"/>
        </w:rPr>
        <w:t>Dundgovi aimag</w:t>
      </w:r>
      <w:r>
        <w:rPr>
          <w:rFonts w:cs="Times New Roman"/>
        </w:rPr>
        <w:t xml:space="preserve"> (2025). </w:t>
      </w:r>
      <w:r>
        <w:rPr>
          <w:rFonts w:eastAsia="Times New Roman" w:cs="Times New Roman"/>
        </w:rPr>
        <w:t>Annual Work Report</w:t>
      </w:r>
      <w:r>
        <w:rPr>
          <w:rFonts w:cs="Times New Roman"/>
        </w:rPr>
        <w:t>.</w:t>
      </w:r>
      <w:r>
        <w:rPr>
          <w:rFonts w:eastAsia="Times New Roman" w:cs="Times New Roman"/>
        </w:rPr>
        <w:t xml:space="preserve"> </w:t>
      </w:r>
      <w:proofErr w:type="spellStart"/>
      <w:r>
        <w:rPr>
          <w:rFonts w:eastAsia="Times New Roman" w:cs="Times New Roman"/>
        </w:rPr>
        <w:t>Mandalgovi</w:t>
      </w:r>
      <w:proofErr w:type="spellEnd"/>
      <w:r>
        <w:rPr>
          <w:rFonts w:cs="Times New Roman"/>
        </w:rPr>
        <w:t>.</w:t>
      </w:r>
    </w:p>
    <w:p w14:paraId="22B33F0A" w14:textId="77777777" w:rsidR="00E45F2E" w:rsidRDefault="005F3D45">
      <w:pPr>
        <w:pStyle w:val="BodyText"/>
        <w:spacing w:line="240" w:lineRule="auto"/>
        <w:contextualSpacing w:val="0"/>
      </w:pPr>
      <w:r>
        <w:rPr>
          <w:rFonts w:cs="Times New Roman"/>
        </w:rPr>
        <w:t>[15] Dodgson, J.S., Spackman, M., Pearman, A. &amp; Phillips, L.D. (2009). Multi-Criteria Analysis: A Manual. Department for Communities and Local Government, London.</w:t>
      </w:r>
    </w:p>
    <w:p w14:paraId="5F6B1AA1" w14:textId="77777777" w:rsidR="009223EB" w:rsidRDefault="009223EB" w:rsidP="00EB489E">
      <w:r>
        <w:t>[16]</w:t>
      </w:r>
      <w:r>
        <w:rPr>
          <w:rFonts w:eastAsia="Times New Roman"/>
        </w:rPr>
        <w:t xml:space="preserve"> </w:t>
      </w:r>
      <w:r>
        <w:t xml:space="preserve">FAO (2013). 2000 World Census of Agriculture / Smallholders definition. Food and Agriculture Organization of the United Nations, Rome. </w:t>
      </w:r>
      <w:hyperlink r:id="rId56" w:history="1">
        <w:r>
          <w:rPr>
            <w:rStyle w:val="Hyperlink"/>
            <w:rFonts w:cs="Times New Roman"/>
          </w:rPr>
          <w:t>https://www.fao.org/4/i2401e/i2401e.pdf</w:t>
        </w:r>
      </w:hyperlink>
      <w:r>
        <w:t xml:space="preserve"> </w:t>
      </w:r>
    </w:p>
    <w:p w14:paraId="2AE97459" w14:textId="77777777" w:rsidR="009223EB" w:rsidRDefault="009223EB" w:rsidP="009223EB">
      <w:pPr>
        <w:pStyle w:val="BodyText"/>
        <w:spacing w:line="240" w:lineRule="auto"/>
        <w:contextualSpacing w:val="0"/>
      </w:pPr>
      <w:r>
        <w:rPr>
          <w:rFonts w:cs="Times New Roman"/>
        </w:rPr>
        <w:t>[17]</w:t>
      </w:r>
      <w:r>
        <w:t xml:space="preserve"> FAO (2023). Broadening diets and growing opportunities in Mongolia. </w:t>
      </w:r>
      <w:r>
        <w:rPr>
          <w:rFonts w:cs="Times New Roman"/>
        </w:rPr>
        <w:t>Food and Agriculture Organization of the United Nations, Rome</w:t>
      </w:r>
      <w:r>
        <w:t xml:space="preserve">. </w:t>
      </w:r>
      <w:hyperlink r:id="rId57" w:history="1">
        <w:r>
          <w:rPr>
            <w:rStyle w:val="Hyperlink"/>
          </w:rPr>
          <w:t>https://www.fao.org/fao-stories/article/en/c/1627548/</w:t>
        </w:r>
      </w:hyperlink>
      <w:r>
        <w:t xml:space="preserve"> </w:t>
      </w:r>
    </w:p>
    <w:p w14:paraId="59213659" w14:textId="77777777" w:rsidR="009223EB" w:rsidRDefault="009223EB" w:rsidP="00EB489E">
      <w:r>
        <w:t>[18]</w:t>
      </w:r>
      <w:r>
        <w:rPr>
          <w:rFonts w:eastAsia="Times New Roman"/>
        </w:rPr>
        <w:t xml:space="preserve"> </w:t>
      </w:r>
      <w:r>
        <w:t xml:space="preserve">FAO (2023). Food Systems Profile — Mongolia. Catalysing the sustainable and inclusive transformation of food systems. </w:t>
      </w:r>
      <w:hyperlink r:id="rId58" w:history="1">
        <w:r>
          <w:rPr>
            <w:rStyle w:val="Hyperlink"/>
            <w:rFonts w:cs="Times New Roman"/>
          </w:rPr>
          <w:t>https://openknowledge.fao.org/server/api/core/bitstreams/08951bd9-5cd5-4094-9d3b-62cffc8b5c25/content</w:t>
        </w:r>
      </w:hyperlink>
      <w:r>
        <w:t xml:space="preserve"> </w:t>
      </w:r>
    </w:p>
    <w:p w14:paraId="6A2EE120" w14:textId="77777777" w:rsidR="009223EB" w:rsidRDefault="009223EB" w:rsidP="009223EB">
      <w:pPr>
        <w:pStyle w:val="BodyText"/>
        <w:suppressAutoHyphens/>
        <w:spacing w:line="240" w:lineRule="auto"/>
        <w:contextualSpacing w:val="0"/>
      </w:pPr>
      <w:r>
        <w:rPr>
          <w:rFonts w:cs="Times New Roman"/>
        </w:rPr>
        <w:t>[19]</w:t>
      </w:r>
      <w:r>
        <w:t xml:space="preserve"> FAO &amp; UNDP (2024). Integrating Gender Equality into the Nationally Determined Contribution (NDC) of Mongolia. Scaling up Climate Ambition on Land Use and Agriculture through Nationally Determined Contributions and National Adaptation Plans (SCALA) project. </w:t>
      </w:r>
      <w:hyperlink r:id="rId59" w:history="1">
        <w:r>
          <w:rPr>
            <w:rStyle w:val="Hyperlink"/>
          </w:rPr>
          <w:t>https://www.adaptation-undp.org/sites/default/files/resources/scala-report-integrating-gender-equality-into-the-ndcs-of-mongolia_0.pdf</w:t>
        </w:r>
      </w:hyperlink>
      <w:r>
        <w:t xml:space="preserve"> </w:t>
      </w:r>
    </w:p>
    <w:p w14:paraId="237F7EF0" w14:textId="77777777" w:rsidR="009223EB" w:rsidRPr="00E8296F" w:rsidRDefault="009223EB" w:rsidP="009223EB">
      <w:pPr>
        <w:pStyle w:val="BodyText"/>
        <w:spacing w:line="240" w:lineRule="auto"/>
        <w:contextualSpacing w:val="0"/>
        <w:rPr>
          <w:rFonts w:cs="Times New Roman"/>
          <w:lang w:val="es-ES"/>
        </w:rPr>
      </w:pPr>
      <w:r>
        <w:rPr>
          <w:rFonts w:cs="Times New Roman"/>
        </w:rPr>
        <w:t>[20]</w:t>
      </w:r>
      <w:r>
        <w:t xml:space="preserve"> FAO (2023). The Status of Women in Agrifood Systems. </w:t>
      </w:r>
      <w:r>
        <w:rPr>
          <w:rFonts w:cs="Times New Roman"/>
        </w:rPr>
        <w:t>Food and Agriculture Organization of the United Nations, Rome</w:t>
      </w:r>
      <w:r>
        <w:t xml:space="preserve">. </w:t>
      </w:r>
      <w:hyperlink r:id="rId60" w:history="1">
        <w:r w:rsidRPr="00E8296F">
          <w:rPr>
            <w:rStyle w:val="Hyperlink"/>
            <w:lang w:val="es-ES"/>
          </w:rPr>
          <w:t>https://openknowledge.fao.org/items/adc0741f-9de2-4d09-ae68-b19cc871601a</w:t>
        </w:r>
      </w:hyperlink>
      <w:r w:rsidRPr="00E8296F">
        <w:rPr>
          <w:lang w:val="es-ES"/>
        </w:rPr>
        <w:t xml:space="preserve"> </w:t>
      </w:r>
    </w:p>
    <w:p w14:paraId="6D358FC2" w14:textId="77777777" w:rsidR="009223EB" w:rsidRPr="00993E3B" w:rsidRDefault="009223EB" w:rsidP="009223EB">
      <w:pPr>
        <w:pStyle w:val="BodyText"/>
        <w:spacing w:line="240" w:lineRule="auto"/>
        <w:contextualSpacing w:val="0"/>
        <w:rPr>
          <w:rFonts w:cs="Times New Roman"/>
        </w:rPr>
      </w:pPr>
      <w:r w:rsidRPr="00E8296F">
        <w:rPr>
          <w:rFonts w:cs="Times New Roman"/>
          <w:lang w:val="es-ES"/>
        </w:rPr>
        <w:t>[21]</w:t>
      </w:r>
      <w:r w:rsidRPr="00E8296F">
        <w:rPr>
          <w:rFonts w:eastAsia="Times New Roman" w:cs="Times New Roman"/>
          <w:lang w:val="es-ES"/>
        </w:rPr>
        <w:t xml:space="preserve"> </w:t>
      </w:r>
      <w:proofErr w:type="spellStart"/>
      <w:r w:rsidRPr="00E8296F">
        <w:rPr>
          <w:rFonts w:cs="Times New Roman"/>
          <w:lang w:val="es-ES"/>
        </w:rPr>
        <w:t>Gazar</w:t>
      </w:r>
      <w:proofErr w:type="spellEnd"/>
      <w:r w:rsidRPr="00E8296F">
        <w:rPr>
          <w:rFonts w:cs="Times New Roman"/>
          <w:lang w:val="es-ES"/>
        </w:rPr>
        <w:t xml:space="preserve"> </w:t>
      </w:r>
      <w:proofErr w:type="spellStart"/>
      <w:r w:rsidRPr="00E8296F">
        <w:rPr>
          <w:rFonts w:cs="Times New Roman"/>
          <w:lang w:val="es-ES"/>
        </w:rPr>
        <w:t>Delkhii</w:t>
      </w:r>
      <w:proofErr w:type="spellEnd"/>
      <w:r w:rsidRPr="00E8296F">
        <w:rPr>
          <w:rFonts w:cs="Times New Roman"/>
          <w:lang w:val="es-ES"/>
        </w:rPr>
        <w:t xml:space="preserve"> </w:t>
      </w:r>
      <w:r w:rsidRPr="00E8296F">
        <w:rPr>
          <w:rFonts w:eastAsia="Times New Roman" w:cs="Times New Roman"/>
          <w:lang w:val="es-ES"/>
        </w:rPr>
        <w:t>LLC</w:t>
      </w:r>
      <w:r w:rsidRPr="00E8296F">
        <w:rPr>
          <w:rFonts w:cs="Times New Roman"/>
          <w:lang w:val="es-ES"/>
        </w:rPr>
        <w:t xml:space="preserve"> (</w:t>
      </w:r>
      <w:r w:rsidRPr="00E8296F">
        <w:rPr>
          <w:rFonts w:eastAsia="Times New Roman" w:cs="Times New Roman"/>
          <w:lang w:val="es-ES"/>
        </w:rPr>
        <w:t>2025</w:t>
      </w:r>
      <w:r w:rsidRPr="00E8296F">
        <w:rPr>
          <w:rFonts w:cs="Times New Roman"/>
          <w:lang w:val="es-ES"/>
        </w:rPr>
        <w:t>).</w:t>
      </w:r>
      <w:r w:rsidRPr="00E8296F">
        <w:rPr>
          <w:rFonts w:eastAsia="Times New Roman" w:cs="Times New Roman"/>
          <w:lang w:val="es-ES"/>
        </w:rPr>
        <w:t xml:space="preserve"> </w:t>
      </w:r>
      <w:r>
        <w:rPr>
          <w:rFonts w:eastAsia="Times New Roman" w:cs="Times New Roman"/>
        </w:rPr>
        <w:t xml:space="preserve">Baseline Study for the General Land Management Plan of </w:t>
      </w:r>
      <w:r>
        <w:rPr>
          <w:rFonts w:cs="Times New Roman"/>
        </w:rPr>
        <w:t>U</w:t>
      </w:r>
      <w:r>
        <w:rPr>
          <w:rFonts w:eastAsia="Times New Roman" w:cs="Times New Roman"/>
        </w:rPr>
        <w:t>v</w:t>
      </w:r>
      <w:r>
        <w:rPr>
          <w:rFonts w:cs="Times New Roman"/>
        </w:rPr>
        <w:t>u</w:t>
      </w:r>
      <w:r>
        <w:rPr>
          <w:rFonts w:eastAsia="Times New Roman" w:cs="Times New Roman"/>
        </w:rPr>
        <w:t>rkhangai aimag, commissioned by the Department of Land Affairs and Geodesy and Cartography, Ulaanbaatar, 2025.</w:t>
      </w:r>
    </w:p>
    <w:p w14:paraId="3AD8E5C3" w14:textId="77777777" w:rsidR="009223EB" w:rsidRDefault="009223EB" w:rsidP="009223EB">
      <w:pPr>
        <w:pStyle w:val="BodyText"/>
        <w:spacing w:line="240" w:lineRule="auto"/>
        <w:contextualSpacing w:val="0"/>
      </w:pPr>
      <w:r>
        <w:rPr>
          <w:rFonts w:cs="Times New Roman"/>
        </w:rPr>
        <w:lastRenderedPageBreak/>
        <w:t>[22]</w:t>
      </w:r>
      <w:r>
        <w:t xml:space="preserve"> Government of Mongolia (2025). Resolution of the Government of Mongolia No. 47 on Implementation of the Atar-4 Campaign for Sustainable Crop Sector Development. Retrieved from the Unified Legal Information System </w:t>
      </w:r>
      <w:hyperlink r:id="rId61" w:history="1">
        <w:r>
          <w:rPr>
            <w:rStyle w:val="Hyperlink"/>
          </w:rPr>
          <w:t>https://legalinfo.mn</w:t>
        </w:r>
      </w:hyperlink>
      <w:r>
        <w:t>.</w:t>
      </w:r>
    </w:p>
    <w:p w14:paraId="2DF32D0D" w14:textId="77777777" w:rsidR="009223EB" w:rsidRPr="007B408C" w:rsidRDefault="009223EB" w:rsidP="009223EB">
      <w:pPr>
        <w:pStyle w:val="BodyText"/>
        <w:spacing w:line="240" w:lineRule="auto"/>
        <w:contextualSpacing w:val="0"/>
      </w:pPr>
      <w:r>
        <w:rPr>
          <w:rFonts w:cs="Times New Roman"/>
        </w:rPr>
        <w:t>[23]</w:t>
      </w:r>
      <w:r>
        <w:t xml:space="preserve"> Government of Mongolia (2021). Resolution of the Government of Mongolia No. 350 on Implementation of Certain Measures Regarding the Billion Tree National Movement. Retrieved from the Unified Legal Information System </w:t>
      </w:r>
      <w:hyperlink r:id="rId62" w:history="1">
        <w:r>
          <w:rPr>
            <w:rStyle w:val="Hyperlink"/>
          </w:rPr>
          <w:t>https://legalinfo.mn</w:t>
        </w:r>
      </w:hyperlink>
      <w:r>
        <w:t>.</w:t>
      </w:r>
    </w:p>
    <w:p w14:paraId="651422F0" w14:textId="77777777" w:rsidR="009223EB" w:rsidRPr="00E8296F" w:rsidRDefault="009223EB" w:rsidP="009223EB">
      <w:pPr>
        <w:pStyle w:val="BodyText"/>
        <w:spacing w:line="240" w:lineRule="auto"/>
        <w:contextualSpacing w:val="0"/>
        <w:rPr>
          <w:lang w:val="it-IT"/>
        </w:rPr>
      </w:pPr>
      <w:r>
        <w:rPr>
          <w:rFonts w:cs="Times New Roman"/>
        </w:rPr>
        <w:t>[24]</w:t>
      </w:r>
      <w:r>
        <w:rPr>
          <w:rFonts w:eastAsia="Times New Roman" w:cs="Times New Roman"/>
        </w:rPr>
        <w:t xml:space="preserve"> </w:t>
      </w:r>
      <w:r>
        <w:t>Governor’s Office of Dundgovi Aimag</w:t>
      </w:r>
      <w:r>
        <w:rPr>
          <w:rFonts w:cs="Times New Roman"/>
        </w:rPr>
        <w:t xml:space="preserve"> (2022</w:t>
      </w:r>
      <w:r>
        <w:t>a</w:t>
      </w:r>
      <w:r>
        <w:rPr>
          <w:rFonts w:cs="Times New Roman"/>
        </w:rPr>
        <w:t xml:space="preserve">). </w:t>
      </w:r>
      <w:r>
        <w:rPr>
          <w:rFonts w:eastAsia="Times New Roman" w:cs="Times New Roman"/>
        </w:rPr>
        <w:t>Climate Overview of Dundgovi aimag 2019–2021</w:t>
      </w:r>
      <w:r>
        <w:rPr>
          <w:rFonts w:cs="Times New Roman"/>
        </w:rPr>
        <w:t>.</w:t>
      </w:r>
      <w:r>
        <w:rPr>
          <w:rFonts w:eastAsia="Times New Roman" w:cs="Times New Roman"/>
        </w:rPr>
        <w:t xml:space="preserve"> </w:t>
      </w:r>
      <w:r w:rsidRPr="00E8296F">
        <w:rPr>
          <w:rFonts w:eastAsia="Times New Roman" w:cs="Times New Roman"/>
          <w:lang w:val="it-IT"/>
        </w:rPr>
        <w:t>Mandalgovi.</w:t>
      </w:r>
      <w:r w:rsidRPr="00E8296F">
        <w:rPr>
          <w:lang w:val="it-IT"/>
        </w:rPr>
        <w:t xml:space="preserve"> </w:t>
      </w:r>
      <w:r>
        <w:fldChar w:fldCharType="begin"/>
      </w:r>
      <w:r>
        <w:instrText>HYPERLINK "https://sudalgaa.gov.mn/pdf/tsag-agaar-uur-amsgal-fzp"</w:instrText>
      </w:r>
      <w:r>
        <w:fldChar w:fldCharType="separate"/>
      </w:r>
      <w:r w:rsidRPr="00E8296F">
        <w:rPr>
          <w:rStyle w:val="Hyperlink"/>
          <w:lang w:val="it-IT"/>
        </w:rPr>
        <w:t>https://sudalgaa.gov.mn/pdf/tsag-agaar-uur-amsgal-fzp</w:t>
      </w:r>
      <w:r>
        <w:fldChar w:fldCharType="end"/>
      </w:r>
    </w:p>
    <w:p w14:paraId="508D3B83" w14:textId="77777777" w:rsidR="009223EB" w:rsidRPr="00993E3B" w:rsidRDefault="009223EB" w:rsidP="009223EB">
      <w:pPr>
        <w:pStyle w:val="BodyText"/>
        <w:spacing w:line="240" w:lineRule="auto"/>
        <w:contextualSpacing w:val="0"/>
        <w:rPr>
          <w:rFonts w:cs="Times New Roman"/>
        </w:rPr>
      </w:pPr>
      <w:r>
        <w:rPr>
          <w:rFonts w:cs="Times New Roman"/>
        </w:rPr>
        <w:t>[25]</w:t>
      </w:r>
      <w:r>
        <w:rPr>
          <w:rFonts w:eastAsia="Times New Roman" w:cs="Times New Roman"/>
        </w:rPr>
        <w:t xml:space="preserve"> </w:t>
      </w:r>
      <w:r>
        <w:t>Governor’s Office of Dundgovi Aimag</w:t>
      </w:r>
      <w:r>
        <w:rPr>
          <w:rFonts w:cs="Times New Roman"/>
        </w:rPr>
        <w:t xml:space="preserve"> </w:t>
      </w:r>
      <w:r>
        <w:t xml:space="preserve">(2020). </w:t>
      </w:r>
      <w:r>
        <w:rPr>
          <w:rFonts w:eastAsia="Times New Roman" w:cs="Times New Roman"/>
        </w:rPr>
        <w:t>Desertification Study of Dundgovi aimag.</w:t>
      </w:r>
      <w:r>
        <w:t xml:space="preserve"> </w:t>
      </w:r>
      <w:hyperlink r:id="rId63" w:history="1">
        <w:r>
          <w:rPr>
            <w:rStyle w:val="Hyperlink"/>
          </w:rPr>
          <w:t>https://sudalgaa.gov.mn/pdf/dundgov-aymgiyn-tslzhiltiyn-sudalgaa-i5e</w:t>
        </w:r>
      </w:hyperlink>
      <w:r>
        <w:t xml:space="preserve"> </w:t>
      </w:r>
    </w:p>
    <w:p w14:paraId="5530E0C3" w14:textId="77777777" w:rsidR="009223EB" w:rsidRPr="00E8296F" w:rsidRDefault="009223EB" w:rsidP="009223EB">
      <w:pPr>
        <w:pStyle w:val="BodyText"/>
        <w:spacing w:line="240" w:lineRule="auto"/>
        <w:contextualSpacing w:val="0"/>
        <w:rPr>
          <w:lang w:val="it-IT"/>
        </w:rPr>
      </w:pPr>
      <w:r>
        <w:rPr>
          <w:rFonts w:cs="Times New Roman"/>
        </w:rPr>
        <w:t xml:space="preserve">[26] </w:t>
      </w:r>
      <w:r>
        <w:t>Governor’s Office of Dundgovi Aimag</w:t>
      </w:r>
      <w:r>
        <w:rPr>
          <w:rFonts w:cs="Times New Roman"/>
        </w:rPr>
        <w:t xml:space="preserve"> (202</w:t>
      </w:r>
      <w:r>
        <w:t>2b</w:t>
      </w:r>
      <w:r>
        <w:rPr>
          <w:rFonts w:cs="Times New Roman"/>
        </w:rPr>
        <w:t xml:space="preserve">). </w:t>
      </w:r>
      <w:r>
        <w:rPr>
          <w:rFonts w:eastAsia="Times New Roman" w:cs="Times New Roman"/>
        </w:rPr>
        <w:t>Weather Conditions of Dundgovi aimag over the Last 20 Years</w:t>
      </w:r>
      <w:r>
        <w:rPr>
          <w:rFonts w:cs="Times New Roman"/>
        </w:rPr>
        <w:t>.</w:t>
      </w:r>
      <w:r>
        <w:rPr>
          <w:rFonts w:eastAsia="Times New Roman" w:cs="Times New Roman"/>
        </w:rPr>
        <w:t xml:space="preserve"> </w:t>
      </w:r>
      <w:r w:rsidRPr="00E8296F">
        <w:rPr>
          <w:rFonts w:eastAsia="Times New Roman" w:cs="Times New Roman"/>
          <w:lang w:val="it-IT"/>
        </w:rPr>
        <w:t>Mandalgovi.</w:t>
      </w:r>
      <w:r w:rsidRPr="00E8296F">
        <w:rPr>
          <w:lang w:val="it-IT"/>
        </w:rPr>
        <w:t xml:space="preserve"> </w:t>
      </w:r>
      <w:r>
        <w:fldChar w:fldCharType="begin"/>
      </w:r>
      <w:r>
        <w:instrText>HYPERLINK "https://sudalgaa.gov.mn/pdf/dundgov-aymgiyn-sliyn-20-zhiliyn-tsag-agaaryn-baydal-3g8"</w:instrText>
      </w:r>
      <w:r>
        <w:fldChar w:fldCharType="separate"/>
      </w:r>
      <w:r w:rsidRPr="00E8296F">
        <w:rPr>
          <w:rStyle w:val="Hyperlink"/>
          <w:lang w:val="it-IT"/>
        </w:rPr>
        <w:t>https://sudalgaa.gov.mn/pdf/dundgov-aymgiyn-sliyn-20-zhiliyn-tsag-agaaryn-baydal-3g8</w:t>
      </w:r>
      <w:r>
        <w:fldChar w:fldCharType="end"/>
      </w:r>
      <w:r w:rsidRPr="00E8296F">
        <w:rPr>
          <w:lang w:val="it-IT"/>
        </w:rPr>
        <w:t xml:space="preserve"> </w:t>
      </w:r>
    </w:p>
    <w:p w14:paraId="4F2B8051" w14:textId="77777777" w:rsidR="009223EB" w:rsidRPr="00993E3B" w:rsidRDefault="009223EB" w:rsidP="009223EB">
      <w:pPr>
        <w:pStyle w:val="BodyText"/>
        <w:spacing w:line="240" w:lineRule="auto"/>
        <w:contextualSpacing w:val="0"/>
        <w:rPr>
          <w:rFonts w:cs="Times New Roman"/>
        </w:rPr>
      </w:pPr>
      <w:r>
        <w:rPr>
          <w:rFonts w:cs="Times New Roman"/>
        </w:rPr>
        <w:t>[27]</w:t>
      </w:r>
      <w:r>
        <w:rPr>
          <w:rFonts w:eastAsia="Times New Roman" w:cs="Times New Roman"/>
        </w:rPr>
        <w:t xml:space="preserve"> </w:t>
      </w:r>
      <w:r>
        <w:t>Information and Research Institute of Meteorology, Hydrology and Environment (2024).</w:t>
      </w:r>
      <w:r>
        <w:rPr>
          <w:rFonts w:eastAsia="Times New Roman" w:cs="Times New Roman"/>
        </w:rPr>
        <w:t xml:space="preserve"> </w:t>
      </w:r>
      <w:r>
        <w:t xml:space="preserve">Weather records of the </w:t>
      </w:r>
      <w:proofErr w:type="spellStart"/>
      <w:r>
        <w:t>Arvaikheer</w:t>
      </w:r>
      <w:proofErr w:type="spellEnd"/>
      <w:r>
        <w:t xml:space="preserve"> station</w:t>
      </w:r>
      <w:r>
        <w:rPr>
          <w:rFonts w:eastAsia="Times New Roman" w:cs="Times New Roman"/>
        </w:rPr>
        <w:t xml:space="preserve">, retrieved from </w:t>
      </w:r>
      <w:r>
        <w:t xml:space="preserve">the Climate Information Service </w:t>
      </w:r>
      <w:hyperlink r:id="rId64" w:history="1">
        <w:r>
          <w:rPr>
            <w:rStyle w:val="Hyperlink"/>
          </w:rPr>
          <w:t>https://www.eic.mn</w:t>
        </w:r>
      </w:hyperlink>
      <w:r>
        <w:rPr>
          <w:rFonts w:eastAsia="Times New Roman" w:cs="Times New Roman"/>
        </w:rPr>
        <w:t>.</w:t>
      </w:r>
      <w:r>
        <w:t xml:space="preserve"> </w:t>
      </w:r>
    </w:p>
    <w:p w14:paraId="518621B9" w14:textId="77777777" w:rsidR="00E45F2E" w:rsidRDefault="005F3D45">
      <w:pPr>
        <w:pStyle w:val="BodyText"/>
        <w:spacing w:line="240" w:lineRule="auto"/>
        <w:contextualSpacing w:val="0"/>
      </w:pPr>
      <w:r>
        <w:rPr>
          <w:rFonts w:cs="Times New Roman"/>
        </w:rPr>
        <w:t>[28] Intergovernmental Panel on Climate Change (IPCC) (2022). Climate Change 2022: Impacts, Adaptation and Vulnerability. Contribution of Working Group II to the Sixth Assessment Report of the Intergovernmental Panel on Climate Change. Cambridge University Press, Cambridge and New York.</w:t>
      </w:r>
    </w:p>
    <w:p w14:paraId="21C88DCD" w14:textId="77777777" w:rsidR="00E45F2E" w:rsidRDefault="005F3D45">
      <w:pPr>
        <w:pStyle w:val="BodyText"/>
        <w:spacing w:line="240" w:lineRule="auto"/>
        <w:contextualSpacing w:val="0"/>
      </w:pPr>
      <w:r>
        <w:rPr>
          <w:rFonts w:cs="Times New Roman"/>
        </w:rPr>
        <w:t xml:space="preserve">[29] International Union for Conservation of Nature (IUCN) (2020). Global Standard for Nature-based Solutions: A User-Friendly Framework for the Verification, Design and Scaling Up of </w:t>
      </w:r>
      <w:proofErr w:type="spellStart"/>
      <w:r>
        <w:rPr>
          <w:rFonts w:cs="Times New Roman"/>
        </w:rPr>
        <w:t>NbS</w:t>
      </w:r>
      <w:proofErr w:type="spellEnd"/>
      <w:r>
        <w:rPr>
          <w:rFonts w:cs="Times New Roman"/>
        </w:rPr>
        <w:t>. First edition. IUCN, Gland.</w:t>
      </w:r>
    </w:p>
    <w:p w14:paraId="52E67758" w14:textId="77777777" w:rsidR="009223EB" w:rsidRPr="00993E3B" w:rsidRDefault="009223EB" w:rsidP="00EB489E">
      <w:r>
        <w:t xml:space="preserve">[30] Japan International Cooperation Agency (JICA) (2024). Record of Discussions on strengthening vegetable supply through market-oriented agricultural promotion approach) in Mongolia. </w:t>
      </w:r>
      <w:hyperlink r:id="rId65" w:history="1">
        <w:r>
          <w:rPr>
            <w:rStyle w:val="Hyperlink"/>
            <w:rFonts w:cs="Times New Roman"/>
          </w:rPr>
          <w:t>https://www.jica.go.jp/english/information/press/2023/20230131_30.html</w:t>
        </w:r>
      </w:hyperlink>
      <w:r>
        <w:t xml:space="preserve"> </w:t>
      </w:r>
    </w:p>
    <w:p w14:paraId="6E7D5597" w14:textId="77777777" w:rsidR="009223EB" w:rsidRDefault="009223EB" w:rsidP="009223EB">
      <w:pPr>
        <w:pStyle w:val="BodyText"/>
        <w:spacing w:line="240" w:lineRule="auto"/>
        <w:contextualSpacing w:val="0"/>
      </w:pPr>
      <w:r>
        <w:rPr>
          <w:rFonts w:cs="Times New Roman"/>
        </w:rPr>
        <w:t>[31]</w:t>
      </w:r>
      <w:r>
        <w:rPr>
          <w:rFonts w:eastAsia="Times New Roman" w:cs="Times New Roman"/>
        </w:rPr>
        <w:t xml:space="preserve"> </w:t>
      </w:r>
      <w:bookmarkStart w:id="172" w:name="_Hlk233799009"/>
      <w:r>
        <w:t xml:space="preserve">Ministry of Construction and Urban Development &amp; </w:t>
      </w:r>
      <w:r>
        <w:rPr>
          <w:rFonts w:eastAsia="Times New Roman" w:cs="Times New Roman"/>
        </w:rPr>
        <w:t xml:space="preserve">Asian Development Bank </w:t>
      </w:r>
      <w:r>
        <w:rPr>
          <w:rFonts w:cs="Times New Roman"/>
        </w:rPr>
        <w:t>(2022</w:t>
      </w:r>
      <w:bookmarkEnd w:id="172"/>
      <w:r>
        <w:rPr>
          <w:rFonts w:cs="Times New Roman"/>
        </w:rPr>
        <w:t xml:space="preserve">). </w:t>
      </w:r>
      <w:r>
        <w:rPr>
          <w:rFonts w:eastAsia="Times New Roman" w:cs="Times New Roman"/>
        </w:rPr>
        <w:t>Population Settlement and Development Programme, Dundgovi Aimag Atlas</w:t>
      </w:r>
      <w:r>
        <w:t>.</w:t>
      </w:r>
      <w:r>
        <w:rPr>
          <w:rFonts w:eastAsia="Times New Roman" w:cs="Times New Roman"/>
        </w:rPr>
        <w:t xml:space="preserve"> ADB TA 9666-MON, Ulaanbaatar.</w:t>
      </w:r>
      <w:r>
        <w:t xml:space="preserve"> </w:t>
      </w:r>
      <w:hyperlink r:id="rId66" w:history="1">
        <w:r>
          <w:rPr>
            <w:rStyle w:val="Hyperlink"/>
          </w:rPr>
          <w:t>https://sudalgaa.gov.mn/pdf/n9mNWy</w:t>
        </w:r>
      </w:hyperlink>
      <w:r>
        <w:t xml:space="preserve"> </w:t>
      </w:r>
    </w:p>
    <w:p w14:paraId="59496DE7" w14:textId="77777777" w:rsidR="009223EB" w:rsidRPr="00B47805" w:rsidRDefault="009223EB" w:rsidP="009223EB">
      <w:pPr>
        <w:pStyle w:val="BodyText"/>
        <w:spacing w:line="240" w:lineRule="auto"/>
        <w:contextualSpacing w:val="0"/>
        <w:rPr>
          <w:rFonts w:cs="Times New Roman"/>
          <w:lang w:val="en-US"/>
        </w:rPr>
      </w:pPr>
      <w:r>
        <w:rPr>
          <w:rFonts w:cs="Times New Roman"/>
        </w:rPr>
        <w:t>[32]</w:t>
      </w:r>
      <w:r>
        <w:rPr>
          <w:rFonts w:eastAsia="Times New Roman" w:cs="Times New Roman"/>
        </w:rPr>
        <w:t xml:space="preserve"> </w:t>
      </w:r>
      <w:r>
        <w:t>Ministry of Environment and Climate Change (2025).</w:t>
      </w:r>
      <w:r>
        <w:rPr>
          <w:rFonts w:eastAsia="Times New Roman" w:cs="Times New Roman"/>
        </w:rPr>
        <w:t xml:space="preserve"> National Adaptation Plan to Climate Change Mongolia 2024–2030</w:t>
      </w:r>
      <w:r>
        <w:t>.</w:t>
      </w:r>
      <w:r>
        <w:rPr>
          <w:rFonts w:eastAsia="Times New Roman" w:cs="Times New Roman"/>
        </w:rPr>
        <w:t xml:space="preserve"> </w:t>
      </w:r>
      <w:r>
        <w:rPr>
          <w:rFonts w:eastAsia="Times New Roman" w:cs="Times New Roman"/>
          <w:lang w:val="en-US"/>
        </w:rPr>
        <w:t>Ulaanbaatar</w:t>
      </w:r>
      <w:r>
        <w:rPr>
          <w:lang w:val="en-US"/>
        </w:rPr>
        <w:t xml:space="preserve">, March </w:t>
      </w:r>
      <w:r>
        <w:t>2025.</w:t>
      </w:r>
      <w:r>
        <w:rPr>
          <w:lang w:val="en-US"/>
        </w:rPr>
        <w:t xml:space="preserve"> </w:t>
      </w:r>
      <w:hyperlink r:id="rId67" w:history="1">
        <w:r>
          <w:rPr>
            <w:rStyle w:val="Hyperlink"/>
            <w:lang w:val="en-US"/>
          </w:rPr>
          <w:t>https://unfccc.int/sites/default/files/resource/NAP_Mongolia_2025.pdf</w:t>
        </w:r>
      </w:hyperlink>
      <w:r>
        <w:rPr>
          <w:lang w:val="en-US"/>
        </w:rPr>
        <w:t xml:space="preserve">  </w:t>
      </w:r>
    </w:p>
    <w:p w14:paraId="710A0E0F" w14:textId="77777777" w:rsidR="009223EB" w:rsidRPr="00993E3B" w:rsidRDefault="009223EB" w:rsidP="009223EB">
      <w:pPr>
        <w:pStyle w:val="BodyText"/>
        <w:spacing w:line="240" w:lineRule="auto"/>
        <w:contextualSpacing w:val="0"/>
        <w:rPr>
          <w:rFonts w:cs="Times New Roman"/>
        </w:rPr>
      </w:pPr>
      <w:r>
        <w:rPr>
          <w:rFonts w:cs="Times New Roman"/>
        </w:rPr>
        <w:t>[33]</w:t>
      </w:r>
      <w:r>
        <w:rPr>
          <w:rFonts w:eastAsia="Times New Roman" w:cs="Times New Roman"/>
        </w:rPr>
        <w:t xml:space="preserve"> </w:t>
      </w:r>
      <w:r>
        <w:t>Ministry of Environment and Climate Change (2025).</w:t>
      </w:r>
      <w:r>
        <w:rPr>
          <w:rFonts w:eastAsia="Times New Roman" w:cs="Times New Roman"/>
        </w:rPr>
        <w:t xml:space="preserve"> Nationally Determined Contribution </w:t>
      </w:r>
      <w:r>
        <w:t>(NDC 3.0) of Mongolia</w:t>
      </w:r>
      <w:r>
        <w:rPr>
          <w:rFonts w:eastAsia="Times New Roman" w:cs="Times New Roman"/>
        </w:rPr>
        <w:t>.</w:t>
      </w:r>
      <w:r>
        <w:t xml:space="preserve"> </w:t>
      </w:r>
      <w:hyperlink r:id="rId68" w:history="1">
        <w:r>
          <w:rPr>
            <w:rStyle w:val="Hyperlink"/>
          </w:rPr>
          <w:t>https://unfccc.int/sites/default/files/2025-09/Mongolia%20NDC3_0%20under%20UNFCCC_PA%20FINAL.pdf</w:t>
        </w:r>
      </w:hyperlink>
      <w:r>
        <w:t xml:space="preserve"> </w:t>
      </w:r>
    </w:p>
    <w:p w14:paraId="29CA38CE" w14:textId="77777777" w:rsidR="009223EB" w:rsidRPr="00993E3B" w:rsidRDefault="009223EB" w:rsidP="009223EB">
      <w:pPr>
        <w:pStyle w:val="BodyText"/>
        <w:spacing w:line="240" w:lineRule="auto"/>
        <w:contextualSpacing w:val="0"/>
        <w:rPr>
          <w:rFonts w:cs="Times New Roman"/>
        </w:rPr>
      </w:pPr>
      <w:r>
        <w:rPr>
          <w:rFonts w:cs="Times New Roman"/>
        </w:rPr>
        <w:t>[34]</w:t>
      </w:r>
      <w:r>
        <w:rPr>
          <w:rFonts w:eastAsia="Times New Roman" w:cs="Times New Roman"/>
        </w:rPr>
        <w:t xml:space="preserve"> Ministry of Food, Agriculture and Light Industry </w:t>
      </w:r>
      <w:r>
        <w:rPr>
          <w:rFonts w:cs="Times New Roman"/>
        </w:rPr>
        <w:t>(2023).</w:t>
      </w:r>
      <w:r>
        <w:rPr>
          <w:rFonts w:eastAsia="Times New Roman" w:cs="Times New Roman"/>
        </w:rPr>
        <w:t xml:space="preserve"> Potato and Vegetable Seed Supply</w:t>
      </w:r>
      <w:r>
        <w:t xml:space="preserve"> -</w:t>
      </w:r>
      <w:r>
        <w:rPr>
          <w:rFonts w:eastAsia="Times New Roman" w:cs="Times New Roman"/>
        </w:rPr>
        <w:t xml:space="preserve"> 2021 Outcomes and 2023 Implementation Measures</w:t>
      </w:r>
      <w:r>
        <w:rPr>
          <w:rFonts w:cs="Times New Roman"/>
        </w:rPr>
        <w:t>.</w:t>
      </w:r>
      <w:r>
        <w:rPr>
          <w:rFonts w:eastAsia="Times New Roman" w:cs="Times New Roman"/>
        </w:rPr>
        <w:t xml:space="preserve"> </w:t>
      </w:r>
      <w:r>
        <w:rPr>
          <w:rFonts w:cs="Times New Roman"/>
        </w:rPr>
        <w:t>P</w:t>
      </w:r>
      <w:r>
        <w:rPr>
          <w:rFonts w:eastAsia="Times New Roman" w:cs="Times New Roman"/>
        </w:rPr>
        <w:t xml:space="preserve">resentation by N. </w:t>
      </w:r>
      <w:proofErr w:type="spellStart"/>
      <w:r>
        <w:rPr>
          <w:rFonts w:eastAsia="Times New Roman" w:cs="Times New Roman"/>
        </w:rPr>
        <w:t>Oyunsuvd</w:t>
      </w:r>
      <w:proofErr w:type="spellEnd"/>
      <w:r>
        <w:rPr>
          <w:rFonts w:eastAsia="Times New Roman" w:cs="Times New Roman"/>
        </w:rPr>
        <w:t>.</w:t>
      </w:r>
    </w:p>
    <w:p w14:paraId="4DF20B48" w14:textId="77777777" w:rsidR="009223EB" w:rsidRDefault="009223EB" w:rsidP="009223EB">
      <w:pPr>
        <w:pStyle w:val="BodyText"/>
        <w:spacing w:line="240" w:lineRule="auto"/>
        <w:contextualSpacing w:val="0"/>
      </w:pPr>
      <w:r>
        <w:rPr>
          <w:rFonts w:cs="Times New Roman"/>
        </w:rPr>
        <w:t>[35]</w:t>
      </w:r>
      <w:r>
        <w:t xml:space="preserve"> Mongolian Agency for Standard and Metrology (2024). Catalogue of Valid Standards in the Environmental Sector. Retrieved from the Electronic Library of Standards </w:t>
      </w:r>
      <w:hyperlink r:id="rId69" w:history="1">
        <w:r>
          <w:rPr>
            <w:rStyle w:val="Hyperlink"/>
          </w:rPr>
          <w:t>https://estandard.gov.mn</w:t>
        </w:r>
      </w:hyperlink>
      <w:r>
        <w:t xml:space="preserve">. </w:t>
      </w:r>
    </w:p>
    <w:p w14:paraId="59A797D4" w14:textId="77777777" w:rsidR="009223EB" w:rsidRDefault="009223EB" w:rsidP="009223EB">
      <w:pPr>
        <w:pStyle w:val="BodyText"/>
        <w:spacing w:line="240" w:lineRule="auto"/>
        <w:contextualSpacing w:val="0"/>
      </w:pPr>
      <w:r>
        <w:rPr>
          <w:rFonts w:cs="Times New Roman"/>
        </w:rPr>
        <w:t>[36]</w:t>
      </w:r>
      <w:r>
        <w:t xml:space="preserve"> Mongolian Agency for Standard and Metrology (2024). List of Valid Standards in the Energy Sector. Retrieved from the Electronic Library of Standards </w:t>
      </w:r>
      <w:hyperlink r:id="rId70" w:history="1">
        <w:r>
          <w:rPr>
            <w:rStyle w:val="Hyperlink"/>
          </w:rPr>
          <w:t>https://estandard.gov.mn</w:t>
        </w:r>
      </w:hyperlink>
      <w:r>
        <w:t xml:space="preserve">. </w:t>
      </w:r>
    </w:p>
    <w:p w14:paraId="0D789595" w14:textId="77777777" w:rsidR="009223EB" w:rsidRDefault="009223EB" w:rsidP="009223EB">
      <w:pPr>
        <w:pStyle w:val="BodyText"/>
        <w:spacing w:line="240" w:lineRule="auto"/>
        <w:contextualSpacing w:val="0"/>
      </w:pPr>
      <w:r>
        <w:rPr>
          <w:rFonts w:cs="Times New Roman"/>
        </w:rPr>
        <w:t>[37]</w:t>
      </w:r>
      <w:r>
        <w:t xml:space="preserve"> Mongolian Agency for Standard and Metrology (2024). Standard of Mongolia MNS 0900:2018. Environment. Health protection. Safety. Drinking water. Hygienically requirements, assessment of the quality and safety. Retrieved from the Electronic Library of Standards </w:t>
      </w:r>
      <w:hyperlink r:id="rId71" w:history="1">
        <w:r>
          <w:rPr>
            <w:rStyle w:val="Hyperlink"/>
          </w:rPr>
          <w:t>https://estandard.gov.mn</w:t>
        </w:r>
      </w:hyperlink>
      <w:r>
        <w:t xml:space="preserve">. </w:t>
      </w:r>
    </w:p>
    <w:p w14:paraId="660F2861" w14:textId="77777777" w:rsidR="009223EB" w:rsidRDefault="009223EB" w:rsidP="009223EB">
      <w:pPr>
        <w:pStyle w:val="BodyText"/>
        <w:spacing w:line="240" w:lineRule="auto"/>
        <w:contextualSpacing w:val="0"/>
      </w:pPr>
      <w:r>
        <w:rPr>
          <w:rFonts w:cs="Times New Roman"/>
        </w:rPr>
        <w:t>[38]</w:t>
      </w:r>
      <w:r>
        <w:t xml:space="preserve"> Mongolian Agency for Standard and Metrology (2015). Standard of Mongolia MNS 4943:2015. Environment. Water Quality. </w:t>
      </w:r>
      <w:proofErr w:type="gramStart"/>
      <w:r>
        <w:t>Waste Water</w:t>
      </w:r>
      <w:proofErr w:type="gramEnd"/>
      <w:r>
        <w:t xml:space="preserve"> Supplied into the Environment – General Requirements. Retrieved from the Electronic Library of Standards </w:t>
      </w:r>
      <w:hyperlink r:id="rId72" w:history="1">
        <w:r>
          <w:rPr>
            <w:rStyle w:val="Hyperlink"/>
          </w:rPr>
          <w:t>https://estandard.gov.mn</w:t>
        </w:r>
      </w:hyperlink>
      <w:r>
        <w:t xml:space="preserve">. </w:t>
      </w:r>
    </w:p>
    <w:p w14:paraId="6E8CF45E" w14:textId="77777777" w:rsidR="009223EB" w:rsidRDefault="009223EB" w:rsidP="009223EB">
      <w:pPr>
        <w:pStyle w:val="BodyText"/>
        <w:spacing w:line="240" w:lineRule="auto"/>
        <w:contextualSpacing w:val="0"/>
      </w:pPr>
      <w:r>
        <w:rPr>
          <w:rFonts w:cs="Times New Roman"/>
        </w:rPr>
        <w:t>[39]</w:t>
      </w:r>
      <w:r>
        <w:t xml:space="preserve"> Mongolian Agency for Standard and Metrology (2016). Standard of Mongolia MNS 6636:2016. Synthetic Film Summer Greenhouse - General Technical Requirements. Retrieved from the Electronic Library of Standards </w:t>
      </w:r>
      <w:hyperlink r:id="rId73" w:history="1">
        <w:r>
          <w:rPr>
            <w:rStyle w:val="Hyperlink"/>
          </w:rPr>
          <w:t>https://estandard.gov.mn</w:t>
        </w:r>
      </w:hyperlink>
      <w:r>
        <w:t xml:space="preserve">. </w:t>
      </w:r>
    </w:p>
    <w:p w14:paraId="30879FE7" w14:textId="77777777" w:rsidR="009223EB" w:rsidRDefault="009223EB" w:rsidP="009223EB">
      <w:pPr>
        <w:pStyle w:val="BodyText"/>
        <w:spacing w:line="240" w:lineRule="auto"/>
        <w:contextualSpacing w:val="0"/>
      </w:pPr>
      <w:r>
        <w:rPr>
          <w:rFonts w:cs="Times New Roman"/>
        </w:rPr>
        <w:lastRenderedPageBreak/>
        <w:t>[40]</w:t>
      </w:r>
      <w:r>
        <w:t xml:space="preserve"> Mongolian Agency for Standard and Metrology (2016). Standard of Mongolia MNS 6637:2016. Heated Synthetic Film Winter Greenhouse – General Technical Requirements. Retrieved from the Electronic Library of Standards </w:t>
      </w:r>
      <w:hyperlink r:id="rId74" w:history="1">
        <w:r>
          <w:rPr>
            <w:rStyle w:val="Hyperlink"/>
          </w:rPr>
          <w:t>https://estandard.gov.mn</w:t>
        </w:r>
      </w:hyperlink>
      <w:r>
        <w:t xml:space="preserve">. </w:t>
      </w:r>
    </w:p>
    <w:p w14:paraId="5E0E2E2B" w14:textId="77777777" w:rsidR="009223EB" w:rsidRDefault="009223EB" w:rsidP="009223EB">
      <w:pPr>
        <w:pStyle w:val="BodyText"/>
        <w:spacing w:line="240" w:lineRule="auto"/>
        <w:contextualSpacing w:val="0"/>
      </w:pPr>
      <w:r>
        <w:rPr>
          <w:rFonts w:cs="Times New Roman"/>
        </w:rPr>
        <w:t>[41]</w:t>
      </w:r>
      <w:r>
        <w:t xml:space="preserve"> Mongolian Agency for Standard and Metrology (2024). Standard of Mongolia MNS 7060:2024. Winter glass greenhouse – Technical Requirements. Retrieved from the Electronic Library of Standards </w:t>
      </w:r>
      <w:hyperlink r:id="rId75" w:history="1">
        <w:r>
          <w:rPr>
            <w:rStyle w:val="Hyperlink"/>
          </w:rPr>
          <w:t>https://estandard.gov.mn</w:t>
        </w:r>
      </w:hyperlink>
      <w:r>
        <w:t xml:space="preserve">. </w:t>
      </w:r>
    </w:p>
    <w:p w14:paraId="610E0BE0" w14:textId="77777777" w:rsidR="009223EB" w:rsidRPr="00993E3B" w:rsidRDefault="009223EB" w:rsidP="009223EB">
      <w:pPr>
        <w:pStyle w:val="BodyText"/>
        <w:spacing w:line="240" w:lineRule="auto"/>
        <w:contextualSpacing w:val="0"/>
        <w:rPr>
          <w:rFonts w:cs="Times New Roman"/>
        </w:rPr>
      </w:pPr>
      <w:r>
        <w:rPr>
          <w:rFonts w:cs="Times New Roman"/>
        </w:rPr>
        <w:t>[42]</w:t>
      </w:r>
      <w:r>
        <w:rPr>
          <w:rFonts w:eastAsia="Times New Roman" w:cs="Times New Roman"/>
        </w:rPr>
        <w:t xml:space="preserve"> </w:t>
      </w:r>
      <w:r>
        <w:t xml:space="preserve">Mongolian Farmers’ Association for Sustainable Rural Development </w:t>
      </w:r>
      <w:r>
        <w:rPr>
          <w:rFonts w:eastAsia="Times New Roman" w:cs="Times New Roman"/>
        </w:rPr>
        <w:t>(</w:t>
      </w:r>
      <w:r>
        <w:rPr>
          <w:rFonts w:cs="Times New Roman"/>
        </w:rPr>
        <w:t>201</w:t>
      </w:r>
      <w:r>
        <w:t>6</w:t>
      </w:r>
      <w:r>
        <w:rPr>
          <w:rFonts w:eastAsia="Times New Roman" w:cs="Times New Roman"/>
        </w:rPr>
        <w:t>)</w:t>
      </w:r>
      <w:r>
        <w:rPr>
          <w:rFonts w:cs="Times New Roman"/>
        </w:rPr>
        <w:t xml:space="preserve">. </w:t>
      </w:r>
      <w:r>
        <w:t xml:space="preserve">Study on Mongolian </w:t>
      </w:r>
      <w:r>
        <w:rPr>
          <w:rFonts w:eastAsia="Times New Roman" w:cs="Times New Roman"/>
        </w:rPr>
        <w:t xml:space="preserve">Vegetable </w:t>
      </w:r>
      <w:r>
        <w:t xml:space="preserve">Sector and </w:t>
      </w:r>
      <w:r>
        <w:rPr>
          <w:rFonts w:eastAsia="Times New Roman" w:cs="Times New Roman"/>
        </w:rPr>
        <w:t xml:space="preserve">Value Chain </w:t>
      </w:r>
      <w:r>
        <w:t>Situation</w:t>
      </w:r>
      <w:r>
        <w:rPr>
          <w:rFonts w:cs="Times New Roman"/>
        </w:rPr>
        <w:t>.</w:t>
      </w:r>
      <w:r>
        <w:rPr>
          <w:rFonts w:eastAsia="Times New Roman" w:cs="Times New Roman"/>
        </w:rPr>
        <w:t xml:space="preserve"> </w:t>
      </w:r>
      <w:r>
        <w:t xml:space="preserve">Commissioned by the Support to Employment Policy for promoting job creation in Mongolia (SECiM) project. </w:t>
      </w:r>
      <w:r>
        <w:rPr>
          <w:rFonts w:eastAsia="Times New Roman" w:cs="Times New Roman"/>
        </w:rPr>
        <w:t>Ulaanbaatar.</w:t>
      </w:r>
    </w:p>
    <w:p w14:paraId="72EA6B8F" w14:textId="77777777" w:rsidR="009223EB" w:rsidRPr="00993E3B" w:rsidRDefault="009223EB" w:rsidP="009223EB">
      <w:pPr>
        <w:pStyle w:val="BodyText"/>
        <w:spacing w:line="240" w:lineRule="auto"/>
        <w:contextualSpacing w:val="0"/>
        <w:rPr>
          <w:rFonts w:cs="Times New Roman"/>
        </w:rPr>
      </w:pPr>
      <w:r>
        <w:rPr>
          <w:rFonts w:cs="Times New Roman"/>
        </w:rPr>
        <w:t>[43]</w:t>
      </w:r>
      <w:r>
        <w:rPr>
          <w:rFonts w:eastAsia="Times New Roman" w:cs="Times New Roman"/>
        </w:rPr>
        <w:t xml:space="preserve"> National Statistics Office of Mongolia (</w:t>
      </w:r>
      <w:r>
        <w:rPr>
          <w:rFonts w:cs="Times New Roman"/>
        </w:rPr>
        <w:t>2025</w:t>
      </w:r>
      <w:r>
        <w:t>a</w:t>
      </w:r>
      <w:r>
        <w:rPr>
          <w:rFonts w:eastAsia="Times New Roman" w:cs="Times New Roman"/>
        </w:rPr>
        <w:t>)</w:t>
      </w:r>
      <w:r>
        <w:rPr>
          <w:rFonts w:cs="Times New Roman"/>
        </w:rPr>
        <w:t>.</w:t>
      </w:r>
      <w:r>
        <w:rPr>
          <w:rFonts w:eastAsia="Times New Roman" w:cs="Times New Roman"/>
        </w:rPr>
        <w:t xml:space="preserve"> Agriculture Sector 2024</w:t>
      </w:r>
      <w:r>
        <w:rPr>
          <w:rFonts w:cs="Times New Roman"/>
        </w:rPr>
        <w:t>.</w:t>
      </w:r>
      <w:r>
        <w:rPr>
          <w:rFonts w:eastAsia="Times New Roman" w:cs="Times New Roman"/>
        </w:rPr>
        <w:t xml:space="preserve"> </w:t>
      </w:r>
      <w:r>
        <w:t xml:space="preserve">Retrieved from the Mongolian Statistical Information Service </w:t>
      </w:r>
      <w:hyperlink r:id="rId76" w:history="1">
        <w:r>
          <w:rPr>
            <w:rStyle w:val="Hyperlink"/>
          </w:rPr>
          <w:t>https://www.1212.mn</w:t>
        </w:r>
      </w:hyperlink>
      <w:r>
        <w:t xml:space="preserve">. </w:t>
      </w:r>
    </w:p>
    <w:p w14:paraId="262D4F54" w14:textId="77777777" w:rsidR="009223EB" w:rsidRDefault="009223EB" w:rsidP="009223EB">
      <w:pPr>
        <w:pStyle w:val="BodyText"/>
        <w:spacing w:line="240" w:lineRule="auto"/>
        <w:contextualSpacing w:val="0"/>
      </w:pPr>
      <w:r>
        <w:rPr>
          <w:rFonts w:cs="Times New Roman"/>
        </w:rPr>
        <w:t xml:space="preserve">[44] </w:t>
      </w:r>
      <w:r>
        <w:rPr>
          <w:rFonts w:eastAsia="Times New Roman" w:cs="Times New Roman"/>
        </w:rPr>
        <w:t xml:space="preserve">National Statistics Office </w:t>
      </w:r>
      <w:r>
        <w:rPr>
          <w:rFonts w:cs="Times New Roman"/>
        </w:rPr>
        <w:t>of Mongolia (2025</w:t>
      </w:r>
      <w:r>
        <w:t>b</w:t>
      </w:r>
      <w:r>
        <w:rPr>
          <w:rFonts w:cs="Times New Roman"/>
        </w:rPr>
        <w:t>).</w:t>
      </w:r>
      <w:r>
        <w:rPr>
          <w:rFonts w:eastAsia="Times New Roman" w:cs="Times New Roman"/>
        </w:rPr>
        <w:t xml:space="preserve"> Statistical Yearbook 2024</w:t>
      </w:r>
      <w:r>
        <w:rPr>
          <w:rFonts w:cs="Times New Roman"/>
        </w:rPr>
        <w:t>.</w:t>
      </w:r>
      <w:r>
        <w:rPr>
          <w:rFonts w:eastAsia="Times New Roman" w:cs="Times New Roman"/>
        </w:rPr>
        <w:t xml:space="preserve"> </w:t>
      </w:r>
      <w:r>
        <w:t xml:space="preserve">Retrieved from the Mongolian Statistical Information Service </w:t>
      </w:r>
      <w:hyperlink r:id="rId77" w:history="1">
        <w:r>
          <w:rPr>
            <w:rStyle w:val="Hyperlink"/>
          </w:rPr>
          <w:t>https://www.1212.mn</w:t>
        </w:r>
      </w:hyperlink>
      <w:r>
        <w:t>.</w:t>
      </w:r>
    </w:p>
    <w:p w14:paraId="3348FF17" w14:textId="77777777" w:rsidR="009223EB" w:rsidRPr="00993E3B" w:rsidRDefault="009223EB" w:rsidP="009223EB">
      <w:pPr>
        <w:pStyle w:val="BodyText"/>
        <w:suppressAutoHyphens/>
        <w:spacing w:line="240" w:lineRule="auto"/>
        <w:contextualSpacing w:val="0"/>
        <w:rPr>
          <w:rFonts w:cs="Times New Roman"/>
        </w:rPr>
      </w:pPr>
      <w:r>
        <w:rPr>
          <w:rFonts w:cs="Times New Roman"/>
        </w:rPr>
        <w:t>[45] OIKO LOGICA (2026). Back-to-Office Report — Field Assessment</w:t>
      </w:r>
      <w:r>
        <w:t xml:space="preserve"> in</w:t>
      </w:r>
      <w:r>
        <w:rPr>
          <w:rFonts w:cs="Times New Roman"/>
        </w:rPr>
        <w:t xml:space="preserve"> </w:t>
      </w:r>
      <w:r>
        <w:t xml:space="preserve">Dundgovi </w:t>
      </w:r>
      <w:r>
        <w:rPr>
          <w:rFonts w:cs="Times New Roman"/>
        </w:rPr>
        <w:t>Province — Dundgovi Province (25–27 May 2026)</w:t>
      </w:r>
    </w:p>
    <w:p w14:paraId="126EEA54" w14:textId="77777777" w:rsidR="009223EB" w:rsidRDefault="009223EB" w:rsidP="009223EB">
      <w:pPr>
        <w:pStyle w:val="BodyText"/>
        <w:spacing w:line="240" w:lineRule="auto"/>
        <w:contextualSpacing w:val="0"/>
      </w:pPr>
      <w:r>
        <w:rPr>
          <w:rFonts w:cs="Times New Roman"/>
        </w:rPr>
        <w:t>[46] OIKO LOGICA (2026). Back-to-Office Report — Field Assessment</w:t>
      </w:r>
      <w:r>
        <w:t xml:space="preserve"> in</w:t>
      </w:r>
      <w:r>
        <w:rPr>
          <w:rFonts w:cs="Times New Roman"/>
        </w:rPr>
        <w:t xml:space="preserve"> Uvurkhangai Province (</w:t>
      </w:r>
      <w:r>
        <w:t>20</w:t>
      </w:r>
      <w:r>
        <w:rPr>
          <w:rFonts w:cs="Times New Roman"/>
        </w:rPr>
        <w:t>–2</w:t>
      </w:r>
      <w:r>
        <w:t>3</w:t>
      </w:r>
      <w:r>
        <w:rPr>
          <w:rFonts w:cs="Times New Roman"/>
        </w:rPr>
        <w:t xml:space="preserve"> May 2026).</w:t>
      </w:r>
    </w:p>
    <w:p w14:paraId="44204B3E" w14:textId="77777777" w:rsidR="009223EB" w:rsidRDefault="009223EB" w:rsidP="009223EB">
      <w:pPr>
        <w:pStyle w:val="BodyText"/>
        <w:spacing w:line="240" w:lineRule="auto"/>
        <w:contextualSpacing w:val="0"/>
      </w:pPr>
      <w:r>
        <w:rPr>
          <w:rFonts w:cs="Times New Roman"/>
        </w:rPr>
        <w:t xml:space="preserve">[47] OIKO LOGICA (2026). Back-to-Office Report —Finance and Insurance </w:t>
      </w:r>
      <w:r>
        <w:t xml:space="preserve">Mission </w:t>
      </w:r>
      <w:r>
        <w:rPr>
          <w:rFonts w:cs="Times New Roman"/>
        </w:rPr>
        <w:t>(18–29 May 2026).</w:t>
      </w:r>
    </w:p>
    <w:p w14:paraId="25F3623E" w14:textId="77777777" w:rsidR="009223EB" w:rsidRDefault="009223EB" w:rsidP="009223EB">
      <w:pPr>
        <w:pStyle w:val="BodyText"/>
        <w:spacing w:line="240" w:lineRule="auto"/>
        <w:contextualSpacing w:val="0"/>
      </w:pPr>
      <w:r>
        <w:rPr>
          <w:rFonts w:cs="Times New Roman"/>
          <w:lang w:val="en-US"/>
        </w:rPr>
        <w:t>[48]</w:t>
      </w:r>
      <w:r>
        <w:rPr>
          <w:lang w:val="en-US"/>
        </w:rPr>
        <w:t xml:space="preserve"> Parliament of </w:t>
      </w:r>
      <w:proofErr w:type="spellStart"/>
      <w:r>
        <w:rPr>
          <w:lang w:val="en-US"/>
        </w:rPr>
        <w:t>Mongoli</w:t>
      </w:r>
      <w:proofErr w:type="spellEnd"/>
      <w:r>
        <w:t xml:space="preserve">a (1992). Constitution of Mongolia. Retrieved from the Unified Legal Information System </w:t>
      </w:r>
      <w:hyperlink r:id="rId78" w:history="1">
        <w:r>
          <w:rPr>
            <w:rStyle w:val="Hyperlink"/>
          </w:rPr>
          <w:t>https://legalinfo.mn</w:t>
        </w:r>
      </w:hyperlink>
      <w:r>
        <w:t xml:space="preserve">. </w:t>
      </w:r>
    </w:p>
    <w:p w14:paraId="050C9A67" w14:textId="77777777" w:rsidR="009223EB" w:rsidRDefault="009223EB" w:rsidP="009223EB">
      <w:pPr>
        <w:pStyle w:val="BodyText"/>
        <w:spacing w:line="240" w:lineRule="auto"/>
        <w:contextualSpacing w:val="0"/>
      </w:pPr>
      <w:r>
        <w:rPr>
          <w:rFonts w:cs="Times New Roman"/>
          <w:lang w:val="en-US"/>
        </w:rPr>
        <w:t>[49]</w:t>
      </w:r>
      <w:r>
        <w:rPr>
          <w:lang w:val="en-US"/>
        </w:rPr>
        <w:t xml:space="preserve"> Parliament of </w:t>
      </w:r>
      <w:proofErr w:type="spellStart"/>
      <w:r>
        <w:rPr>
          <w:lang w:val="en-US"/>
        </w:rPr>
        <w:t>Mongoli</w:t>
      </w:r>
      <w:proofErr w:type="spellEnd"/>
      <w:r>
        <w:t xml:space="preserve">a (2024). Government Action Plan 2024-2028. Retrieved from the Unified Legal Information System </w:t>
      </w:r>
      <w:hyperlink r:id="rId79" w:history="1">
        <w:r>
          <w:rPr>
            <w:rStyle w:val="Hyperlink"/>
          </w:rPr>
          <w:t>https://legalinfo.mn</w:t>
        </w:r>
      </w:hyperlink>
      <w:r>
        <w:t>.</w:t>
      </w:r>
    </w:p>
    <w:p w14:paraId="4F8C0588" w14:textId="77777777" w:rsidR="009223EB" w:rsidRDefault="009223EB" w:rsidP="009223EB">
      <w:pPr>
        <w:pStyle w:val="BodyText"/>
        <w:spacing w:line="240" w:lineRule="auto"/>
        <w:contextualSpacing w:val="0"/>
      </w:pPr>
      <w:r>
        <w:rPr>
          <w:rFonts w:cs="Times New Roman"/>
          <w:lang w:val="en-US"/>
        </w:rPr>
        <w:t>[50]</w:t>
      </w:r>
      <w:r>
        <w:rPr>
          <w:lang w:val="en-US"/>
        </w:rPr>
        <w:t xml:space="preserve"> Parliament of </w:t>
      </w:r>
      <w:proofErr w:type="spellStart"/>
      <w:r>
        <w:rPr>
          <w:lang w:val="en-US"/>
        </w:rPr>
        <w:t>Mongoli</w:t>
      </w:r>
      <w:proofErr w:type="spellEnd"/>
      <w:r>
        <w:t xml:space="preserve">a (2002). Land Law. Retrieved from the Unified Legal Information System </w:t>
      </w:r>
      <w:hyperlink r:id="rId80" w:history="1">
        <w:r>
          <w:rPr>
            <w:rStyle w:val="Hyperlink"/>
          </w:rPr>
          <w:t>https://legalinfo.mn</w:t>
        </w:r>
      </w:hyperlink>
      <w:r>
        <w:t>.</w:t>
      </w:r>
    </w:p>
    <w:p w14:paraId="49BD2160" w14:textId="77777777" w:rsidR="009223EB" w:rsidRDefault="009223EB" w:rsidP="009223EB">
      <w:pPr>
        <w:pStyle w:val="BodyText"/>
        <w:spacing w:line="240" w:lineRule="auto"/>
        <w:contextualSpacing w:val="0"/>
      </w:pPr>
      <w:r>
        <w:rPr>
          <w:rFonts w:cs="Times New Roman"/>
          <w:lang w:val="en-US"/>
        </w:rPr>
        <w:t>[51]</w:t>
      </w:r>
      <w:r>
        <w:rPr>
          <w:lang w:val="en-US"/>
        </w:rPr>
        <w:t xml:space="preserve"> Parliament of </w:t>
      </w:r>
      <w:proofErr w:type="spellStart"/>
      <w:r>
        <w:rPr>
          <w:lang w:val="en-US"/>
        </w:rPr>
        <w:t>Mongoli</w:t>
      </w:r>
      <w:proofErr w:type="spellEnd"/>
      <w:r>
        <w:t xml:space="preserve">a (2016). Law on Crop Farming. Retrieved from the Unified Legal Information System </w:t>
      </w:r>
      <w:hyperlink r:id="rId81" w:history="1">
        <w:r>
          <w:rPr>
            <w:rStyle w:val="Hyperlink"/>
          </w:rPr>
          <w:t>https://legalinfo.mn</w:t>
        </w:r>
      </w:hyperlink>
      <w:r>
        <w:t>.</w:t>
      </w:r>
    </w:p>
    <w:p w14:paraId="77B63A16" w14:textId="77777777" w:rsidR="009223EB" w:rsidRDefault="009223EB" w:rsidP="009223EB">
      <w:pPr>
        <w:pStyle w:val="BodyText"/>
        <w:spacing w:line="240" w:lineRule="auto"/>
        <w:contextualSpacing w:val="0"/>
      </w:pPr>
      <w:r>
        <w:rPr>
          <w:rFonts w:cs="Times New Roman"/>
          <w:lang w:val="en-US"/>
        </w:rPr>
        <w:t>[52]</w:t>
      </w:r>
      <w:r>
        <w:rPr>
          <w:lang w:val="en-US"/>
        </w:rPr>
        <w:t xml:space="preserve"> Parliament of </w:t>
      </w:r>
      <w:proofErr w:type="spellStart"/>
      <w:r>
        <w:rPr>
          <w:lang w:val="en-US"/>
        </w:rPr>
        <w:t>Mongoli</w:t>
      </w:r>
      <w:proofErr w:type="spellEnd"/>
      <w:r>
        <w:t xml:space="preserve">a (2020). Law on Development Policy, Planning and its Management. Retrieved from the Unified Legal Information System </w:t>
      </w:r>
      <w:hyperlink r:id="rId82" w:history="1">
        <w:r>
          <w:rPr>
            <w:rStyle w:val="Hyperlink"/>
          </w:rPr>
          <w:t>https://legalinfo.mn</w:t>
        </w:r>
      </w:hyperlink>
      <w:r>
        <w:t>.</w:t>
      </w:r>
    </w:p>
    <w:p w14:paraId="24DF5282" w14:textId="77777777" w:rsidR="009223EB" w:rsidRDefault="009223EB" w:rsidP="009223EB">
      <w:pPr>
        <w:pStyle w:val="BodyText"/>
        <w:spacing w:line="240" w:lineRule="auto"/>
        <w:contextualSpacing w:val="0"/>
      </w:pPr>
      <w:r>
        <w:rPr>
          <w:rFonts w:cs="Times New Roman"/>
          <w:lang w:val="en-US"/>
        </w:rPr>
        <w:t>[53]</w:t>
      </w:r>
      <w:r>
        <w:rPr>
          <w:lang w:val="en-US"/>
        </w:rPr>
        <w:t xml:space="preserve"> Parliament of </w:t>
      </w:r>
      <w:proofErr w:type="spellStart"/>
      <w:r>
        <w:rPr>
          <w:lang w:val="en-US"/>
        </w:rPr>
        <w:t>Mongoli</w:t>
      </w:r>
      <w:proofErr w:type="spellEnd"/>
      <w:r>
        <w:t xml:space="preserve">a (2015). Law on Energy Conservation. Retrieved from the Unified Legal Information System </w:t>
      </w:r>
      <w:hyperlink r:id="rId83" w:history="1">
        <w:r>
          <w:rPr>
            <w:rStyle w:val="Hyperlink"/>
          </w:rPr>
          <w:t>https://legalinfo.mn</w:t>
        </w:r>
      </w:hyperlink>
      <w:r>
        <w:t>.</w:t>
      </w:r>
    </w:p>
    <w:p w14:paraId="266D0A16" w14:textId="77777777" w:rsidR="009223EB" w:rsidRDefault="009223EB" w:rsidP="009223EB">
      <w:pPr>
        <w:pStyle w:val="BodyText"/>
        <w:spacing w:line="240" w:lineRule="auto"/>
        <w:contextualSpacing w:val="0"/>
      </w:pPr>
      <w:r>
        <w:rPr>
          <w:rFonts w:cs="Times New Roman"/>
          <w:lang w:val="en-US"/>
        </w:rPr>
        <w:t>[54]</w:t>
      </w:r>
      <w:r>
        <w:rPr>
          <w:lang w:val="en-US"/>
        </w:rPr>
        <w:t xml:space="preserve"> Parliament of </w:t>
      </w:r>
      <w:proofErr w:type="spellStart"/>
      <w:r>
        <w:rPr>
          <w:lang w:val="en-US"/>
        </w:rPr>
        <w:t>Mongoli</w:t>
      </w:r>
      <w:proofErr w:type="spellEnd"/>
      <w:r>
        <w:t xml:space="preserve">a (2012). Law on Environmental Impact Assessment. Retrieved from the Unified Legal Information System </w:t>
      </w:r>
      <w:hyperlink r:id="rId84" w:history="1">
        <w:r>
          <w:rPr>
            <w:rStyle w:val="Hyperlink"/>
          </w:rPr>
          <w:t>https://legalinfo.mn</w:t>
        </w:r>
      </w:hyperlink>
      <w:r>
        <w:t>.</w:t>
      </w:r>
    </w:p>
    <w:p w14:paraId="4028C50F" w14:textId="77777777" w:rsidR="009223EB" w:rsidRDefault="009223EB" w:rsidP="009223EB">
      <w:pPr>
        <w:pStyle w:val="BodyText"/>
        <w:spacing w:line="240" w:lineRule="auto"/>
        <w:contextualSpacing w:val="0"/>
      </w:pPr>
      <w:r>
        <w:rPr>
          <w:rFonts w:cs="Times New Roman"/>
          <w:lang w:val="en-US"/>
        </w:rPr>
        <w:t>[55]</w:t>
      </w:r>
      <w:r>
        <w:rPr>
          <w:lang w:val="en-US"/>
        </w:rPr>
        <w:t xml:space="preserve"> Parliament of </w:t>
      </w:r>
      <w:proofErr w:type="spellStart"/>
      <w:r>
        <w:rPr>
          <w:lang w:val="en-US"/>
        </w:rPr>
        <w:t>Mongoli</w:t>
      </w:r>
      <w:proofErr w:type="spellEnd"/>
      <w:r>
        <w:t xml:space="preserve">a (1995). Law on Environmental Protection. Retrieved from the Unified Legal Information System </w:t>
      </w:r>
      <w:hyperlink r:id="rId85" w:history="1">
        <w:r>
          <w:rPr>
            <w:rStyle w:val="Hyperlink"/>
          </w:rPr>
          <w:t>https://legalinfo.mn</w:t>
        </w:r>
      </w:hyperlink>
      <w:r>
        <w:t>.</w:t>
      </w:r>
    </w:p>
    <w:p w14:paraId="771CACD5" w14:textId="77777777" w:rsidR="009223EB" w:rsidRDefault="009223EB" w:rsidP="009223EB">
      <w:pPr>
        <w:pStyle w:val="BodyText"/>
        <w:spacing w:line="240" w:lineRule="auto"/>
        <w:contextualSpacing w:val="0"/>
      </w:pPr>
      <w:r>
        <w:rPr>
          <w:rFonts w:cs="Times New Roman"/>
          <w:lang w:val="en-US"/>
        </w:rPr>
        <w:t>[56]</w:t>
      </w:r>
      <w:r>
        <w:rPr>
          <w:lang w:val="en-US"/>
        </w:rPr>
        <w:t xml:space="preserve"> Parliament of </w:t>
      </w:r>
      <w:proofErr w:type="spellStart"/>
      <w:r>
        <w:rPr>
          <w:lang w:val="en-US"/>
        </w:rPr>
        <w:t>Mongoli</w:t>
      </w:r>
      <w:proofErr w:type="spellEnd"/>
      <w:r>
        <w:t xml:space="preserve">a (2012). Law on Forest. Retrieved from the Unified Legal Information System </w:t>
      </w:r>
      <w:hyperlink r:id="rId86" w:history="1">
        <w:r>
          <w:rPr>
            <w:rStyle w:val="Hyperlink"/>
          </w:rPr>
          <w:t>https://legalinfo.mn</w:t>
        </w:r>
      </w:hyperlink>
      <w:r>
        <w:t>.</w:t>
      </w:r>
    </w:p>
    <w:p w14:paraId="221F6629" w14:textId="77777777" w:rsidR="009223EB" w:rsidRDefault="009223EB" w:rsidP="009223EB">
      <w:pPr>
        <w:pStyle w:val="BodyText"/>
        <w:spacing w:line="240" w:lineRule="auto"/>
        <w:contextualSpacing w:val="0"/>
      </w:pPr>
      <w:r>
        <w:rPr>
          <w:rFonts w:cs="Times New Roman"/>
          <w:lang w:val="en-US"/>
        </w:rPr>
        <w:t>[57]</w:t>
      </w:r>
      <w:r>
        <w:rPr>
          <w:lang w:val="en-US"/>
        </w:rPr>
        <w:t xml:space="preserve"> Parliament of </w:t>
      </w:r>
      <w:proofErr w:type="spellStart"/>
      <w:r>
        <w:rPr>
          <w:lang w:val="en-US"/>
        </w:rPr>
        <w:t>Mongoli</w:t>
      </w:r>
      <w:proofErr w:type="spellEnd"/>
      <w:r>
        <w:t xml:space="preserve">a (2007). Law on Renewable Energy. Retrieved from the Unified Legal Information System </w:t>
      </w:r>
      <w:hyperlink r:id="rId87" w:history="1">
        <w:r>
          <w:rPr>
            <w:rStyle w:val="Hyperlink"/>
          </w:rPr>
          <w:t>https://legalinfo.mn</w:t>
        </w:r>
      </w:hyperlink>
      <w:r>
        <w:t>.</w:t>
      </w:r>
    </w:p>
    <w:p w14:paraId="299EF342" w14:textId="77777777" w:rsidR="009223EB" w:rsidRDefault="009223EB" w:rsidP="009223EB">
      <w:pPr>
        <w:pStyle w:val="BodyText"/>
        <w:spacing w:line="240" w:lineRule="auto"/>
        <w:contextualSpacing w:val="0"/>
      </w:pPr>
      <w:r>
        <w:rPr>
          <w:rFonts w:cs="Times New Roman"/>
          <w:lang w:val="en-US"/>
        </w:rPr>
        <w:t>[58]</w:t>
      </w:r>
      <w:r>
        <w:rPr>
          <w:lang w:val="en-US"/>
        </w:rPr>
        <w:t xml:space="preserve"> Parliament of </w:t>
      </w:r>
      <w:proofErr w:type="spellStart"/>
      <w:r>
        <w:rPr>
          <w:lang w:val="en-US"/>
        </w:rPr>
        <w:t>Mongoli</w:t>
      </w:r>
      <w:proofErr w:type="spellEnd"/>
      <w:r>
        <w:t xml:space="preserve">a (2012). Law on Soil Protection and Desertification Prevention. Retrieved from the Unified Legal Information System </w:t>
      </w:r>
      <w:hyperlink r:id="rId88" w:history="1">
        <w:r>
          <w:rPr>
            <w:rStyle w:val="Hyperlink"/>
          </w:rPr>
          <w:t>https://legalinfo.mn</w:t>
        </w:r>
      </w:hyperlink>
      <w:r>
        <w:t>.</w:t>
      </w:r>
    </w:p>
    <w:p w14:paraId="51E705F0" w14:textId="77777777" w:rsidR="009223EB" w:rsidRDefault="009223EB" w:rsidP="009223EB">
      <w:pPr>
        <w:pStyle w:val="BodyText"/>
        <w:spacing w:line="240" w:lineRule="auto"/>
        <w:contextualSpacing w:val="0"/>
      </w:pPr>
      <w:r>
        <w:rPr>
          <w:rFonts w:cs="Times New Roman"/>
          <w:lang w:val="en-US"/>
        </w:rPr>
        <w:t>[59]</w:t>
      </w:r>
      <w:r>
        <w:rPr>
          <w:lang w:val="en-US"/>
        </w:rPr>
        <w:t xml:space="preserve"> Parliament of </w:t>
      </w:r>
      <w:proofErr w:type="spellStart"/>
      <w:r>
        <w:rPr>
          <w:lang w:val="en-US"/>
        </w:rPr>
        <w:t>Mongoli</w:t>
      </w:r>
      <w:proofErr w:type="spellEnd"/>
      <w:r>
        <w:t xml:space="preserve">a (2012). Law on Water. Retrieved from the Unified Legal Information System </w:t>
      </w:r>
      <w:hyperlink r:id="rId89" w:history="1">
        <w:r>
          <w:rPr>
            <w:rStyle w:val="Hyperlink"/>
          </w:rPr>
          <w:t>https://legalinfo.mn</w:t>
        </w:r>
      </w:hyperlink>
      <w:r>
        <w:t>.</w:t>
      </w:r>
    </w:p>
    <w:p w14:paraId="26DBB5A9" w14:textId="77777777" w:rsidR="009223EB" w:rsidRDefault="009223EB" w:rsidP="009223EB">
      <w:pPr>
        <w:pStyle w:val="BodyText"/>
        <w:spacing w:line="240" w:lineRule="auto"/>
        <w:contextualSpacing w:val="0"/>
      </w:pPr>
      <w:r>
        <w:rPr>
          <w:rFonts w:cs="Times New Roman"/>
          <w:lang w:val="en-US"/>
        </w:rPr>
        <w:t>[60]</w:t>
      </w:r>
      <w:r>
        <w:rPr>
          <w:lang w:val="en-US"/>
        </w:rPr>
        <w:t xml:space="preserve"> Parliament of </w:t>
      </w:r>
      <w:proofErr w:type="spellStart"/>
      <w:r>
        <w:rPr>
          <w:lang w:val="en-US"/>
        </w:rPr>
        <w:t>Mongoli</w:t>
      </w:r>
      <w:proofErr w:type="spellEnd"/>
      <w:r>
        <w:t xml:space="preserve">a (2022). New Recovery Policy. Retrieved from the Unified Legal Information System </w:t>
      </w:r>
      <w:hyperlink r:id="rId90" w:history="1">
        <w:r>
          <w:rPr>
            <w:rStyle w:val="Hyperlink"/>
          </w:rPr>
          <w:t>https://legalinfo.mn</w:t>
        </w:r>
      </w:hyperlink>
      <w:r>
        <w:t>.</w:t>
      </w:r>
    </w:p>
    <w:p w14:paraId="55D4D655" w14:textId="77777777" w:rsidR="009223EB" w:rsidRDefault="009223EB" w:rsidP="009223EB">
      <w:pPr>
        <w:pStyle w:val="BodyText"/>
        <w:spacing w:line="240" w:lineRule="auto"/>
        <w:contextualSpacing w:val="0"/>
      </w:pPr>
      <w:r>
        <w:rPr>
          <w:rFonts w:cs="Times New Roman"/>
          <w:lang w:val="en-US"/>
        </w:rPr>
        <w:t>[61]</w:t>
      </w:r>
      <w:r>
        <w:rPr>
          <w:lang w:val="en-US"/>
        </w:rPr>
        <w:t xml:space="preserve"> Parliament of </w:t>
      </w:r>
      <w:proofErr w:type="spellStart"/>
      <w:r>
        <w:rPr>
          <w:lang w:val="en-US"/>
        </w:rPr>
        <w:t>Mongoli</w:t>
      </w:r>
      <w:proofErr w:type="spellEnd"/>
      <w:r>
        <w:t xml:space="preserve">a (2022). Resolution No. 36 of the State Great </w:t>
      </w:r>
      <w:proofErr w:type="spellStart"/>
      <w:r>
        <w:t>Khural</w:t>
      </w:r>
      <w:proofErr w:type="spellEnd"/>
      <w:r>
        <w:t xml:space="preserve"> of Mongolia on Certain Measures to Ensure Food Supply and Security. Retrieved from the Unified Legal Information System </w:t>
      </w:r>
      <w:hyperlink r:id="rId91" w:history="1">
        <w:r>
          <w:rPr>
            <w:rStyle w:val="Hyperlink"/>
          </w:rPr>
          <w:t>https://legalinfo.mn</w:t>
        </w:r>
      </w:hyperlink>
      <w:r>
        <w:t>.</w:t>
      </w:r>
    </w:p>
    <w:p w14:paraId="612F4EB9" w14:textId="77777777" w:rsidR="009223EB" w:rsidRDefault="009223EB" w:rsidP="009223EB">
      <w:pPr>
        <w:pStyle w:val="BodyText"/>
        <w:spacing w:line="240" w:lineRule="auto"/>
        <w:contextualSpacing w:val="0"/>
      </w:pPr>
      <w:r>
        <w:rPr>
          <w:rFonts w:cs="Times New Roman"/>
          <w:lang w:val="en-US"/>
        </w:rPr>
        <w:lastRenderedPageBreak/>
        <w:t>[62]</w:t>
      </w:r>
      <w:r>
        <w:rPr>
          <w:lang w:val="en-US"/>
        </w:rPr>
        <w:t xml:space="preserve"> Parliament of </w:t>
      </w:r>
      <w:proofErr w:type="spellStart"/>
      <w:r>
        <w:rPr>
          <w:lang w:val="en-US"/>
        </w:rPr>
        <w:t>Mongoli</w:t>
      </w:r>
      <w:proofErr w:type="spellEnd"/>
      <w:r>
        <w:t xml:space="preserve">a (2020). “Vision-2050” Long-Term Development Policy of Mongolia. Retrieved from the Unified Legal Information System </w:t>
      </w:r>
      <w:hyperlink r:id="rId92" w:history="1">
        <w:r>
          <w:rPr>
            <w:rStyle w:val="Hyperlink"/>
          </w:rPr>
          <w:t>https://legalinfo.mn</w:t>
        </w:r>
      </w:hyperlink>
      <w:r>
        <w:t>.</w:t>
      </w:r>
    </w:p>
    <w:p w14:paraId="6EEBF2DC" w14:textId="77777777" w:rsidR="009223EB" w:rsidRDefault="009223EB" w:rsidP="009223EB">
      <w:pPr>
        <w:pStyle w:val="BodyText"/>
        <w:spacing w:line="240" w:lineRule="auto"/>
        <w:contextualSpacing w:val="0"/>
      </w:pPr>
      <w:r>
        <w:rPr>
          <w:rFonts w:cs="Times New Roman"/>
          <w:lang w:val="en-US"/>
        </w:rPr>
        <w:t>[63]</w:t>
      </w:r>
      <w:r>
        <w:rPr>
          <w:lang w:val="en-US"/>
        </w:rPr>
        <w:t xml:space="preserve"> Parliament of </w:t>
      </w:r>
      <w:proofErr w:type="spellStart"/>
      <w:r>
        <w:rPr>
          <w:lang w:val="en-US"/>
        </w:rPr>
        <w:t>Mongoli</w:t>
      </w:r>
      <w:proofErr w:type="spellEnd"/>
      <w:r>
        <w:t xml:space="preserve">a (2020). Vision-2050 Action Plan 2021-2030. Retrieved from the Unified Legal Information System </w:t>
      </w:r>
      <w:hyperlink r:id="rId93" w:history="1">
        <w:r>
          <w:rPr>
            <w:rStyle w:val="Hyperlink"/>
          </w:rPr>
          <w:t>https://legalinfo.mn</w:t>
        </w:r>
      </w:hyperlink>
      <w:r>
        <w:t>.</w:t>
      </w:r>
    </w:p>
    <w:p w14:paraId="25F4B1EA" w14:textId="77777777" w:rsidR="00E45F2E" w:rsidRDefault="005F3D45">
      <w:pPr>
        <w:pStyle w:val="BodyText"/>
        <w:spacing w:line="240" w:lineRule="auto"/>
        <w:contextualSpacing w:val="0"/>
      </w:pPr>
      <w:r>
        <w:rPr>
          <w:rFonts w:cs="Times New Roman"/>
        </w:rPr>
        <w:t>[64] Secretariat of the Convention on Biological Diversity (2009). Connecting Biodiversity and Climate Change Mitigation and Adaptation. CBD Technical Series No. 41. Montreal.</w:t>
      </w:r>
    </w:p>
    <w:p w14:paraId="375A1994" w14:textId="77777777" w:rsidR="00E45F2E" w:rsidRDefault="005F3D45">
      <w:pPr>
        <w:pStyle w:val="BodyText"/>
        <w:spacing w:line="240" w:lineRule="auto"/>
        <w:contextualSpacing w:val="0"/>
      </w:pPr>
      <w:r>
        <w:rPr>
          <w:rFonts w:cs="Times New Roman"/>
        </w:rPr>
        <w:t>[65] United Nations (2015). Transforming our World: The 2030 Agenda for Sustainable Development. Resolution A/RES/70/1 adopted by the General Assembly. New York.</w:t>
      </w:r>
    </w:p>
    <w:p w14:paraId="6CD0D216" w14:textId="77777777" w:rsidR="009223EB" w:rsidRDefault="009223EB" w:rsidP="009223EB">
      <w:pPr>
        <w:pStyle w:val="BodyText"/>
        <w:spacing w:line="240" w:lineRule="auto"/>
        <w:contextualSpacing w:val="0"/>
      </w:pPr>
      <w:r>
        <w:rPr>
          <w:rFonts w:cs="Times New Roman"/>
        </w:rPr>
        <w:t>[66]</w:t>
      </w:r>
      <w:r>
        <w:t xml:space="preserve"> United Nations (2024). World Population Prospects 2024. </w:t>
      </w:r>
      <w:hyperlink r:id="rId94" w:history="1">
        <w:r>
          <w:rPr>
            <w:rStyle w:val="Hyperlink"/>
          </w:rPr>
          <w:t>https://population.un.org/wpp/</w:t>
        </w:r>
      </w:hyperlink>
      <w:r>
        <w:t xml:space="preserve">. </w:t>
      </w:r>
    </w:p>
    <w:p w14:paraId="169405C1" w14:textId="77777777" w:rsidR="00E45F2E" w:rsidRDefault="005F3D45">
      <w:pPr>
        <w:pStyle w:val="BodyText"/>
        <w:spacing w:line="240" w:lineRule="auto"/>
        <w:contextualSpacing w:val="0"/>
      </w:pPr>
      <w:r>
        <w:rPr>
          <w:rFonts w:cs="Times New Roman"/>
        </w:rPr>
        <w:t>[67] United Nations Framework Convention on Climate Change (UNFCCC) (2015). Paris Agreement. UNFCCC, Paris.</w:t>
      </w:r>
    </w:p>
    <w:p w14:paraId="2218930D" w14:textId="77777777" w:rsidR="009223EB" w:rsidRDefault="009223EB" w:rsidP="009223EB">
      <w:pPr>
        <w:pStyle w:val="BodyText"/>
        <w:spacing w:line="240" w:lineRule="auto"/>
        <w:contextualSpacing w:val="0"/>
      </w:pPr>
      <w:r>
        <w:rPr>
          <w:rFonts w:cs="Times New Roman"/>
        </w:rPr>
        <w:t>[68]</w:t>
      </w:r>
      <w:r>
        <w:t xml:space="preserve"> World Bank, FAO and International Fund for Agricultural Development (2009). Gender in Agriculture Sourcebook. Available at </w:t>
      </w:r>
      <w:hyperlink r:id="rId95" w:history="1">
        <w:r>
          <w:rPr>
            <w:rStyle w:val="Hyperlink"/>
          </w:rPr>
          <w:t>https://openknowledge.worldbank.org/entities/publication/96b3a61b-47db-5e1b-bcd3-5bea8cf85429</w:t>
        </w:r>
      </w:hyperlink>
      <w:r>
        <w:t>.</w:t>
      </w:r>
    </w:p>
    <w:p w14:paraId="63F0F128" w14:textId="77777777" w:rsidR="009223EB" w:rsidRDefault="009223EB" w:rsidP="00EB489E"/>
    <w:p w14:paraId="688AA33F" w14:textId="77777777" w:rsidR="009223EB" w:rsidRDefault="009223EB" w:rsidP="00EB489E"/>
    <w:p w14:paraId="51F21A41" w14:textId="77777777" w:rsidR="009223EB" w:rsidRDefault="009223EB" w:rsidP="00EB489E"/>
    <w:p w14:paraId="45E605BF" w14:textId="1076066D" w:rsidR="009223EB" w:rsidRDefault="009223EB" w:rsidP="00EB489E"/>
    <w:p w14:paraId="1AE1428A" w14:textId="4EC271C9" w:rsidR="0092738E" w:rsidRDefault="0092738E" w:rsidP="00EB489E"/>
    <w:p w14:paraId="14941B11" w14:textId="2B55E248" w:rsidR="0092738E" w:rsidRDefault="0092738E" w:rsidP="00EB489E"/>
    <w:p w14:paraId="18D6B0BC" w14:textId="5C37B5B1" w:rsidR="0092738E" w:rsidRDefault="0092738E" w:rsidP="00EB489E"/>
    <w:p w14:paraId="60421C91" w14:textId="18D8E4F0" w:rsidR="0092738E" w:rsidRDefault="0092738E" w:rsidP="00EB489E"/>
    <w:p w14:paraId="53D38794" w14:textId="1ADACD0D" w:rsidR="0092738E" w:rsidRDefault="0092738E" w:rsidP="00EB489E"/>
    <w:p w14:paraId="56F93A65" w14:textId="71A96933" w:rsidR="0092738E" w:rsidRDefault="0092738E" w:rsidP="00EB489E"/>
    <w:p w14:paraId="0B35AF49" w14:textId="6D478074" w:rsidR="0092738E" w:rsidRDefault="0092738E" w:rsidP="00EB489E"/>
    <w:p w14:paraId="6B17E497" w14:textId="163C172B" w:rsidR="0092738E" w:rsidRDefault="0092738E" w:rsidP="00EB489E"/>
    <w:p w14:paraId="1A5177B5" w14:textId="55102D61" w:rsidR="0092738E" w:rsidRDefault="0092738E" w:rsidP="00EB489E"/>
    <w:p w14:paraId="68A9B8C7" w14:textId="5FCBBF11" w:rsidR="0092738E" w:rsidRDefault="0092738E" w:rsidP="00EB489E"/>
    <w:p w14:paraId="266DE2CB" w14:textId="28350E6F" w:rsidR="0092738E" w:rsidRDefault="0092738E" w:rsidP="00EB489E"/>
    <w:p w14:paraId="16776DE7" w14:textId="650A445B" w:rsidR="0092738E" w:rsidRDefault="0092738E" w:rsidP="00EB489E"/>
    <w:p w14:paraId="55ED3A43" w14:textId="03D80971" w:rsidR="0092738E" w:rsidRDefault="0092738E" w:rsidP="00EB489E"/>
    <w:p w14:paraId="11EEED99" w14:textId="4404925D" w:rsidR="0092738E" w:rsidRDefault="0092738E" w:rsidP="00EB489E"/>
    <w:p w14:paraId="7E6FCA2E" w14:textId="7901E42C" w:rsidR="00BA595B" w:rsidRDefault="00BA595B" w:rsidP="00EB489E"/>
    <w:p w14:paraId="589B73D4" w14:textId="5EB771FE" w:rsidR="00BA595B" w:rsidRDefault="00BA595B" w:rsidP="00EB489E"/>
    <w:p w14:paraId="3E9CFF48" w14:textId="27FA371D" w:rsidR="00BA595B" w:rsidRDefault="00BA595B" w:rsidP="00EB489E"/>
    <w:p w14:paraId="452111BA" w14:textId="20B1DD45" w:rsidR="00BA595B" w:rsidRDefault="00BA595B" w:rsidP="00EB489E"/>
    <w:p w14:paraId="62826B98" w14:textId="406683A8" w:rsidR="00BA595B" w:rsidRDefault="00BA595B" w:rsidP="00EB489E"/>
    <w:p w14:paraId="37D58AEA" w14:textId="163F0668" w:rsidR="00BA595B" w:rsidRDefault="00BA595B" w:rsidP="00EB489E"/>
    <w:p w14:paraId="0AE57DA1" w14:textId="211145A8" w:rsidR="00BA595B" w:rsidRDefault="00BA595B" w:rsidP="00EB489E"/>
    <w:p w14:paraId="2EAA1267" w14:textId="4D90C120" w:rsidR="00BA595B" w:rsidRDefault="00BA595B" w:rsidP="00EB489E"/>
    <w:p w14:paraId="454DBBF2" w14:textId="52300C27" w:rsidR="00BA595B" w:rsidRDefault="00BA595B" w:rsidP="00EB489E"/>
    <w:p w14:paraId="184F1AD3" w14:textId="2DC4BE49" w:rsidR="00BA595B" w:rsidRDefault="00BA595B" w:rsidP="00EB489E"/>
    <w:p w14:paraId="3B782844" w14:textId="77777777" w:rsidR="00346192" w:rsidRDefault="00346192">
      <w:pPr>
        <w:spacing w:after="160" w:line="259" w:lineRule="auto"/>
        <w:contextualSpacing w:val="0"/>
        <w:jc w:val="left"/>
        <w:rPr>
          <w:rFonts w:eastAsiaTheme="majorEastAsia" w:cstheme="majorBidi"/>
          <w:color w:val="DD6B22" w:themeColor="accent3" w:themeShade="BF"/>
          <w:sz w:val="52"/>
          <w:szCs w:val="32"/>
        </w:rPr>
      </w:pPr>
      <w:r>
        <w:br w:type="page"/>
      </w:r>
    </w:p>
    <w:p w14:paraId="5865E3ED" w14:textId="0D1D6353" w:rsidR="00B949C3" w:rsidRPr="00E35798" w:rsidRDefault="00574737" w:rsidP="00D16E24">
      <w:pPr>
        <w:pStyle w:val="OikoSectionHeading1"/>
        <w:spacing w:line="240" w:lineRule="auto"/>
        <w:contextualSpacing w:val="0"/>
      </w:pPr>
      <w:bookmarkStart w:id="173" w:name="_Toc233981376"/>
      <w:r>
        <w:lastRenderedPageBreak/>
        <w:t>Annex 1: Comparative technology matrices</w:t>
      </w:r>
      <w:bookmarkEnd w:id="173"/>
    </w:p>
    <w:p w14:paraId="6004A7B4" w14:textId="77777777" w:rsidR="00A41DD1" w:rsidRDefault="00A41DD1" w:rsidP="00BA595B">
      <w:pPr>
        <w:spacing w:before="120" w:after="120" w:line="240" w:lineRule="auto"/>
        <w:contextualSpacing w:val="0"/>
      </w:pPr>
      <w:r>
        <w:rPr>
          <w:rFonts w:eastAsia="Times New Roman" w:cs="Times New Roman"/>
        </w:rPr>
        <w:t>This annex consolidates the comparative matrices that underpin the technology assessment in Chapter 7 and the screening and shortlisting in Section 7.5: the multi-criteria analysis (MCA) criteria, weights and weighted-score matrices for the four technology families; the simplified province-specific ranking tables; the cross-family comparative screening matrix; and simplified suitability matrices linking the assessed technologies to farmer types, provinces and the cost-benefit-analysis scenarios. The suitability matrices draw on the companion Technology Menu and Farmer Guidelines (Deliverable D.1.4).</w:t>
      </w:r>
    </w:p>
    <w:p w14:paraId="2DA27C5C" w14:textId="77777777" w:rsidR="00A41DD1" w:rsidRDefault="00A41DD1" w:rsidP="003B22C9">
      <w:pPr>
        <w:pStyle w:val="OikoSectionHeading3"/>
      </w:pPr>
      <w:bookmarkStart w:id="174" w:name="_Toc233981377"/>
      <w:r>
        <w:t>A1.1 Scoring method</w:t>
      </w:r>
      <w:bookmarkEnd w:id="174"/>
    </w:p>
    <w:p w14:paraId="4D899257" w14:textId="77777777" w:rsidR="00A41DD1" w:rsidRDefault="00A41DD1" w:rsidP="00BA595B">
      <w:pPr>
        <w:spacing w:before="120" w:after="120" w:line="240" w:lineRule="auto"/>
        <w:contextualSpacing w:val="0"/>
      </w:pPr>
      <w:r>
        <w:rPr>
          <w:rFonts w:eastAsia="Times New Roman" w:cs="Times New Roman"/>
        </w:rPr>
        <w:t>All four technology families are scored on the common semi-quantitative scale from 1 to 5 (1 = very low or disqualifying; 2 = low; 3 = moderate or acceptable with significant caveats; 4 = good — appropriate for the Mongolian smallholder context; 5 = very high or best-in-class), with anchor values defined per criterion and half-point or intermediate scores used where performance falls between two anchors. Each criterion carries an explicit weight, and the weighted score is the linear combination Σ (score × weight). The criteria and weights are tailored to each technology family, reflecting the binding constraints of the target context; Table A1.1 shows the full weight structure side by side.</w:t>
      </w:r>
    </w:p>
    <w:p w14:paraId="31BFE0EF" w14:textId="77777777" w:rsidR="00A41DD1" w:rsidRDefault="00A41DD1" w:rsidP="003B22C9">
      <w:pPr>
        <w:pStyle w:val="Caption"/>
        <w:framePr w:wrap="notBeside"/>
      </w:pPr>
      <w:r>
        <w:t>Table A1.1 Assessment criteria and weights by technology family</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2470"/>
        <w:gridCol w:w="1791"/>
        <w:gridCol w:w="1791"/>
        <w:gridCol w:w="1791"/>
        <w:gridCol w:w="1791"/>
      </w:tblGrid>
      <w:tr w:rsidR="00A41DD1" w:rsidRPr="00BA595B" w14:paraId="622E7E95" w14:textId="77777777" w:rsidTr="003B22C9">
        <w:trPr>
          <w:cantSplit/>
          <w:tblHeader/>
        </w:trPr>
        <w:tc>
          <w:tcPr>
            <w:tcW w:w="2470" w:type="dxa"/>
            <w:shd w:val="clear" w:color="auto" w:fill="E99E6D" w:themeFill="accent3"/>
            <w:tcMar>
              <w:top w:w="40" w:type="dxa"/>
              <w:left w:w="80" w:type="dxa"/>
              <w:bottom w:w="40" w:type="dxa"/>
              <w:right w:w="80" w:type="dxa"/>
            </w:tcMar>
            <w:vAlign w:val="center"/>
          </w:tcPr>
          <w:p w14:paraId="2924F5AF" w14:textId="77777777" w:rsidR="00A41DD1" w:rsidRPr="00BA595B" w:rsidRDefault="00A41DD1" w:rsidP="003B22C9">
            <w:pPr>
              <w:pStyle w:val="OikoTables02"/>
            </w:pPr>
            <w:r>
              <w:t>Criterion</w:t>
            </w:r>
          </w:p>
        </w:tc>
        <w:tc>
          <w:tcPr>
            <w:tcW w:w="1791" w:type="dxa"/>
            <w:shd w:val="clear" w:color="auto" w:fill="E99E6D" w:themeFill="accent3"/>
            <w:tcMar>
              <w:top w:w="40" w:type="dxa"/>
              <w:left w:w="80" w:type="dxa"/>
              <w:bottom w:w="40" w:type="dxa"/>
              <w:right w:w="80" w:type="dxa"/>
            </w:tcMar>
            <w:vAlign w:val="center"/>
          </w:tcPr>
          <w:p w14:paraId="09F211A5" w14:textId="77777777" w:rsidR="00A41DD1" w:rsidRPr="00BA595B" w:rsidRDefault="00A41DD1" w:rsidP="003B22C9">
            <w:pPr>
              <w:pStyle w:val="OikoTables02"/>
            </w:pPr>
            <w:r>
              <w:t>Greenhouse</w:t>
            </w:r>
          </w:p>
        </w:tc>
        <w:tc>
          <w:tcPr>
            <w:tcW w:w="1791" w:type="dxa"/>
            <w:shd w:val="clear" w:color="auto" w:fill="E99E6D" w:themeFill="accent3"/>
            <w:tcMar>
              <w:top w:w="40" w:type="dxa"/>
              <w:left w:w="80" w:type="dxa"/>
              <w:bottom w:w="40" w:type="dxa"/>
              <w:right w:w="80" w:type="dxa"/>
            </w:tcMar>
            <w:vAlign w:val="center"/>
          </w:tcPr>
          <w:p w14:paraId="269B9CF7" w14:textId="77777777" w:rsidR="00A41DD1" w:rsidRPr="00BA595B" w:rsidRDefault="00A41DD1" w:rsidP="003B22C9">
            <w:pPr>
              <w:pStyle w:val="OikoTables02"/>
            </w:pPr>
            <w:r>
              <w:t>Irrigation</w:t>
            </w:r>
          </w:p>
        </w:tc>
        <w:tc>
          <w:tcPr>
            <w:tcW w:w="1791" w:type="dxa"/>
            <w:shd w:val="clear" w:color="auto" w:fill="E99E6D" w:themeFill="accent3"/>
            <w:tcMar>
              <w:top w:w="40" w:type="dxa"/>
              <w:left w:w="80" w:type="dxa"/>
              <w:bottom w:w="40" w:type="dxa"/>
              <w:right w:w="80" w:type="dxa"/>
            </w:tcMar>
            <w:vAlign w:val="center"/>
          </w:tcPr>
          <w:p w14:paraId="3AE18826" w14:textId="77777777" w:rsidR="00A41DD1" w:rsidRPr="00BA595B" w:rsidRDefault="00A41DD1" w:rsidP="003B22C9">
            <w:pPr>
              <w:pStyle w:val="OikoTables02"/>
            </w:pPr>
            <w:r>
              <w:t>Agroforestry</w:t>
            </w:r>
          </w:p>
        </w:tc>
        <w:tc>
          <w:tcPr>
            <w:tcW w:w="1791" w:type="dxa"/>
            <w:shd w:val="clear" w:color="auto" w:fill="E99E6D" w:themeFill="accent3"/>
            <w:tcMar>
              <w:top w:w="40" w:type="dxa"/>
              <w:left w:w="80" w:type="dxa"/>
              <w:bottom w:w="40" w:type="dxa"/>
              <w:right w:w="80" w:type="dxa"/>
            </w:tcMar>
            <w:vAlign w:val="center"/>
          </w:tcPr>
          <w:p w14:paraId="7930DA2A" w14:textId="77777777" w:rsidR="00A41DD1" w:rsidRPr="00BA595B" w:rsidRDefault="00A41DD1" w:rsidP="003B22C9">
            <w:pPr>
              <w:pStyle w:val="OikoTables02"/>
            </w:pPr>
            <w:r>
              <w:t>Renewable energy</w:t>
            </w:r>
          </w:p>
        </w:tc>
      </w:tr>
      <w:tr w:rsidR="00A41DD1" w:rsidRPr="00BA595B" w14:paraId="059EF0E7" w14:textId="77777777" w:rsidTr="003B22C9">
        <w:trPr>
          <w:cantSplit/>
        </w:trPr>
        <w:tc>
          <w:tcPr>
            <w:tcW w:w="2470" w:type="dxa"/>
            <w:tcMar>
              <w:top w:w="40" w:type="dxa"/>
              <w:left w:w="80" w:type="dxa"/>
              <w:bottom w:w="40" w:type="dxa"/>
              <w:right w:w="80" w:type="dxa"/>
            </w:tcMar>
            <w:vAlign w:val="center"/>
          </w:tcPr>
          <w:p w14:paraId="2CBB07C0" w14:textId="77777777" w:rsidR="00A41DD1" w:rsidRPr="00BA595B" w:rsidRDefault="00A41DD1" w:rsidP="003B22C9">
            <w:pPr>
              <w:pStyle w:val="OikoTables03Content"/>
            </w:pPr>
            <w:r>
              <w:t>Water efficiency</w:t>
            </w:r>
          </w:p>
        </w:tc>
        <w:tc>
          <w:tcPr>
            <w:tcW w:w="1791" w:type="dxa"/>
            <w:tcMar>
              <w:top w:w="40" w:type="dxa"/>
              <w:left w:w="80" w:type="dxa"/>
              <w:bottom w:w="40" w:type="dxa"/>
              <w:right w:w="80" w:type="dxa"/>
            </w:tcMar>
            <w:vAlign w:val="center"/>
          </w:tcPr>
          <w:p w14:paraId="1E2520A0" w14:textId="77777777" w:rsidR="00A41DD1" w:rsidRPr="00BA595B" w:rsidRDefault="00A41DD1" w:rsidP="003B22C9">
            <w:pPr>
              <w:pStyle w:val="OikoTables03Content"/>
            </w:pPr>
            <w:r>
              <w:t>0.25</w:t>
            </w:r>
          </w:p>
        </w:tc>
        <w:tc>
          <w:tcPr>
            <w:tcW w:w="1791" w:type="dxa"/>
            <w:tcMar>
              <w:top w:w="40" w:type="dxa"/>
              <w:left w:w="80" w:type="dxa"/>
              <w:bottom w:w="40" w:type="dxa"/>
              <w:right w:w="80" w:type="dxa"/>
            </w:tcMar>
            <w:vAlign w:val="center"/>
          </w:tcPr>
          <w:p w14:paraId="116165BB" w14:textId="77777777" w:rsidR="00A41DD1" w:rsidRPr="00BA595B" w:rsidRDefault="00A41DD1" w:rsidP="003B22C9">
            <w:pPr>
              <w:pStyle w:val="OikoTables03Content"/>
            </w:pPr>
            <w:r>
              <w:t>0.30</w:t>
            </w:r>
          </w:p>
        </w:tc>
        <w:tc>
          <w:tcPr>
            <w:tcW w:w="1791" w:type="dxa"/>
            <w:tcMar>
              <w:top w:w="40" w:type="dxa"/>
              <w:left w:w="80" w:type="dxa"/>
              <w:bottom w:w="40" w:type="dxa"/>
              <w:right w:w="80" w:type="dxa"/>
            </w:tcMar>
            <w:vAlign w:val="center"/>
          </w:tcPr>
          <w:p w14:paraId="608874F9" w14:textId="77777777" w:rsidR="00A41DD1" w:rsidRPr="00BA595B" w:rsidRDefault="00A41DD1" w:rsidP="003B22C9">
            <w:pPr>
              <w:pStyle w:val="OikoTables03Content"/>
            </w:pPr>
            <w:r>
              <w:t>0.20</w:t>
            </w:r>
          </w:p>
        </w:tc>
        <w:tc>
          <w:tcPr>
            <w:tcW w:w="1791" w:type="dxa"/>
            <w:tcMar>
              <w:top w:w="40" w:type="dxa"/>
              <w:left w:w="80" w:type="dxa"/>
              <w:bottom w:w="40" w:type="dxa"/>
              <w:right w:w="80" w:type="dxa"/>
            </w:tcMar>
            <w:vAlign w:val="center"/>
          </w:tcPr>
          <w:p w14:paraId="6DFC5D94" w14:textId="77777777" w:rsidR="00A41DD1" w:rsidRPr="00BA595B" w:rsidRDefault="00A41DD1" w:rsidP="003B22C9">
            <w:pPr>
              <w:pStyle w:val="OikoTables03Content"/>
            </w:pPr>
            <w:r>
              <w:t>–</w:t>
            </w:r>
          </w:p>
        </w:tc>
      </w:tr>
      <w:tr w:rsidR="00A41DD1" w:rsidRPr="00BA595B" w14:paraId="6F165FC3" w14:textId="77777777" w:rsidTr="003B22C9">
        <w:trPr>
          <w:cantSplit/>
        </w:trPr>
        <w:tc>
          <w:tcPr>
            <w:tcW w:w="2470" w:type="dxa"/>
            <w:tcMar>
              <w:top w:w="40" w:type="dxa"/>
              <w:left w:w="80" w:type="dxa"/>
              <w:bottom w:w="40" w:type="dxa"/>
              <w:right w:w="80" w:type="dxa"/>
            </w:tcMar>
            <w:vAlign w:val="center"/>
          </w:tcPr>
          <w:p w14:paraId="3D8C8464" w14:textId="77777777" w:rsidR="00A41DD1" w:rsidRPr="00BA595B" w:rsidRDefault="00A41DD1" w:rsidP="003B22C9">
            <w:pPr>
              <w:pStyle w:val="OikoTables03Content"/>
            </w:pPr>
            <w:r>
              <w:t>Affordability</w:t>
            </w:r>
          </w:p>
        </w:tc>
        <w:tc>
          <w:tcPr>
            <w:tcW w:w="1791" w:type="dxa"/>
            <w:tcMar>
              <w:top w:w="40" w:type="dxa"/>
              <w:left w:w="80" w:type="dxa"/>
              <w:bottom w:w="40" w:type="dxa"/>
              <w:right w:w="80" w:type="dxa"/>
            </w:tcMar>
            <w:vAlign w:val="center"/>
          </w:tcPr>
          <w:p w14:paraId="52BFCC30" w14:textId="77777777" w:rsidR="00A41DD1" w:rsidRPr="00BA595B" w:rsidRDefault="00A41DD1" w:rsidP="003B22C9">
            <w:pPr>
              <w:pStyle w:val="OikoTables03Content"/>
            </w:pPr>
            <w:r>
              <w:t>0.20</w:t>
            </w:r>
          </w:p>
        </w:tc>
        <w:tc>
          <w:tcPr>
            <w:tcW w:w="1791" w:type="dxa"/>
            <w:tcMar>
              <w:top w:w="40" w:type="dxa"/>
              <w:left w:w="80" w:type="dxa"/>
              <w:bottom w:w="40" w:type="dxa"/>
              <w:right w:w="80" w:type="dxa"/>
            </w:tcMar>
            <w:vAlign w:val="center"/>
          </w:tcPr>
          <w:p w14:paraId="230941CE" w14:textId="77777777" w:rsidR="00A41DD1" w:rsidRPr="00BA595B" w:rsidRDefault="00A41DD1" w:rsidP="003B22C9">
            <w:pPr>
              <w:pStyle w:val="OikoTables03Content"/>
            </w:pPr>
            <w:r>
              <w:t>0.20</w:t>
            </w:r>
          </w:p>
        </w:tc>
        <w:tc>
          <w:tcPr>
            <w:tcW w:w="1791" w:type="dxa"/>
            <w:tcMar>
              <w:top w:w="40" w:type="dxa"/>
              <w:left w:w="80" w:type="dxa"/>
              <w:bottom w:w="40" w:type="dxa"/>
              <w:right w:w="80" w:type="dxa"/>
            </w:tcMar>
            <w:vAlign w:val="center"/>
          </w:tcPr>
          <w:p w14:paraId="352E32AF"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485B3BEA" w14:textId="77777777" w:rsidR="00A41DD1" w:rsidRPr="00BA595B" w:rsidRDefault="00A41DD1" w:rsidP="003B22C9">
            <w:pPr>
              <w:pStyle w:val="OikoTables03Content"/>
            </w:pPr>
            <w:r>
              <w:t>0.35</w:t>
            </w:r>
          </w:p>
        </w:tc>
      </w:tr>
      <w:tr w:rsidR="00A41DD1" w:rsidRPr="00BA595B" w14:paraId="49C74202" w14:textId="77777777" w:rsidTr="003B22C9">
        <w:trPr>
          <w:cantSplit/>
        </w:trPr>
        <w:tc>
          <w:tcPr>
            <w:tcW w:w="2470" w:type="dxa"/>
            <w:tcMar>
              <w:top w:w="40" w:type="dxa"/>
              <w:left w:w="80" w:type="dxa"/>
              <w:bottom w:w="40" w:type="dxa"/>
              <w:right w:w="80" w:type="dxa"/>
            </w:tcMar>
            <w:vAlign w:val="center"/>
          </w:tcPr>
          <w:p w14:paraId="4864C149" w14:textId="77777777" w:rsidR="00A41DD1" w:rsidRPr="00BA595B" w:rsidRDefault="00A41DD1" w:rsidP="003B22C9">
            <w:pPr>
              <w:pStyle w:val="OikoTables03Content"/>
            </w:pPr>
            <w:r>
              <w:t>Climate resilience</w:t>
            </w:r>
          </w:p>
        </w:tc>
        <w:tc>
          <w:tcPr>
            <w:tcW w:w="1791" w:type="dxa"/>
            <w:tcMar>
              <w:top w:w="40" w:type="dxa"/>
              <w:left w:w="80" w:type="dxa"/>
              <w:bottom w:w="40" w:type="dxa"/>
              <w:right w:w="80" w:type="dxa"/>
            </w:tcMar>
            <w:vAlign w:val="center"/>
          </w:tcPr>
          <w:p w14:paraId="5C57FAB0" w14:textId="77777777" w:rsidR="00A41DD1" w:rsidRPr="00BA595B" w:rsidRDefault="00A41DD1" w:rsidP="003B22C9">
            <w:pPr>
              <w:pStyle w:val="OikoTables03Content"/>
            </w:pPr>
            <w:r>
              <w:t>0.15</w:t>
            </w:r>
          </w:p>
        </w:tc>
        <w:tc>
          <w:tcPr>
            <w:tcW w:w="1791" w:type="dxa"/>
            <w:tcMar>
              <w:top w:w="40" w:type="dxa"/>
              <w:left w:w="80" w:type="dxa"/>
              <w:bottom w:w="40" w:type="dxa"/>
              <w:right w:w="80" w:type="dxa"/>
            </w:tcMar>
            <w:vAlign w:val="center"/>
          </w:tcPr>
          <w:p w14:paraId="363924BB"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4942D7E6" w14:textId="77777777" w:rsidR="00A41DD1" w:rsidRPr="00BA595B" w:rsidRDefault="00A41DD1" w:rsidP="003B22C9">
            <w:pPr>
              <w:pStyle w:val="OikoTables03Content"/>
            </w:pPr>
            <w:r>
              <w:t>0.20</w:t>
            </w:r>
          </w:p>
        </w:tc>
        <w:tc>
          <w:tcPr>
            <w:tcW w:w="1791" w:type="dxa"/>
            <w:tcMar>
              <w:top w:w="40" w:type="dxa"/>
              <w:left w:w="80" w:type="dxa"/>
              <w:bottom w:w="40" w:type="dxa"/>
              <w:right w:w="80" w:type="dxa"/>
            </w:tcMar>
            <w:vAlign w:val="center"/>
          </w:tcPr>
          <w:p w14:paraId="246174B6" w14:textId="77777777" w:rsidR="00A41DD1" w:rsidRPr="00BA595B" w:rsidRDefault="00A41DD1" w:rsidP="003B22C9">
            <w:pPr>
              <w:pStyle w:val="OikoTables03Content"/>
            </w:pPr>
            <w:r>
              <w:t>–</w:t>
            </w:r>
          </w:p>
        </w:tc>
      </w:tr>
      <w:tr w:rsidR="00A41DD1" w:rsidRPr="00BA595B" w14:paraId="54F9875B" w14:textId="77777777" w:rsidTr="003B22C9">
        <w:trPr>
          <w:cantSplit/>
        </w:trPr>
        <w:tc>
          <w:tcPr>
            <w:tcW w:w="2470" w:type="dxa"/>
            <w:tcMar>
              <w:top w:w="40" w:type="dxa"/>
              <w:left w:w="80" w:type="dxa"/>
              <w:bottom w:w="40" w:type="dxa"/>
              <w:right w:w="80" w:type="dxa"/>
            </w:tcMar>
            <w:vAlign w:val="center"/>
          </w:tcPr>
          <w:p w14:paraId="7C3C2309" w14:textId="77777777" w:rsidR="00A41DD1" w:rsidRPr="00BA595B" w:rsidRDefault="00A41DD1" w:rsidP="003B22C9">
            <w:pPr>
              <w:pStyle w:val="OikoTables03Content"/>
            </w:pPr>
            <w:r>
              <w:t>Technical simplicity / feasibility</w:t>
            </w:r>
          </w:p>
        </w:tc>
        <w:tc>
          <w:tcPr>
            <w:tcW w:w="1791" w:type="dxa"/>
            <w:tcMar>
              <w:top w:w="40" w:type="dxa"/>
              <w:left w:w="80" w:type="dxa"/>
              <w:bottom w:w="40" w:type="dxa"/>
              <w:right w:w="80" w:type="dxa"/>
            </w:tcMar>
            <w:vAlign w:val="center"/>
          </w:tcPr>
          <w:p w14:paraId="2A190815" w14:textId="77777777" w:rsidR="00A41DD1" w:rsidRPr="00BA595B" w:rsidRDefault="00A41DD1" w:rsidP="003B22C9">
            <w:pPr>
              <w:pStyle w:val="OikoTables03Content"/>
            </w:pPr>
            <w:r>
              <w:t>0.15</w:t>
            </w:r>
          </w:p>
        </w:tc>
        <w:tc>
          <w:tcPr>
            <w:tcW w:w="1791" w:type="dxa"/>
            <w:tcMar>
              <w:top w:w="40" w:type="dxa"/>
              <w:left w:w="80" w:type="dxa"/>
              <w:bottom w:w="40" w:type="dxa"/>
              <w:right w:w="80" w:type="dxa"/>
            </w:tcMar>
            <w:vAlign w:val="center"/>
          </w:tcPr>
          <w:p w14:paraId="1D57D231" w14:textId="77777777" w:rsidR="00A41DD1" w:rsidRPr="00BA595B" w:rsidRDefault="00A41DD1" w:rsidP="003B22C9">
            <w:pPr>
              <w:pStyle w:val="OikoTables03Content"/>
            </w:pPr>
            <w:r>
              <w:t>0.20</w:t>
            </w:r>
          </w:p>
        </w:tc>
        <w:tc>
          <w:tcPr>
            <w:tcW w:w="1791" w:type="dxa"/>
            <w:tcMar>
              <w:top w:w="40" w:type="dxa"/>
              <w:left w:w="80" w:type="dxa"/>
              <w:bottom w:w="40" w:type="dxa"/>
              <w:right w:w="80" w:type="dxa"/>
            </w:tcMar>
            <w:vAlign w:val="center"/>
          </w:tcPr>
          <w:p w14:paraId="4D275CFE" w14:textId="77777777" w:rsidR="00A41DD1" w:rsidRPr="00BA595B" w:rsidRDefault="00A41DD1" w:rsidP="003B22C9">
            <w:pPr>
              <w:pStyle w:val="OikoTables03Content"/>
            </w:pPr>
            <w:r>
              <w:t>0.10</w:t>
            </w:r>
          </w:p>
        </w:tc>
        <w:tc>
          <w:tcPr>
            <w:tcW w:w="1791" w:type="dxa"/>
            <w:tcMar>
              <w:top w:w="40" w:type="dxa"/>
              <w:left w:w="80" w:type="dxa"/>
              <w:bottom w:w="40" w:type="dxa"/>
              <w:right w:w="80" w:type="dxa"/>
            </w:tcMar>
            <w:vAlign w:val="center"/>
          </w:tcPr>
          <w:p w14:paraId="7A276924" w14:textId="77777777" w:rsidR="00A41DD1" w:rsidRPr="00BA595B" w:rsidRDefault="00A41DD1" w:rsidP="003B22C9">
            <w:pPr>
              <w:pStyle w:val="OikoTables03Content"/>
            </w:pPr>
            <w:r>
              <w:t>0.15</w:t>
            </w:r>
          </w:p>
        </w:tc>
      </w:tr>
      <w:tr w:rsidR="00A41DD1" w:rsidRPr="00BA595B" w14:paraId="2FCAC341" w14:textId="77777777" w:rsidTr="003B22C9">
        <w:trPr>
          <w:cantSplit/>
        </w:trPr>
        <w:tc>
          <w:tcPr>
            <w:tcW w:w="2470" w:type="dxa"/>
            <w:tcMar>
              <w:top w:w="40" w:type="dxa"/>
              <w:left w:w="80" w:type="dxa"/>
              <w:bottom w:w="40" w:type="dxa"/>
              <w:right w:w="80" w:type="dxa"/>
            </w:tcMar>
            <w:vAlign w:val="center"/>
          </w:tcPr>
          <w:p w14:paraId="03CAA2E0" w14:textId="77777777" w:rsidR="00A41DD1" w:rsidRPr="00BA595B" w:rsidRDefault="00A41DD1" w:rsidP="003B22C9">
            <w:pPr>
              <w:pStyle w:val="OikoTables03Content"/>
            </w:pPr>
            <w:r>
              <w:t>Insurability</w:t>
            </w:r>
          </w:p>
        </w:tc>
        <w:tc>
          <w:tcPr>
            <w:tcW w:w="1791" w:type="dxa"/>
            <w:tcMar>
              <w:top w:w="40" w:type="dxa"/>
              <w:left w:w="80" w:type="dxa"/>
              <w:bottom w:w="40" w:type="dxa"/>
              <w:right w:w="80" w:type="dxa"/>
            </w:tcMar>
            <w:vAlign w:val="center"/>
          </w:tcPr>
          <w:p w14:paraId="0FD725AC" w14:textId="77777777" w:rsidR="00A41DD1" w:rsidRPr="00BA595B" w:rsidRDefault="00A41DD1" w:rsidP="003B22C9">
            <w:pPr>
              <w:pStyle w:val="OikoTables03Content"/>
            </w:pPr>
            <w:r>
              <w:t>0.10</w:t>
            </w:r>
          </w:p>
        </w:tc>
        <w:tc>
          <w:tcPr>
            <w:tcW w:w="1791" w:type="dxa"/>
            <w:tcMar>
              <w:top w:w="40" w:type="dxa"/>
              <w:left w:w="80" w:type="dxa"/>
              <w:bottom w:w="40" w:type="dxa"/>
              <w:right w:w="80" w:type="dxa"/>
            </w:tcMar>
            <w:vAlign w:val="center"/>
          </w:tcPr>
          <w:p w14:paraId="4BCCF719" w14:textId="77777777" w:rsidR="00A41DD1" w:rsidRPr="00BA595B" w:rsidRDefault="00A41DD1" w:rsidP="003B22C9">
            <w:pPr>
              <w:pStyle w:val="OikoTables03Content"/>
            </w:pPr>
            <w:r>
              <w:t>0.15</w:t>
            </w:r>
          </w:p>
        </w:tc>
        <w:tc>
          <w:tcPr>
            <w:tcW w:w="1791" w:type="dxa"/>
            <w:tcMar>
              <w:top w:w="40" w:type="dxa"/>
              <w:left w:w="80" w:type="dxa"/>
              <w:bottom w:w="40" w:type="dxa"/>
              <w:right w:w="80" w:type="dxa"/>
            </w:tcMar>
            <w:vAlign w:val="center"/>
          </w:tcPr>
          <w:p w14:paraId="11305C17"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0749A850" w14:textId="77777777" w:rsidR="00A41DD1" w:rsidRPr="00BA595B" w:rsidRDefault="00A41DD1" w:rsidP="003B22C9">
            <w:pPr>
              <w:pStyle w:val="OikoTables03Content"/>
            </w:pPr>
            <w:r>
              <w:t>–</w:t>
            </w:r>
          </w:p>
        </w:tc>
      </w:tr>
      <w:tr w:rsidR="00A41DD1" w:rsidRPr="00BA595B" w14:paraId="2691BFF6" w14:textId="77777777" w:rsidTr="003B22C9">
        <w:trPr>
          <w:cantSplit/>
        </w:trPr>
        <w:tc>
          <w:tcPr>
            <w:tcW w:w="2470" w:type="dxa"/>
            <w:tcMar>
              <w:top w:w="40" w:type="dxa"/>
              <w:left w:w="80" w:type="dxa"/>
              <w:bottom w:w="40" w:type="dxa"/>
              <w:right w:w="80" w:type="dxa"/>
            </w:tcMar>
            <w:vAlign w:val="center"/>
          </w:tcPr>
          <w:p w14:paraId="10B16550" w14:textId="77777777" w:rsidR="00A41DD1" w:rsidRPr="00BA595B" w:rsidRDefault="00A41DD1" w:rsidP="003B22C9">
            <w:pPr>
              <w:pStyle w:val="OikoTables03Content"/>
            </w:pPr>
            <w:r>
              <w:t>Environmental</w:t>
            </w:r>
          </w:p>
        </w:tc>
        <w:tc>
          <w:tcPr>
            <w:tcW w:w="1791" w:type="dxa"/>
            <w:tcMar>
              <w:top w:w="40" w:type="dxa"/>
              <w:left w:w="80" w:type="dxa"/>
              <w:bottom w:w="40" w:type="dxa"/>
              <w:right w:w="80" w:type="dxa"/>
            </w:tcMar>
            <w:vAlign w:val="center"/>
          </w:tcPr>
          <w:p w14:paraId="00887998" w14:textId="77777777" w:rsidR="00A41DD1" w:rsidRPr="00BA595B" w:rsidRDefault="00A41DD1" w:rsidP="003B22C9">
            <w:pPr>
              <w:pStyle w:val="OikoTables03Content"/>
            </w:pPr>
            <w:r>
              <w:t>0.10</w:t>
            </w:r>
          </w:p>
        </w:tc>
        <w:tc>
          <w:tcPr>
            <w:tcW w:w="1791" w:type="dxa"/>
            <w:tcMar>
              <w:top w:w="40" w:type="dxa"/>
              <w:left w:w="80" w:type="dxa"/>
              <w:bottom w:w="40" w:type="dxa"/>
              <w:right w:w="80" w:type="dxa"/>
            </w:tcMar>
            <w:vAlign w:val="center"/>
          </w:tcPr>
          <w:p w14:paraId="0EAD734B" w14:textId="77777777" w:rsidR="00A41DD1" w:rsidRPr="00BA595B" w:rsidRDefault="00A41DD1" w:rsidP="003B22C9">
            <w:pPr>
              <w:pStyle w:val="OikoTables03Content"/>
            </w:pPr>
            <w:r>
              <w:t>0.15</w:t>
            </w:r>
          </w:p>
        </w:tc>
        <w:tc>
          <w:tcPr>
            <w:tcW w:w="1791" w:type="dxa"/>
            <w:tcMar>
              <w:top w:w="40" w:type="dxa"/>
              <w:left w:w="80" w:type="dxa"/>
              <w:bottom w:w="40" w:type="dxa"/>
              <w:right w:w="80" w:type="dxa"/>
            </w:tcMar>
            <w:vAlign w:val="center"/>
          </w:tcPr>
          <w:p w14:paraId="2F2CCB21"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64798FE2" w14:textId="77777777" w:rsidR="00A41DD1" w:rsidRPr="00BA595B" w:rsidRDefault="00A41DD1" w:rsidP="003B22C9">
            <w:pPr>
              <w:pStyle w:val="OikoTables03Content"/>
            </w:pPr>
            <w:r>
              <w:t>0.20</w:t>
            </w:r>
          </w:p>
        </w:tc>
      </w:tr>
      <w:tr w:rsidR="00A41DD1" w:rsidRPr="00BA595B" w14:paraId="5E2EF3A7" w14:textId="77777777" w:rsidTr="003B22C9">
        <w:trPr>
          <w:cantSplit/>
        </w:trPr>
        <w:tc>
          <w:tcPr>
            <w:tcW w:w="2470" w:type="dxa"/>
            <w:tcMar>
              <w:top w:w="40" w:type="dxa"/>
              <w:left w:w="80" w:type="dxa"/>
              <w:bottom w:w="40" w:type="dxa"/>
              <w:right w:w="80" w:type="dxa"/>
            </w:tcMar>
            <w:vAlign w:val="center"/>
          </w:tcPr>
          <w:p w14:paraId="407DFCE9" w14:textId="77777777" w:rsidR="00A41DD1" w:rsidRPr="00BA595B" w:rsidRDefault="00A41DD1" w:rsidP="003B22C9">
            <w:pPr>
              <w:pStyle w:val="OikoTables03Content"/>
            </w:pPr>
            <w:r>
              <w:t>Scalability</w:t>
            </w:r>
          </w:p>
        </w:tc>
        <w:tc>
          <w:tcPr>
            <w:tcW w:w="1791" w:type="dxa"/>
            <w:tcMar>
              <w:top w:w="40" w:type="dxa"/>
              <w:left w:w="80" w:type="dxa"/>
              <w:bottom w:w="40" w:type="dxa"/>
              <w:right w:w="80" w:type="dxa"/>
            </w:tcMar>
            <w:vAlign w:val="center"/>
          </w:tcPr>
          <w:p w14:paraId="3C5C477E" w14:textId="77777777" w:rsidR="00A41DD1" w:rsidRPr="00BA595B" w:rsidRDefault="00A41DD1" w:rsidP="003B22C9">
            <w:pPr>
              <w:pStyle w:val="OikoTables03Content"/>
            </w:pPr>
            <w:r>
              <w:t>0.05</w:t>
            </w:r>
          </w:p>
        </w:tc>
        <w:tc>
          <w:tcPr>
            <w:tcW w:w="1791" w:type="dxa"/>
            <w:tcMar>
              <w:top w:w="40" w:type="dxa"/>
              <w:left w:w="80" w:type="dxa"/>
              <w:bottom w:w="40" w:type="dxa"/>
              <w:right w:w="80" w:type="dxa"/>
            </w:tcMar>
            <w:vAlign w:val="center"/>
          </w:tcPr>
          <w:p w14:paraId="3B2F863D"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293DA75B" w14:textId="77777777" w:rsidR="00A41DD1" w:rsidRPr="00BA595B" w:rsidRDefault="00A41DD1" w:rsidP="003B22C9">
            <w:pPr>
              <w:pStyle w:val="OikoTables03Content"/>
            </w:pPr>
            <w:r>
              <w:t>0.10</w:t>
            </w:r>
          </w:p>
        </w:tc>
        <w:tc>
          <w:tcPr>
            <w:tcW w:w="1791" w:type="dxa"/>
            <w:tcMar>
              <w:top w:w="40" w:type="dxa"/>
              <w:left w:w="80" w:type="dxa"/>
              <w:bottom w:w="40" w:type="dxa"/>
              <w:right w:w="80" w:type="dxa"/>
            </w:tcMar>
            <w:vAlign w:val="center"/>
          </w:tcPr>
          <w:p w14:paraId="3D4A15B1" w14:textId="77777777" w:rsidR="00A41DD1" w:rsidRPr="00BA595B" w:rsidRDefault="00A41DD1" w:rsidP="003B22C9">
            <w:pPr>
              <w:pStyle w:val="OikoTables03Content"/>
            </w:pPr>
            <w:r>
              <w:t>–</w:t>
            </w:r>
          </w:p>
        </w:tc>
      </w:tr>
      <w:tr w:rsidR="00A41DD1" w:rsidRPr="00BA595B" w14:paraId="4E2D8512" w14:textId="77777777" w:rsidTr="003B22C9">
        <w:trPr>
          <w:cantSplit/>
        </w:trPr>
        <w:tc>
          <w:tcPr>
            <w:tcW w:w="2470" w:type="dxa"/>
            <w:tcMar>
              <w:top w:w="40" w:type="dxa"/>
              <w:left w:w="80" w:type="dxa"/>
              <w:bottom w:w="40" w:type="dxa"/>
              <w:right w:w="80" w:type="dxa"/>
            </w:tcMar>
            <w:vAlign w:val="center"/>
          </w:tcPr>
          <w:p w14:paraId="4A462B07" w14:textId="77777777" w:rsidR="00A41DD1" w:rsidRPr="00BA595B" w:rsidRDefault="00A41DD1" w:rsidP="003B22C9">
            <w:pPr>
              <w:pStyle w:val="OikoTables03Content"/>
            </w:pPr>
            <w:r>
              <w:t>Soil restoration</w:t>
            </w:r>
          </w:p>
        </w:tc>
        <w:tc>
          <w:tcPr>
            <w:tcW w:w="1791" w:type="dxa"/>
            <w:tcMar>
              <w:top w:w="40" w:type="dxa"/>
              <w:left w:w="80" w:type="dxa"/>
              <w:bottom w:w="40" w:type="dxa"/>
              <w:right w:w="80" w:type="dxa"/>
            </w:tcMar>
            <w:vAlign w:val="center"/>
          </w:tcPr>
          <w:p w14:paraId="00ED91D3"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34FFFCCE"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5B924AAB" w14:textId="77777777" w:rsidR="00A41DD1" w:rsidRPr="00BA595B" w:rsidRDefault="00A41DD1" w:rsidP="003B22C9">
            <w:pPr>
              <w:pStyle w:val="OikoTables03Content"/>
            </w:pPr>
            <w:r>
              <w:t>0.15</w:t>
            </w:r>
          </w:p>
        </w:tc>
        <w:tc>
          <w:tcPr>
            <w:tcW w:w="1791" w:type="dxa"/>
            <w:tcMar>
              <w:top w:w="40" w:type="dxa"/>
              <w:left w:w="80" w:type="dxa"/>
              <w:bottom w:w="40" w:type="dxa"/>
              <w:right w:w="80" w:type="dxa"/>
            </w:tcMar>
            <w:vAlign w:val="center"/>
          </w:tcPr>
          <w:p w14:paraId="164773AE" w14:textId="77777777" w:rsidR="00A41DD1" w:rsidRPr="00BA595B" w:rsidRDefault="00A41DD1" w:rsidP="003B22C9">
            <w:pPr>
              <w:pStyle w:val="OikoTables03Content"/>
            </w:pPr>
            <w:r>
              <w:t>–</w:t>
            </w:r>
          </w:p>
        </w:tc>
      </w:tr>
      <w:tr w:rsidR="00A41DD1" w:rsidRPr="00BA595B" w14:paraId="51C90206" w14:textId="77777777" w:rsidTr="003B22C9">
        <w:trPr>
          <w:cantSplit/>
        </w:trPr>
        <w:tc>
          <w:tcPr>
            <w:tcW w:w="2470" w:type="dxa"/>
            <w:tcMar>
              <w:top w:w="40" w:type="dxa"/>
              <w:left w:w="80" w:type="dxa"/>
              <w:bottom w:w="40" w:type="dxa"/>
              <w:right w:w="80" w:type="dxa"/>
            </w:tcMar>
            <w:vAlign w:val="center"/>
          </w:tcPr>
          <w:p w14:paraId="4356D97B" w14:textId="77777777" w:rsidR="00A41DD1" w:rsidRPr="00BA595B" w:rsidRDefault="00A41DD1" w:rsidP="003B22C9">
            <w:pPr>
              <w:pStyle w:val="OikoTables03Content"/>
            </w:pPr>
            <w:r>
              <w:t>Economic potential</w:t>
            </w:r>
          </w:p>
        </w:tc>
        <w:tc>
          <w:tcPr>
            <w:tcW w:w="1791" w:type="dxa"/>
            <w:tcMar>
              <w:top w:w="40" w:type="dxa"/>
              <w:left w:w="80" w:type="dxa"/>
              <w:bottom w:w="40" w:type="dxa"/>
              <w:right w:w="80" w:type="dxa"/>
            </w:tcMar>
            <w:vAlign w:val="center"/>
          </w:tcPr>
          <w:p w14:paraId="75E22AA2"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008A78B9"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5B460C06" w14:textId="77777777" w:rsidR="00A41DD1" w:rsidRPr="00BA595B" w:rsidRDefault="00A41DD1" w:rsidP="003B22C9">
            <w:pPr>
              <w:pStyle w:val="OikoTables03Content"/>
            </w:pPr>
            <w:r>
              <w:t>0.15</w:t>
            </w:r>
          </w:p>
        </w:tc>
        <w:tc>
          <w:tcPr>
            <w:tcW w:w="1791" w:type="dxa"/>
            <w:tcMar>
              <w:top w:w="40" w:type="dxa"/>
              <w:left w:w="80" w:type="dxa"/>
              <w:bottom w:w="40" w:type="dxa"/>
              <w:right w:w="80" w:type="dxa"/>
            </w:tcMar>
            <w:vAlign w:val="center"/>
          </w:tcPr>
          <w:p w14:paraId="29483293" w14:textId="77777777" w:rsidR="00A41DD1" w:rsidRPr="00BA595B" w:rsidRDefault="00A41DD1" w:rsidP="003B22C9">
            <w:pPr>
              <w:pStyle w:val="OikoTables03Content"/>
            </w:pPr>
            <w:r>
              <w:t>–</w:t>
            </w:r>
          </w:p>
        </w:tc>
      </w:tr>
      <w:tr w:rsidR="00A41DD1" w:rsidRPr="00BA595B" w14:paraId="1DD52E61" w14:textId="77777777" w:rsidTr="003B22C9">
        <w:trPr>
          <w:cantSplit/>
        </w:trPr>
        <w:tc>
          <w:tcPr>
            <w:tcW w:w="2470" w:type="dxa"/>
            <w:tcMar>
              <w:top w:w="40" w:type="dxa"/>
              <w:left w:w="80" w:type="dxa"/>
              <w:bottom w:w="40" w:type="dxa"/>
              <w:right w:w="80" w:type="dxa"/>
            </w:tcMar>
            <w:vAlign w:val="center"/>
          </w:tcPr>
          <w:p w14:paraId="275F8B1B" w14:textId="77777777" w:rsidR="00A41DD1" w:rsidRPr="00BA595B" w:rsidRDefault="00A41DD1" w:rsidP="003B22C9">
            <w:pPr>
              <w:pStyle w:val="OikoTables03Content"/>
            </w:pPr>
            <w:r>
              <w:t>Time to benefit</w:t>
            </w:r>
          </w:p>
        </w:tc>
        <w:tc>
          <w:tcPr>
            <w:tcW w:w="1791" w:type="dxa"/>
            <w:tcMar>
              <w:top w:w="40" w:type="dxa"/>
              <w:left w:w="80" w:type="dxa"/>
              <w:bottom w:w="40" w:type="dxa"/>
              <w:right w:w="80" w:type="dxa"/>
            </w:tcMar>
            <w:vAlign w:val="center"/>
          </w:tcPr>
          <w:p w14:paraId="17684601"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16525AE0"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7074F3ED" w14:textId="77777777" w:rsidR="00A41DD1" w:rsidRPr="00BA595B" w:rsidRDefault="00A41DD1" w:rsidP="003B22C9">
            <w:pPr>
              <w:pStyle w:val="OikoTables03Content"/>
            </w:pPr>
            <w:r>
              <w:t>0.10</w:t>
            </w:r>
          </w:p>
        </w:tc>
        <w:tc>
          <w:tcPr>
            <w:tcW w:w="1791" w:type="dxa"/>
            <w:tcMar>
              <w:top w:w="40" w:type="dxa"/>
              <w:left w:w="80" w:type="dxa"/>
              <w:bottom w:w="40" w:type="dxa"/>
              <w:right w:w="80" w:type="dxa"/>
            </w:tcMar>
            <w:vAlign w:val="center"/>
          </w:tcPr>
          <w:p w14:paraId="51BEBFE9" w14:textId="77777777" w:rsidR="00A41DD1" w:rsidRPr="00BA595B" w:rsidRDefault="00A41DD1" w:rsidP="003B22C9">
            <w:pPr>
              <w:pStyle w:val="OikoTables03Content"/>
            </w:pPr>
            <w:r>
              <w:t>–</w:t>
            </w:r>
          </w:p>
        </w:tc>
      </w:tr>
      <w:tr w:rsidR="00A41DD1" w:rsidRPr="00BA595B" w14:paraId="549C9182" w14:textId="77777777" w:rsidTr="003B22C9">
        <w:trPr>
          <w:cantSplit/>
        </w:trPr>
        <w:tc>
          <w:tcPr>
            <w:tcW w:w="2470" w:type="dxa"/>
            <w:tcMar>
              <w:top w:w="40" w:type="dxa"/>
              <w:left w:w="80" w:type="dxa"/>
              <w:bottom w:w="40" w:type="dxa"/>
              <w:right w:w="80" w:type="dxa"/>
            </w:tcMar>
            <w:vAlign w:val="center"/>
          </w:tcPr>
          <w:p w14:paraId="166105D3" w14:textId="77777777" w:rsidR="00A41DD1" w:rsidRPr="00BA595B" w:rsidRDefault="00A41DD1" w:rsidP="003B22C9">
            <w:pPr>
              <w:pStyle w:val="OikoTables03Content"/>
            </w:pPr>
            <w:r>
              <w:t>Reliability</w:t>
            </w:r>
          </w:p>
        </w:tc>
        <w:tc>
          <w:tcPr>
            <w:tcW w:w="1791" w:type="dxa"/>
            <w:tcMar>
              <w:top w:w="40" w:type="dxa"/>
              <w:left w:w="80" w:type="dxa"/>
              <w:bottom w:w="40" w:type="dxa"/>
              <w:right w:w="80" w:type="dxa"/>
            </w:tcMar>
            <w:vAlign w:val="center"/>
          </w:tcPr>
          <w:p w14:paraId="2329272D"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7CD0B3AC"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6D89D4E1"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5BB89E45" w14:textId="77777777" w:rsidR="00A41DD1" w:rsidRPr="00BA595B" w:rsidRDefault="00A41DD1" w:rsidP="003B22C9">
            <w:pPr>
              <w:pStyle w:val="OikoTables03Content"/>
            </w:pPr>
            <w:r>
              <w:t>0.20</w:t>
            </w:r>
          </w:p>
        </w:tc>
      </w:tr>
      <w:tr w:rsidR="00A41DD1" w:rsidRPr="00BA595B" w14:paraId="526C39C8" w14:textId="77777777" w:rsidTr="003B22C9">
        <w:trPr>
          <w:cantSplit/>
        </w:trPr>
        <w:tc>
          <w:tcPr>
            <w:tcW w:w="2470" w:type="dxa"/>
            <w:tcMar>
              <w:top w:w="40" w:type="dxa"/>
              <w:left w:w="80" w:type="dxa"/>
              <w:bottom w:w="40" w:type="dxa"/>
              <w:right w:w="80" w:type="dxa"/>
            </w:tcMar>
            <w:vAlign w:val="center"/>
          </w:tcPr>
          <w:p w14:paraId="15871D44" w14:textId="77777777" w:rsidR="00A41DD1" w:rsidRPr="00BA595B" w:rsidRDefault="00A41DD1" w:rsidP="003B22C9">
            <w:pPr>
              <w:pStyle w:val="OikoTables03Content"/>
            </w:pPr>
            <w:r>
              <w:t>Rural availability</w:t>
            </w:r>
          </w:p>
        </w:tc>
        <w:tc>
          <w:tcPr>
            <w:tcW w:w="1791" w:type="dxa"/>
            <w:tcMar>
              <w:top w:w="40" w:type="dxa"/>
              <w:left w:w="80" w:type="dxa"/>
              <w:bottom w:w="40" w:type="dxa"/>
              <w:right w:w="80" w:type="dxa"/>
            </w:tcMar>
            <w:vAlign w:val="center"/>
          </w:tcPr>
          <w:p w14:paraId="7B7A88E6"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26E2DF89"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68A64789" w14:textId="77777777" w:rsidR="00A41DD1" w:rsidRPr="00BA595B" w:rsidRDefault="00A41DD1" w:rsidP="003B22C9">
            <w:pPr>
              <w:pStyle w:val="OikoTables03Content"/>
            </w:pPr>
            <w:r>
              <w:t>–</w:t>
            </w:r>
          </w:p>
        </w:tc>
        <w:tc>
          <w:tcPr>
            <w:tcW w:w="1791" w:type="dxa"/>
            <w:tcMar>
              <w:top w:w="40" w:type="dxa"/>
              <w:left w:w="80" w:type="dxa"/>
              <w:bottom w:w="40" w:type="dxa"/>
              <w:right w:w="80" w:type="dxa"/>
            </w:tcMar>
            <w:vAlign w:val="center"/>
          </w:tcPr>
          <w:p w14:paraId="4E133886" w14:textId="77777777" w:rsidR="00A41DD1" w:rsidRPr="00BA595B" w:rsidRDefault="00A41DD1" w:rsidP="003B22C9">
            <w:pPr>
              <w:pStyle w:val="OikoTables03Content"/>
            </w:pPr>
            <w:r>
              <w:t>0.10</w:t>
            </w:r>
          </w:p>
        </w:tc>
      </w:tr>
      <w:tr w:rsidR="00A41DD1" w:rsidRPr="00BA595B" w14:paraId="719034C1" w14:textId="77777777" w:rsidTr="003B22C9">
        <w:trPr>
          <w:cantSplit/>
        </w:trPr>
        <w:tc>
          <w:tcPr>
            <w:tcW w:w="2470" w:type="dxa"/>
            <w:shd w:val="clear" w:color="auto" w:fill="F6D7C4" w:themeFill="accent3" w:themeFillTint="66"/>
            <w:tcMar>
              <w:top w:w="40" w:type="dxa"/>
              <w:left w:w="80" w:type="dxa"/>
              <w:bottom w:w="40" w:type="dxa"/>
              <w:right w:w="80" w:type="dxa"/>
            </w:tcMar>
            <w:vAlign w:val="center"/>
          </w:tcPr>
          <w:p w14:paraId="1CF183FA" w14:textId="77777777" w:rsidR="00A41DD1" w:rsidRPr="003B22C9" w:rsidRDefault="00A41DD1" w:rsidP="003B22C9">
            <w:pPr>
              <w:pStyle w:val="OikoTables03Content"/>
              <w:rPr>
                <w:b/>
                <w:bCs/>
              </w:rPr>
            </w:pPr>
            <w:r w:rsidRPr="003B22C9">
              <w:rPr>
                <w:b/>
                <w:bCs/>
              </w:rPr>
              <w:t>TOTAL</w:t>
            </w:r>
          </w:p>
        </w:tc>
        <w:tc>
          <w:tcPr>
            <w:tcW w:w="1791" w:type="dxa"/>
            <w:shd w:val="clear" w:color="auto" w:fill="F6D7C4" w:themeFill="accent3" w:themeFillTint="66"/>
            <w:tcMar>
              <w:top w:w="40" w:type="dxa"/>
              <w:left w:w="80" w:type="dxa"/>
              <w:bottom w:w="40" w:type="dxa"/>
              <w:right w:w="80" w:type="dxa"/>
            </w:tcMar>
            <w:vAlign w:val="center"/>
          </w:tcPr>
          <w:p w14:paraId="7860CAE2" w14:textId="77777777" w:rsidR="00A41DD1" w:rsidRPr="003B22C9" w:rsidRDefault="00A41DD1" w:rsidP="003B22C9">
            <w:pPr>
              <w:pStyle w:val="OikoTables03Content"/>
              <w:rPr>
                <w:b/>
                <w:bCs/>
              </w:rPr>
            </w:pPr>
            <w:r w:rsidRPr="003B22C9">
              <w:rPr>
                <w:b/>
                <w:bCs/>
              </w:rPr>
              <w:t>1.00</w:t>
            </w:r>
          </w:p>
        </w:tc>
        <w:tc>
          <w:tcPr>
            <w:tcW w:w="1791" w:type="dxa"/>
            <w:shd w:val="clear" w:color="auto" w:fill="F6D7C4" w:themeFill="accent3" w:themeFillTint="66"/>
            <w:tcMar>
              <w:top w:w="40" w:type="dxa"/>
              <w:left w:w="80" w:type="dxa"/>
              <w:bottom w:w="40" w:type="dxa"/>
              <w:right w:w="80" w:type="dxa"/>
            </w:tcMar>
            <w:vAlign w:val="center"/>
          </w:tcPr>
          <w:p w14:paraId="345441BB" w14:textId="77777777" w:rsidR="00A41DD1" w:rsidRPr="003B22C9" w:rsidRDefault="00A41DD1" w:rsidP="003B22C9">
            <w:pPr>
              <w:pStyle w:val="OikoTables03Content"/>
              <w:rPr>
                <w:b/>
                <w:bCs/>
              </w:rPr>
            </w:pPr>
            <w:r w:rsidRPr="003B22C9">
              <w:rPr>
                <w:b/>
                <w:bCs/>
              </w:rPr>
              <w:t>1.00</w:t>
            </w:r>
          </w:p>
        </w:tc>
        <w:tc>
          <w:tcPr>
            <w:tcW w:w="1791" w:type="dxa"/>
            <w:shd w:val="clear" w:color="auto" w:fill="F6D7C4" w:themeFill="accent3" w:themeFillTint="66"/>
            <w:tcMar>
              <w:top w:w="40" w:type="dxa"/>
              <w:left w:w="80" w:type="dxa"/>
              <w:bottom w:w="40" w:type="dxa"/>
              <w:right w:w="80" w:type="dxa"/>
            </w:tcMar>
            <w:vAlign w:val="center"/>
          </w:tcPr>
          <w:p w14:paraId="1F6A5FB4" w14:textId="77777777" w:rsidR="00A41DD1" w:rsidRPr="003B22C9" w:rsidRDefault="00A41DD1" w:rsidP="003B22C9">
            <w:pPr>
              <w:pStyle w:val="OikoTables03Content"/>
              <w:rPr>
                <w:b/>
                <w:bCs/>
              </w:rPr>
            </w:pPr>
            <w:r w:rsidRPr="003B22C9">
              <w:rPr>
                <w:b/>
                <w:bCs/>
              </w:rPr>
              <w:t>1.00</w:t>
            </w:r>
          </w:p>
        </w:tc>
        <w:tc>
          <w:tcPr>
            <w:tcW w:w="1791" w:type="dxa"/>
            <w:shd w:val="clear" w:color="auto" w:fill="F6D7C4" w:themeFill="accent3" w:themeFillTint="66"/>
            <w:tcMar>
              <w:top w:w="40" w:type="dxa"/>
              <w:left w:w="80" w:type="dxa"/>
              <w:bottom w:w="40" w:type="dxa"/>
              <w:right w:w="80" w:type="dxa"/>
            </w:tcMar>
            <w:vAlign w:val="center"/>
          </w:tcPr>
          <w:p w14:paraId="4EE63BC8" w14:textId="77777777" w:rsidR="00A41DD1" w:rsidRPr="003B22C9" w:rsidRDefault="00A41DD1" w:rsidP="003B22C9">
            <w:pPr>
              <w:pStyle w:val="OikoTables03Content"/>
              <w:rPr>
                <w:b/>
                <w:bCs/>
              </w:rPr>
            </w:pPr>
            <w:r w:rsidRPr="003B22C9">
              <w:rPr>
                <w:b/>
                <w:bCs/>
              </w:rPr>
              <w:t>1.00</w:t>
            </w:r>
          </w:p>
        </w:tc>
      </w:tr>
    </w:tbl>
    <w:p w14:paraId="4444CCCB" w14:textId="77777777" w:rsidR="00A41DD1" w:rsidRPr="00BA595B" w:rsidRDefault="00A41DD1" w:rsidP="00BA595B">
      <w:pPr>
        <w:spacing w:before="120" w:after="120" w:line="240" w:lineRule="auto"/>
        <w:contextualSpacing w:val="0"/>
        <w:rPr>
          <w:sz w:val="24"/>
          <w:szCs w:val="24"/>
        </w:rPr>
      </w:pPr>
      <w:r>
        <w:rPr>
          <w:rFonts w:eastAsia="Times New Roman" w:cs="Times New Roman"/>
          <w:i/>
          <w:iCs/>
          <w:sz w:val="20"/>
          <w:szCs w:val="20"/>
        </w:rPr>
        <w:t>Full criterion definitions, weighting rationales and scoring anchors are given in Sections 7.1–7.4. Insurability is deliberately not used as a differentiating criterion in the energy MCA, and the agroforestry MCA replaces insurability and affordability with soil restoration, economic potential and time to benefit, reflecting the different decision problem in that family.</w:t>
      </w:r>
    </w:p>
    <w:p w14:paraId="1E716B2E" w14:textId="77777777" w:rsidR="00A41DD1" w:rsidRDefault="00A41DD1" w:rsidP="003B22C9">
      <w:pPr>
        <w:pStyle w:val="OikoSectionHeading3"/>
      </w:pPr>
      <w:bookmarkStart w:id="175" w:name="_Toc233981378"/>
      <w:r>
        <w:t>A1.2 MCA weighted-score matrices</w:t>
      </w:r>
      <w:bookmarkEnd w:id="175"/>
    </w:p>
    <w:p w14:paraId="0029789D" w14:textId="77777777" w:rsidR="00A41DD1" w:rsidRDefault="00A41DD1" w:rsidP="00BA595B">
      <w:pPr>
        <w:spacing w:before="120" w:after="120" w:line="240" w:lineRule="auto"/>
        <w:contextualSpacing w:val="0"/>
      </w:pPr>
      <w:r>
        <w:rPr>
          <w:rFonts w:eastAsia="Times New Roman" w:cs="Times New Roman"/>
        </w:rPr>
        <w:t>Tables A1.2 to A1.5 reproduce the weighted-score matrices of the four technology families (Chapter 7). The highest-scoring options in each family are shown in bold.</w:t>
      </w:r>
    </w:p>
    <w:p w14:paraId="5204DBA7" w14:textId="77777777" w:rsidR="00A41DD1" w:rsidRDefault="00A41DD1" w:rsidP="003B22C9">
      <w:pPr>
        <w:pStyle w:val="Caption"/>
        <w:framePr w:wrap="notBeside"/>
      </w:pPr>
      <w:r>
        <w:t>Table A1.2 Greenhouse MCA – weighted scores</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1880"/>
        <w:gridCol w:w="1107"/>
        <w:gridCol w:w="1108"/>
        <w:gridCol w:w="1108"/>
        <w:gridCol w:w="1107"/>
        <w:gridCol w:w="1108"/>
        <w:gridCol w:w="1108"/>
        <w:gridCol w:w="1108"/>
      </w:tblGrid>
      <w:tr w:rsidR="00A41DD1" w:rsidRPr="00BA595B" w14:paraId="2A46670F" w14:textId="77777777" w:rsidTr="003B22C9">
        <w:trPr>
          <w:cantSplit/>
          <w:tblHeader/>
        </w:trPr>
        <w:tc>
          <w:tcPr>
            <w:tcW w:w="1880" w:type="dxa"/>
            <w:shd w:val="clear" w:color="auto" w:fill="E99E6D" w:themeFill="accent3"/>
            <w:tcMar>
              <w:top w:w="40" w:type="dxa"/>
              <w:left w:w="80" w:type="dxa"/>
              <w:bottom w:w="40" w:type="dxa"/>
              <w:right w:w="80" w:type="dxa"/>
            </w:tcMar>
            <w:vAlign w:val="center"/>
          </w:tcPr>
          <w:p w14:paraId="1F6B6D7D" w14:textId="77777777" w:rsidR="00A41DD1" w:rsidRPr="00BA595B" w:rsidRDefault="00A41DD1" w:rsidP="003B22C9">
            <w:pPr>
              <w:pStyle w:val="OikoTables02"/>
            </w:pPr>
            <w:r>
              <w:lastRenderedPageBreak/>
              <w:t>Criterion (weight)</w:t>
            </w:r>
          </w:p>
        </w:tc>
        <w:tc>
          <w:tcPr>
            <w:tcW w:w="1107" w:type="dxa"/>
            <w:shd w:val="clear" w:color="auto" w:fill="E99E6D" w:themeFill="accent3"/>
            <w:tcMar>
              <w:top w:w="40" w:type="dxa"/>
              <w:left w:w="80" w:type="dxa"/>
              <w:bottom w:w="40" w:type="dxa"/>
              <w:right w:w="80" w:type="dxa"/>
            </w:tcMar>
            <w:vAlign w:val="center"/>
          </w:tcPr>
          <w:p w14:paraId="775411C6" w14:textId="77777777" w:rsidR="00A41DD1" w:rsidRPr="00BA595B" w:rsidRDefault="00A41DD1" w:rsidP="003B22C9">
            <w:pPr>
              <w:pStyle w:val="OikoTables02"/>
            </w:pPr>
            <w:r>
              <w:t>Low tunnel</w:t>
            </w:r>
          </w:p>
        </w:tc>
        <w:tc>
          <w:tcPr>
            <w:tcW w:w="1108" w:type="dxa"/>
            <w:shd w:val="clear" w:color="auto" w:fill="E99E6D" w:themeFill="accent3"/>
            <w:tcMar>
              <w:top w:w="40" w:type="dxa"/>
              <w:left w:w="80" w:type="dxa"/>
              <w:bottom w:w="40" w:type="dxa"/>
              <w:right w:w="80" w:type="dxa"/>
            </w:tcMar>
            <w:vAlign w:val="center"/>
          </w:tcPr>
          <w:p w14:paraId="6F3AD010" w14:textId="77777777" w:rsidR="00A41DD1" w:rsidRPr="00BA595B" w:rsidRDefault="00A41DD1" w:rsidP="003B22C9">
            <w:pPr>
              <w:pStyle w:val="OikoTables02"/>
            </w:pPr>
            <w:r>
              <w:t>Single film</w:t>
            </w:r>
          </w:p>
        </w:tc>
        <w:tc>
          <w:tcPr>
            <w:tcW w:w="1108" w:type="dxa"/>
            <w:shd w:val="clear" w:color="auto" w:fill="E99E6D" w:themeFill="accent3"/>
            <w:tcMar>
              <w:top w:w="40" w:type="dxa"/>
              <w:left w:w="80" w:type="dxa"/>
              <w:bottom w:w="40" w:type="dxa"/>
              <w:right w:w="80" w:type="dxa"/>
            </w:tcMar>
            <w:vAlign w:val="center"/>
          </w:tcPr>
          <w:p w14:paraId="3E4CEED2" w14:textId="77777777" w:rsidR="00A41DD1" w:rsidRPr="00BA595B" w:rsidRDefault="00A41DD1" w:rsidP="003B22C9">
            <w:pPr>
              <w:pStyle w:val="OikoTables02"/>
            </w:pPr>
            <w:r>
              <w:t>Double film</w:t>
            </w:r>
          </w:p>
        </w:tc>
        <w:tc>
          <w:tcPr>
            <w:tcW w:w="1107" w:type="dxa"/>
            <w:shd w:val="clear" w:color="auto" w:fill="E99E6D" w:themeFill="accent3"/>
            <w:tcMar>
              <w:top w:w="40" w:type="dxa"/>
              <w:left w:w="80" w:type="dxa"/>
              <w:bottom w:w="40" w:type="dxa"/>
              <w:right w:w="80" w:type="dxa"/>
            </w:tcMar>
            <w:vAlign w:val="center"/>
          </w:tcPr>
          <w:p w14:paraId="2872D59E" w14:textId="77777777" w:rsidR="00A41DD1" w:rsidRPr="00BA595B" w:rsidRDefault="00A41DD1" w:rsidP="003B22C9">
            <w:pPr>
              <w:pStyle w:val="OikoTables02"/>
            </w:pPr>
            <w:r>
              <w:t>Passive solar</w:t>
            </w:r>
          </w:p>
        </w:tc>
        <w:tc>
          <w:tcPr>
            <w:tcW w:w="1108" w:type="dxa"/>
            <w:shd w:val="clear" w:color="auto" w:fill="E99E6D" w:themeFill="accent3"/>
            <w:tcMar>
              <w:top w:w="40" w:type="dxa"/>
              <w:left w:w="80" w:type="dxa"/>
              <w:bottom w:w="40" w:type="dxa"/>
              <w:right w:w="80" w:type="dxa"/>
            </w:tcMar>
            <w:vAlign w:val="center"/>
          </w:tcPr>
          <w:p w14:paraId="5879D461" w14:textId="77777777" w:rsidR="00A41DD1" w:rsidRPr="00BA595B" w:rsidRDefault="00A41DD1" w:rsidP="003B22C9">
            <w:pPr>
              <w:pStyle w:val="OikoTables02"/>
            </w:pPr>
            <w:proofErr w:type="spellStart"/>
            <w:r>
              <w:t>Polycarb</w:t>
            </w:r>
            <w:proofErr w:type="spellEnd"/>
            <w:r>
              <w:t>.</w:t>
            </w:r>
          </w:p>
        </w:tc>
        <w:tc>
          <w:tcPr>
            <w:tcW w:w="1108" w:type="dxa"/>
            <w:shd w:val="clear" w:color="auto" w:fill="E99E6D" w:themeFill="accent3"/>
            <w:tcMar>
              <w:top w:w="40" w:type="dxa"/>
              <w:left w:w="80" w:type="dxa"/>
              <w:bottom w:w="40" w:type="dxa"/>
              <w:right w:w="80" w:type="dxa"/>
            </w:tcMar>
            <w:vAlign w:val="center"/>
          </w:tcPr>
          <w:p w14:paraId="54D5801A" w14:textId="77777777" w:rsidR="00A41DD1" w:rsidRPr="00BA595B" w:rsidRDefault="00A41DD1" w:rsidP="003B22C9">
            <w:pPr>
              <w:pStyle w:val="OikoTables02"/>
            </w:pPr>
            <w:r>
              <w:t>Venlo</w:t>
            </w:r>
          </w:p>
        </w:tc>
        <w:tc>
          <w:tcPr>
            <w:tcW w:w="1108" w:type="dxa"/>
            <w:shd w:val="clear" w:color="auto" w:fill="E99E6D" w:themeFill="accent3"/>
            <w:tcMar>
              <w:top w:w="40" w:type="dxa"/>
              <w:left w:w="80" w:type="dxa"/>
              <w:bottom w:w="40" w:type="dxa"/>
              <w:right w:w="80" w:type="dxa"/>
            </w:tcMar>
            <w:vAlign w:val="center"/>
          </w:tcPr>
          <w:p w14:paraId="1DA050BF" w14:textId="77777777" w:rsidR="00A41DD1" w:rsidRPr="00BA595B" w:rsidRDefault="00A41DD1" w:rsidP="003B22C9">
            <w:pPr>
              <w:pStyle w:val="OikoTables02"/>
            </w:pPr>
            <w:r>
              <w:t>Agri-PV</w:t>
            </w:r>
          </w:p>
        </w:tc>
      </w:tr>
      <w:tr w:rsidR="00A41DD1" w:rsidRPr="00BA595B" w14:paraId="161C2D9E" w14:textId="77777777" w:rsidTr="003B22C9">
        <w:trPr>
          <w:cantSplit/>
        </w:trPr>
        <w:tc>
          <w:tcPr>
            <w:tcW w:w="1880" w:type="dxa"/>
            <w:tcMar>
              <w:top w:w="40" w:type="dxa"/>
              <w:left w:w="80" w:type="dxa"/>
              <w:bottom w:w="40" w:type="dxa"/>
              <w:right w:w="80" w:type="dxa"/>
            </w:tcMar>
            <w:vAlign w:val="center"/>
          </w:tcPr>
          <w:p w14:paraId="69EC82B6" w14:textId="77777777" w:rsidR="00A41DD1" w:rsidRPr="00BA595B" w:rsidRDefault="00A41DD1" w:rsidP="003B22C9">
            <w:pPr>
              <w:pStyle w:val="OikoTables03Content"/>
            </w:pPr>
            <w:r>
              <w:t>Water efficiency (0.25)</w:t>
            </w:r>
          </w:p>
        </w:tc>
        <w:tc>
          <w:tcPr>
            <w:tcW w:w="1107" w:type="dxa"/>
            <w:tcMar>
              <w:top w:w="40" w:type="dxa"/>
              <w:left w:w="80" w:type="dxa"/>
              <w:bottom w:w="40" w:type="dxa"/>
              <w:right w:w="80" w:type="dxa"/>
            </w:tcMar>
            <w:vAlign w:val="center"/>
          </w:tcPr>
          <w:p w14:paraId="315F7F46" w14:textId="77777777" w:rsidR="00A41DD1" w:rsidRPr="00BA595B" w:rsidRDefault="00A41DD1" w:rsidP="003B22C9">
            <w:pPr>
              <w:pStyle w:val="OikoTables03Content"/>
            </w:pPr>
            <w:r>
              <w:t>2.0</w:t>
            </w:r>
          </w:p>
        </w:tc>
        <w:tc>
          <w:tcPr>
            <w:tcW w:w="1108" w:type="dxa"/>
            <w:tcMar>
              <w:top w:w="40" w:type="dxa"/>
              <w:left w:w="80" w:type="dxa"/>
              <w:bottom w:w="40" w:type="dxa"/>
              <w:right w:w="80" w:type="dxa"/>
            </w:tcMar>
            <w:vAlign w:val="center"/>
          </w:tcPr>
          <w:p w14:paraId="37A25D46" w14:textId="77777777" w:rsidR="00A41DD1" w:rsidRPr="00BA595B" w:rsidRDefault="00A41DD1" w:rsidP="003B22C9">
            <w:pPr>
              <w:pStyle w:val="OikoTables03Content"/>
            </w:pPr>
            <w:r>
              <w:t>3.0</w:t>
            </w:r>
          </w:p>
        </w:tc>
        <w:tc>
          <w:tcPr>
            <w:tcW w:w="1108" w:type="dxa"/>
            <w:tcMar>
              <w:top w:w="40" w:type="dxa"/>
              <w:left w:w="80" w:type="dxa"/>
              <w:bottom w:w="40" w:type="dxa"/>
              <w:right w:w="80" w:type="dxa"/>
            </w:tcMar>
            <w:vAlign w:val="center"/>
          </w:tcPr>
          <w:p w14:paraId="6AE10CC9" w14:textId="77777777" w:rsidR="00A41DD1" w:rsidRPr="00BA595B" w:rsidRDefault="00A41DD1" w:rsidP="003B22C9">
            <w:pPr>
              <w:pStyle w:val="OikoTables03Content"/>
            </w:pPr>
            <w:r>
              <w:t>3.5</w:t>
            </w:r>
          </w:p>
        </w:tc>
        <w:tc>
          <w:tcPr>
            <w:tcW w:w="1107" w:type="dxa"/>
            <w:tcMar>
              <w:top w:w="40" w:type="dxa"/>
              <w:left w:w="80" w:type="dxa"/>
              <w:bottom w:w="40" w:type="dxa"/>
              <w:right w:w="80" w:type="dxa"/>
            </w:tcMar>
            <w:vAlign w:val="center"/>
          </w:tcPr>
          <w:p w14:paraId="56B46A5D" w14:textId="77777777" w:rsidR="00A41DD1" w:rsidRPr="00BA595B" w:rsidRDefault="00A41DD1" w:rsidP="003B22C9">
            <w:pPr>
              <w:pStyle w:val="OikoTables03Content"/>
            </w:pPr>
            <w:r>
              <w:t>4.5</w:t>
            </w:r>
          </w:p>
        </w:tc>
        <w:tc>
          <w:tcPr>
            <w:tcW w:w="1108" w:type="dxa"/>
            <w:tcMar>
              <w:top w:w="40" w:type="dxa"/>
              <w:left w:w="80" w:type="dxa"/>
              <w:bottom w:w="40" w:type="dxa"/>
              <w:right w:w="80" w:type="dxa"/>
            </w:tcMar>
            <w:vAlign w:val="center"/>
          </w:tcPr>
          <w:p w14:paraId="626148A0" w14:textId="77777777" w:rsidR="00A41DD1" w:rsidRPr="00BA595B" w:rsidRDefault="00A41DD1" w:rsidP="003B22C9">
            <w:pPr>
              <w:pStyle w:val="OikoTables03Content"/>
            </w:pPr>
            <w:r>
              <w:t>4.5</w:t>
            </w:r>
          </w:p>
        </w:tc>
        <w:tc>
          <w:tcPr>
            <w:tcW w:w="1108" w:type="dxa"/>
            <w:tcMar>
              <w:top w:w="40" w:type="dxa"/>
              <w:left w:w="80" w:type="dxa"/>
              <w:bottom w:w="40" w:type="dxa"/>
              <w:right w:w="80" w:type="dxa"/>
            </w:tcMar>
            <w:vAlign w:val="center"/>
          </w:tcPr>
          <w:p w14:paraId="492C0FF8"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3A6D81DF" w14:textId="77777777" w:rsidR="00A41DD1" w:rsidRPr="00BA595B" w:rsidRDefault="00A41DD1" w:rsidP="003B22C9">
            <w:pPr>
              <w:pStyle w:val="OikoTables03Content"/>
            </w:pPr>
            <w:r>
              <w:t>4.5</w:t>
            </w:r>
          </w:p>
        </w:tc>
      </w:tr>
      <w:tr w:rsidR="00A41DD1" w:rsidRPr="00BA595B" w14:paraId="0DA192A2" w14:textId="77777777" w:rsidTr="003B22C9">
        <w:trPr>
          <w:cantSplit/>
        </w:trPr>
        <w:tc>
          <w:tcPr>
            <w:tcW w:w="1880" w:type="dxa"/>
            <w:tcMar>
              <w:top w:w="40" w:type="dxa"/>
              <w:left w:w="80" w:type="dxa"/>
              <w:bottom w:w="40" w:type="dxa"/>
              <w:right w:w="80" w:type="dxa"/>
            </w:tcMar>
            <w:vAlign w:val="center"/>
          </w:tcPr>
          <w:p w14:paraId="520EC590" w14:textId="77777777" w:rsidR="00A41DD1" w:rsidRPr="00BA595B" w:rsidRDefault="00A41DD1" w:rsidP="003B22C9">
            <w:pPr>
              <w:pStyle w:val="OikoTables03Content"/>
            </w:pPr>
            <w:r>
              <w:t>Affordability (0.20)</w:t>
            </w:r>
          </w:p>
        </w:tc>
        <w:tc>
          <w:tcPr>
            <w:tcW w:w="1107" w:type="dxa"/>
            <w:tcMar>
              <w:top w:w="40" w:type="dxa"/>
              <w:left w:w="80" w:type="dxa"/>
              <w:bottom w:w="40" w:type="dxa"/>
              <w:right w:w="80" w:type="dxa"/>
            </w:tcMar>
            <w:vAlign w:val="center"/>
          </w:tcPr>
          <w:p w14:paraId="1BBE03E0"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63A764B1" w14:textId="77777777" w:rsidR="00A41DD1" w:rsidRPr="00BA595B" w:rsidRDefault="00A41DD1" w:rsidP="003B22C9">
            <w:pPr>
              <w:pStyle w:val="OikoTables03Content"/>
            </w:pPr>
            <w:r>
              <w:t>4.5</w:t>
            </w:r>
          </w:p>
        </w:tc>
        <w:tc>
          <w:tcPr>
            <w:tcW w:w="1108" w:type="dxa"/>
            <w:tcMar>
              <w:top w:w="40" w:type="dxa"/>
              <w:left w:w="80" w:type="dxa"/>
              <w:bottom w:w="40" w:type="dxa"/>
              <w:right w:w="80" w:type="dxa"/>
            </w:tcMar>
            <w:vAlign w:val="center"/>
          </w:tcPr>
          <w:p w14:paraId="27CEBC9C" w14:textId="77777777" w:rsidR="00A41DD1" w:rsidRPr="00BA595B" w:rsidRDefault="00A41DD1" w:rsidP="003B22C9">
            <w:pPr>
              <w:pStyle w:val="OikoTables03Content"/>
            </w:pPr>
            <w:r>
              <w:t>4.0</w:t>
            </w:r>
          </w:p>
        </w:tc>
        <w:tc>
          <w:tcPr>
            <w:tcW w:w="1107" w:type="dxa"/>
            <w:tcMar>
              <w:top w:w="40" w:type="dxa"/>
              <w:left w:w="80" w:type="dxa"/>
              <w:bottom w:w="40" w:type="dxa"/>
              <w:right w:w="80" w:type="dxa"/>
            </w:tcMar>
            <w:vAlign w:val="center"/>
          </w:tcPr>
          <w:p w14:paraId="41266C23" w14:textId="77777777" w:rsidR="00A41DD1" w:rsidRPr="00BA595B" w:rsidRDefault="00A41DD1" w:rsidP="003B22C9">
            <w:pPr>
              <w:pStyle w:val="OikoTables03Content"/>
            </w:pPr>
            <w:r>
              <w:t>4.0</w:t>
            </w:r>
          </w:p>
        </w:tc>
        <w:tc>
          <w:tcPr>
            <w:tcW w:w="1108" w:type="dxa"/>
            <w:tcMar>
              <w:top w:w="40" w:type="dxa"/>
              <w:left w:w="80" w:type="dxa"/>
              <w:bottom w:w="40" w:type="dxa"/>
              <w:right w:w="80" w:type="dxa"/>
            </w:tcMar>
            <w:vAlign w:val="center"/>
          </w:tcPr>
          <w:p w14:paraId="7A0F4EC8" w14:textId="77777777" w:rsidR="00A41DD1" w:rsidRPr="00BA595B" w:rsidRDefault="00A41DD1" w:rsidP="003B22C9">
            <w:pPr>
              <w:pStyle w:val="OikoTables03Content"/>
            </w:pPr>
            <w:r>
              <w:t>2.5</w:t>
            </w:r>
          </w:p>
        </w:tc>
        <w:tc>
          <w:tcPr>
            <w:tcW w:w="1108" w:type="dxa"/>
            <w:tcMar>
              <w:top w:w="40" w:type="dxa"/>
              <w:left w:w="80" w:type="dxa"/>
              <w:bottom w:w="40" w:type="dxa"/>
              <w:right w:w="80" w:type="dxa"/>
            </w:tcMar>
            <w:vAlign w:val="center"/>
          </w:tcPr>
          <w:p w14:paraId="384E4737" w14:textId="77777777" w:rsidR="00A41DD1" w:rsidRPr="00BA595B" w:rsidRDefault="00A41DD1" w:rsidP="003B22C9">
            <w:pPr>
              <w:pStyle w:val="OikoTables03Content"/>
            </w:pPr>
            <w:r>
              <w:t>1.0</w:t>
            </w:r>
          </w:p>
        </w:tc>
        <w:tc>
          <w:tcPr>
            <w:tcW w:w="1108" w:type="dxa"/>
            <w:tcMar>
              <w:top w:w="40" w:type="dxa"/>
              <w:left w:w="80" w:type="dxa"/>
              <w:bottom w:w="40" w:type="dxa"/>
              <w:right w:w="80" w:type="dxa"/>
            </w:tcMar>
            <w:vAlign w:val="center"/>
          </w:tcPr>
          <w:p w14:paraId="2E0EECDC" w14:textId="77777777" w:rsidR="00A41DD1" w:rsidRPr="00BA595B" w:rsidRDefault="00A41DD1" w:rsidP="003B22C9">
            <w:pPr>
              <w:pStyle w:val="OikoTables03Content"/>
            </w:pPr>
            <w:r>
              <w:t>1.0</w:t>
            </w:r>
          </w:p>
        </w:tc>
      </w:tr>
      <w:tr w:rsidR="00A41DD1" w:rsidRPr="00BA595B" w14:paraId="319C3FCB" w14:textId="77777777" w:rsidTr="003B22C9">
        <w:trPr>
          <w:cantSplit/>
        </w:trPr>
        <w:tc>
          <w:tcPr>
            <w:tcW w:w="1880" w:type="dxa"/>
            <w:tcMar>
              <w:top w:w="40" w:type="dxa"/>
              <w:left w:w="80" w:type="dxa"/>
              <w:bottom w:w="40" w:type="dxa"/>
              <w:right w:w="80" w:type="dxa"/>
            </w:tcMar>
            <w:vAlign w:val="center"/>
          </w:tcPr>
          <w:p w14:paraId="0A831B1C" w14:textId="77777777" w:rsidR="00A41DD1" w:rsidRPr="00BA595B" w:rsidRDefault="00A41DD1" w:rsidP="003B22C9">
            <w:pPr>
              <w:pStyle w:val="OikoTables03Content"/>
            </w:pPr>
            <w:r>
              <w:t>Climate resilience (0.15)</w:t>
            </w:r>
          </w:p>
        </w:tc>
        <w:tc>
          <w:tcPr>
            <w:tcW w:w="1107" w:type="dxa"/>
            <w:tcMar>
              <w:top w:w="40" w:type="dxa"/>
              <w:left w:w="80" w:type="dxa"/>
              <w:bottom w:w="40" w:type="dxa"/>
              <w:right w:w="80" w:type="dxa"/>
            </w:tcMar>
            <w:vAlign w:val="center"/>
          </w:tcPr>
          <w:p w14:paraId="62B3B4DF" w14:textId="77777777" w:rsidR="00A41DD1" w:rsidRPr="00BA595B" w:rsidRDefault="00A41DD1" w:rsidP="003B22C9">
            <w:pPr>
              <w:pStyle w:val="OikoTables03Content"/>
            </w:pPr>
            <w:r>
              <w:t>1.0</w:t>
            </w:r>
          </w:p>
        </w:tc>
        <w:tc>
          <w:tcPr>
            <w:tcW w:w="1108" w:type="dxa"/>
            <w:tcMar>
              <w:top w:w="40" w:type="dxa"/>
              <w:left w:w="80" w:type="dxa"/>
              <w:bottom w:w="40" w:type="dxa"/>
              <w:right w:w="80" w:type="dxa"/>
            </w:tcMar>
            <w:vAlign w:val="center"/>
          </w:tcPr>
          <w:p w14:paraId="232EB597" w14:textId="77777777" w:rsidR="00A41DD1" w:rsidRPr="00BA595B" w:rsidRDefault="00A41DD1" w:rsidP="003B22C9">
            <w:pPr>
              <w:pStyle w:val="OikoTables03Content"/>
            </w:pPr>
            <w:r>
              <w:t>2.0</w:t>
            </w:r>
          </w:p>
        </w:tc>
        <w:tc>
          <w:tcPr>
            <w:tcW w:w="1108" w:type="dxa"/>
            <w:tcMar>
              <w:top w:w="40" w:type="dxa"/>
              <w:left w:w="80" w:type="dxa"/>
              <w:bottom w:w="40" w:type="dxa"/>
              <w:right w:w="80" w:type="dxa"/>
            </w:tcMar>
            <w:vAlign w:val="center"/>
          </w:tcPr>
          <w:p w14:paraId="51F92EE2" w14:textId="77777777" w:rsidR="00A41DD1" w:rsidRPr="00BA595B" w:rsidRDefault="00A41DD1" w:rsidP="003B22C9">
            <w:pPr>
              <w:pStyle w:val="OikoTables03Content"/>
            </w:pPr>
            <w:r>
              <w:t>3.0</w:t>
            </w:r>
          </w:p>
        </w:tc>
        <w:tc>
          <w:tcPr>
            <w:tcW w:w="1107" w:type="dxa"/>
            <w:tcMar>
              <w:top w:w="40" w:type="dxa"/>
              <w:left w:w="80" w:type="dxa"/>
              <w:bottom w:w="40" w:type="dxa"/>
              <w:right w:w="80" w:type="dxa"/>
            </w:tcMar>
            <w:vAlign w:val="center"/>
          </w:tcPr>
          <w:p w14:paraId="5F886373"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0E5C1A55" w14:textId="77777777" w:rsidR="00A41DD1" w:rsidRPr="00BA595B" w:rsidRDefault="00A41DD1" w:rsidP="003B22C9">
            <w:pPr>
              <w:pStyle w:val="OikoTables03Content"/>
            </w:pPr>
            <w:r>
              <w:t>4.0</w:t>
            </w:r>
          </w:p>
        </w:tc>
        <w:tc>
          <w:tcPr>
            <w:tcW w:w="1108" w:type="dxa"/>
            <w:tcMar>
              <w:top w:w="40" w:type="dxa"/>
              <w:left w:w="80" w:type="dxa"/>
              <w:bottom w:w="40" w:type="dxa"/>
              <w:right w:w="80" w:type="dxa"/>
            </w:tcMar>
            <w:vAlign w:val="center"/>
          </w:tcPr>
          <w:p w14:paraId="7E6AE366" w14:textId="77777777" w:rsidR="00A41DD1" w:rsidRPr="00BA595B" w:rsidRDefault="00A41DD1" w:rsidP="003B22C9">
            <w:pPr>
              <w:pStyle w:val="OikoTables03Content"/>
            </w:pPr>
            <w:r>
              <w:t>4.5</w:t>
            </w:r>
          </w:p>
        </w:tc>
        <w:tc>
          <w:tcPr>
            <w:tcW w:w="1108" w:type="dxa"/>
            <w:tcMar>
              <w:top w:w="40" w:type="dxa"/>
              <w:left w:w="80" w:type="dxa"/>
              <w:bottom w:w="40" w:type="dxa"/>
              <w:right w:w="80" w:type="dxa"/>
            </w:tcMar>
            <w:vAlign w:val="center"/>
          </w:tcPr>
          <w:p w14:paraId="65A2CCEB" w14:textId="77777777" w:rsidR="00A41DD1" w:rsidRPr="00BA595B" w:rsidRDefault="00A41DD1" w:rsidP="003B22C9">
            <w:pPr>
              <w:pStyle w:val="OikoTables03Content"/>
            </w:pPr>
            <w:r>
              <w:t>3.5</w:t>
            </w:r>
          </w:p>
        </w:tc>
      </w:tr>
      <w:tr w:rsidR="00A41DD1" w:rsidRPr="00BA595B" w14:paraId="3EF88DF2" w14:textId="77777777" w:rsidTr="003B22C9">
        <w:trPr>
          <w:cantSplit/>
        </w:trPr>
        <w:tc>
          <w:tcPr>
            <w:tcW w:w="1880" w:type="dxa"/>
            <w:tcMar>
              <w:top w:w="40" w:type="dxa"/>
              <w:left w:w="80" w:type="dxa"/>
              <w:bottom w:w="40" w:type="dxa"/>
              <w:right w:w="80" w:type="dxa"/>
            </w:tcMar>
            <w:vAlign w:val="center"/>
          </w:tcPr>
          <w:p w14:paraId="52482237" w14:textId="77777777" w:rsidR="00A41DD1" w:rsidRPr="00BA595B" w:rsidRDefault="00A41DD1" w:rsidP="003B22C9">
            <w:pPr>
              <w:pStyle w:val="OikoTables03Content"/>
            </w:pPr>
            <w:r>
              <w:t>Technical simplicity (0.15)</w:t>
            </w:r>
          </w:p>
        </w:tc>
        <w:tc>
          <w:tcPr>
            <w:tcW w:w="1107" w:type="dxa"/>
            <w:tcMar>
              <w:top w:w="40" w:type="dxa"/>
              <w:left w:w="80" w:type="dxa"/>
              <w:bottom w:w="40" w:type="dxa"/>
              <w:right w:w="80" w:type="dxa"/>
            </w:tcMar>
            <w:vAlign w:val="center"/>
          </w:tcPr>
          <w:p w14:paraId="34557F28"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4EFBFFF1" w14:textId="77777777" w:rsidR="00A41DD1" w:rsidRPr="00BA595B" w:rsidRDefault="00A41DD1" w:rsidP="003B22C9">
            <w:pPr>
              <w:pStyle w:val="OikoTables03Content"/>
            </w:pPr>
            <w:r>
              <w:t>4.5</w:t>
            </w:r>
          </w:p>
        </w:tc>
        <w:tc>
          <w:tcPr>
            <w:tcW w:w="1108" w:type="dxa"/>
            <w:tcMar>
              <w:top w:w="40" w:type="dxa"/>
              <w:left w:w="80" w:type="dxa"/>
              <w:bottom w:w="40" w:type="dxa"/>
              <w:right w:w="80" w:type="dxa"/>
            </w:tcMar>
            <w:vAlign w:val="center"/>
          </w:tcPr>
          <w:p w14:paraId="3496954C" w14:textId="77777777" w:rsidR="00A41DD1" w:rsidRPr="00BA595B" w:rsidRDefault="00A41DD1" w:rsidP="003B22C9">
            <w:pPr>
              <w:pStyle w:val="OikoTables03Content"/>
            </w:pPr>
            <w:r>
              <w:t>4.0</w:t>
            </w:r>
          </w:p>
        </w:tc>
        <w:tc>
          <w:tcPr>
            <w:tcW w:w="1107" w:type="dxa"/>
            <w:tcMar>
              <w:top w:w="40" w:type="dxa"/>
              <w:left w:w="80" w:type="dxa"/>
              <w:bottom w:w="40" w:type="dxa"/>
              <w:right w:w="80" w:type="dxa"/>
            </w:tcMar>
            <w:vAlign w:val="center"/>
          </w:tcPr>
          <w:p w14:paraId="0FEA48CC" w14:textId="77777777" w:rsidR="00A41DD1" w:rsidRPr="00BA595B" w:rsidRDefault="00A41DD1" w:rsidP="003B22C9">
            <w:pPr>
              <w:pStyle w:val="OikoTables03Content"/>
            </w:pPr>
            <w:r>
              <w:t>3.5</w:t>
            </w:r>
          </w:p>
        </w:tc>
        <w:tc>
          <w:tcPr>
            <w:tcW w:w="1108" w:type="dxa"/>
            <w:tcMar>
              <w:top w:w="40" w:type="dxa"/>
              <w:left w:w="80" w:type="dxa"/>
              <w:bottom w:w="40" w:type="dxa"/>
              <w:right w:w="80" w:type="dxa"/>
            </w:tcMar>
            <w:vAlign w:val="center"/>
          </w:tcPr>
          <w:p w14:paraId="29F778D3" w14:textId="77777777" w:rsidR="00A41DD1" w:rsidRPr="00BA595B" w:rsidRDefault="00A41DD1" w:rsidP="003B22C9">
            <w:pPr>
              <w:pStyle w:val="OikoTables03Content"/>
            </w:pPr>
            <w:r>
              <w:t>3.0</w:t>
            </w:r>
          </w:p>
        </w:tc>
        <w:tc>
          <w:tcPr>
            <w:tcW w:w="1108" w:type="dxa"/>
            <w:tcMar>
              <w:top w:w="40" w:type="dxa"/>
              <w:left w:w="80" w:type="dxa"/>
              <w:bottom w:w="40" w:type="dxa"/>
              <w:right w:w="80" w:type="dxa"/>
            </w:tcMar>
            <w:vAlign w:val="center"/>
          </w:tcPr>
          <w:p w14:paraId="15E311C5" w14:textId="77777777" w:rsidR="00A41DD1" w:rsidRPr="00BA595B" w:rsidRDefault="00A41DD1" w:rsidP="003B22C9">
            <w:pPr>
              <w:pStyle w:val="OikoTables03Content"/>
            </w:pPr>
            <w:r>
              <w:t>1.5</w:t>
            </w:r>
          </w:p>
        </w:tc>
        <w:tc>
          <w:tcPr>
            <w:tcW w:w="1108" w:type="dxa"/>
            <w:tcMar>
              <w:top w:w="40" w:type="dxa"/>
              <w:left w:w="80" w:type="dxa"/>
              <w:bottom w:w="40" w:type="dxa"/>
              <w:right w:w="80" w:type="dxa"/>
            </w:tcMar>
            <w:vAlign w:val="center"/>
          </w:tcPr>
          <w:p w14:paraId="432D613F" w14:textId="77777777" w:rsidR="00A41DD1" w:rsidRPr="00BA595B" w:rsidRDefault="00A41DD1" w:rsidP="003B22C9">
            <w:pPr>
              <w:pStyle w:val="OikoTables03Content"/>
            </w:pPr>
            <w:r>
              <w:t>1.0</w:t>
            </w:r>
          </w:p>
        </w:tc>
      </w:tr>
      <w:tr w:rsidR="00A41DD1" w:rsidRPr="00BA595B" w14:paraId="2C1CA629" w14:textId="77777777" w:rsidTr="003B22C9">
        <w:trPr>
          <w:cantSplit/>
        </w:trPr>
        <w:tc>
          <w:tcPr>
            <w:tcW w:w="1880" w:type="dxa"/>
            <w:tcMar>
              <w:top w:w="40" w:type="dxa"/>
              <w:left w:w="80" w:type="dxa"/>
              <w:bottom w:w="40" w:type="dxa"/>
              <w:right w:w="80" w:type="dxa"/>
            </w:tcMar>
            <w:vAlign w:val="center"/>
          </w:tcPr>
          <w:p w14:paraId="606A5182" w14:textId="77777777" w:rsidR="00A41DD1" w:rsidRPr="00BA595B" w:rsidRDefault="00A41DD1" w:rsidP="003B22C9">
            <w:pPr>
              <w:pStyle w:val="OikoTables03Content"/>
            </w:pPr>
            <w:r>
              <w:t>Insurability (0.10)</w:t>
            </w:r>
          </w:p>
        </w:tc>
        <w:tc>
          <w:tcPr>
            <w:tcW w:w="1107" w:type="dxa"/>
            <w:tcMar>
              <w:top w:w="40" w:type="dxa"/>
              <w:left w:w="80" w:type="dxa"/>
              <w:bottom w:w="40" w:type="dxa"/>
              <w:right w:w="80" w:type="dxa"/>
            </w:tcMar>
            <w:vAlign w:val="center"/>
          </w:tcPr>
          <w:p w14:paraId="69C5C4D6" w14:textId="77777777" w:rsidR="00A41DD1" w:rsidRPr="00BA595B" w:rsidRDefault="00A41DD1" w:rsidP="003B22C9">
            <w:pPr>
              <w:pStyle w:val="OikoTables03Content"/>
            </w:pPr>
            <w:r>
              <w:t>1.0</w:t>
            </w:r>
          </w:p>
        </w:tc>
        <w:tc>
          <w:tcPr>
            <w:tcW w:w="1108" w:type="dxa"/>
            <w:tcMar>
              <w:top w:w="40" w:type="dxa"/>
              <w:left w:w="80" w:type="dxa"/>
              <w:bottom w:w="40" w:type="dxa"/>
              <w:right w:w="80" w:type="dxa"/>
            </w:tcMar>
            <w:vAlign w:val="center"/>
          </w:tcPr>
          <w:p w14:paraId="631D3310" w14:textId="77777777" w:rsidR="00A41DD1" w:rsidRPr="00BA595B" w:rsidRDefault="00A41DD1" w:rsidP="003B22C9">
            <w:pPr>
              <w:pStyle w:val="OikoTables03Content"/>
            </w:pPr>
            <w:r>
              <w:t>2.0</w:t>
            </w:r>
          </w:p>
        </w:tc>
        <w:tc>
          <w:tcPr>
            <w:tcW w:w="1108" w:type="dxa"/>
            <w:tcMar>
              <w:top w:w="40" w:type="dxa"/>
              <w:left w:w="80" w:type="dxa"/>
              <w:bottom w:w="40" w:type="dxa"/>
              <w:right w:w="80" w:type="dxa"/>
            </w:tcMar>
            <w:vAlign w:val="center"/>
          </w:tcPr>
          <w:p w14:paraId="723CC72C" w14:textId="77777777" w:rsidR="00A41DD1" w:rsidRPr="00BA595B" w:rsidRDefault="00A41DD1" w:rsidP="003B22C9">
            <w:pPr>
              <w:pStyle w:val="OikoTables03Content"/>
            </w:pPr>
            <w:r>
              <w:t>3.0</w:t>
            </w:r>
          </w:p>
        </w:tc>
        <w:tc>
          <w:tcPr>
            <w:tcW w:w="1107" w:type="dxa"/>
            <w:tcMar>
              <w:top w:w="40" w:type="dxa"/>
              <w:left w:w="80" w:type="dxa"/>
              <w:bottom w:w="40" w:type="dxa"/>
              <w:right w:w="80" w:type="dxa"/>
            </w:tcMar>
            <w:vAlign w:val="center"/>
          </w:tcPr>
          <w:p w14:paraId="20B1E570" w14:textId="77777777" w:rsidR="00A41DD1" w:rsidRPr="00BA595B" w:rsidRDefault="00A41DD1" w:rsidP="003B22C9">
            <w:pPr>
              <w:pStyle w:val="OikoTables03Content"/>
            </w:pPr>
            <w:r>
              <w:t>4.0</w:t>
            </w:r>
          </w:p>
        </w:tc>
        <w:tc>
          <w:tcPr>
            <w:tcW w:w="1108" w:type="dxa"/>
            <w:tcMar>
              <w:top w:w="40" w:type="dxa"/>
              <w:left w:w="80" w:type="dxa"/>
              <w:bottom w:w="40" w:type="dxa"/>
              <w:right w:w="80" w:type="dxa"/>
            </w:tcMar>
            <w:vAlign w:val="center"/>
          </w:tcPr>
          <w:p w14:paraId="63BBB64D"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334DA627"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44EBFB83" w14:textId="77777777" w:rsidR="00A41DD1" w:rsidRPr="00BA595B" w:rsidRDefault="00A41DD1" w:rsidP="003B22C9">
            <w:pPr>
              <w:pStyle w:val="OikoTables03Content"/>
            </w:pPr>
            <w:r>
              <w:t>4.0</w:t>
            </w:r>
          </w:p>
        </w:tc>
      </w:tr>
      <w:tr w:rsidR="00A41DD1" w:rsidRPr="00BA595B" w14:paraId="71DA0406" w14:textId="77777777" w:rsidTr="003B22C9">
        <w:trPr>
          <w:cantSplit/>
        </w:trPr>
        <w:tc>
          <w:tcPr>
            <w:tcW w:w="1880" w:type="dxa"/>
            <w:tcMar>
              <w:top w:w="40" w:type="dxa"/>
              <w:left w:w="80" w:type="dxa"/>
              <w:bottom w:w="40" w:type="dxa"/>
              <w:right w:w="80" w:type="dxa"/>
            </w:tcMar>
            <w:vAlign w:val="center"/>
          </w:tcPr>
          <w:p w14:paraId="621F3701" w14:textId="77777777" w:rsidR="00A41DD1" w:rsidRPr="00BA595B" w:rsidRDefault="00A41DD1" w:rsidP="003B22C9">
            <w:pPr>
              <w:pStyle w:val="OikoTables03Content"/>
            </w:pPr>
            <w:r>
              <w:t>Environmental (0.10)</w:t>
            </w:r>
          </w:p>
        </w:tc>
        <w:tc>
          <w:tcPr>
            <w:tcW w:w="1107" w:type="dxa"/>
            <w:tcMar>
              <w:top w:w="40" w:type="dxa"/>
              <w:left w:w="80" w:type="dxa"/>
              <w:bottom w:w="40" w:type="dxa"/>
              <w:right w:w="80" w:type="dxa"/>
            </w:tcMar>
            <w:vAlign w:val="center"/>
          </w:tcPr>
          <w:p w14:paraId="628DFF79" w14:textId="77777777" w:rsidR="00A41DD1" w:rsidRPr="00BA595B" w:rsidRDefault="00A41DD1" w:rsidP="003B22C9">
            <w:pPr>
              <w:pStyle w:val="OikoTables03Content"/>
            </w:pPr>
            <w:r>
              <w:t>2.0</w:t>
            </w:r>
          </w:p>
        </w:tc>
        <w:tc>
          <w:tcPr>
            <w:tcW w:w="1108" w:type="dxa"/>
            <w:tcMar>
              <w:top w:w="40" w:type="dxa"/>
              <w:left w:w="80" w:type="dxa"/>
              <w:bottom w:w="40" w:type="dxa"/>
              <w:right w:w="80" w:type="dxa"/>
            </w:tcMar>
            <w:vAlign w:val="center"/>
          </w:tcPr>
          <w:p w14:paraId="7C8EA430" w14:textId="77777777" w:rsidR="00A41DD1" w:rsidRPr="00BA595B" w:rsidRDefault="00A41DD1" w:rsidP="003B22C9">
            <w:pPr>
              <w:pStyle w:val="OikoTables03Content"/>
            </w:pPr>
            <w:r>
              <w:t>2.5</w:t>
            </w:r>
          </w:p>
        </w:tc>
        <w:tc>
          <w:tcPr>
            <w:tcW w:w="1108" w:type="dxa"/>
            <w:tcMar>
              <w:top w:w="40" w:type="dxa"/>
              <w:left w:w="80" w:type="dxa"/>
              <w:bottom w:w="40" w:type="dxa"/>
              <w:right w:w="80" w:type="dxa"/>
            </w:tcMar>
            <w:vAlign w:val="center"/>
          </w:tcPr>
          <w:p w14:paraId="073DC079" w14:textId="77777777" w:rsidR="00A41DD1" w:rsidRPr="00BA595B" w:rsidRDefault="00A41DD1" w:rsidP="003B22C9">
            <w:pPr>
              <w:pStyle w:val="OikoTables03Content"/>
            </w:pPr>
            <w:r>
              <w:t>3.0</w:t>
            </w:r>
          </w:p>
        </w:tc>
        <w:tc>
          <w:tcPr>
            <w:tcW w:w="1107" w:type="dxa"/>
            <w:tcMar>
              <w:top w:w="40" w:type="dxa"/>
              <w:left w:w="80" w:type="dxa"/>
              <w:bottom w:w="40" w:type="dxa"/>
              <w:right w:w="80" w:type="dxa"/>
            </w:tcMar>
            <w:vAlign w:val="center"/>
          </w:tcPr>
          <w:p w14:paraId="670D9F52"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10A603EE" w14:textId="77777777" w:rsidR="00A41DD1" w:rsidRPr="00BA595B" w:rsidRDefault="00A41DD1" w:rsidP="003B22C9">
            <w:pPr>
              <w:pStyle w:val="OikoTables03Content"/>
            </w:pPr>
            <w:r>
              <w:t>4.0</w:t>
            </w:r>
          </w:p>
        </w:tc>
        <w:tc>
          <w:tcPr>
            <w:tcW w:w="1108" w:type="dxa"/>
            <w:tcMar>
              <w:top w:w="40" w:type="dxa"/>
              <w:left w:w="80" w:type="dxa"/>
              <w:bottom w:w="40" w:type="dxa"/>
              <w:right w:w="80" w:type="dxa"/>
            </w:tcMar>
            <w:vAlign w:val="center"/>
          </w:tcPr>
          <w:p w14:paraId="4BF16D98" w14:textId="77777777" w:rsidR="00A41DD1" w:rsidRPr="00BA595B" w:rsidRDefault="00A41DD1" w:rsidP="003B22C9">
            <w:pPr>
              <w:pStyle w:val="OikoTables03Content"/>
            </w:pPr>
            <w:r>
              <w:t>3.0</w:t>
            </w:r>
          </w:p>
        </w:tc>
        <w:tc>
          <w:tcPr>
            <w:tcW w:w="1108" w:type="dxa"/>
            <w:tcMar>
              <w:top w:w="40" w:type="dxa"/>
              <w:left w:w="80" w:type="dxa"/>
              <w:bottom w:w="40" w:type="dxa"/>
              <w:right w:w="80" w:type="dxa"/>
            </w:tcMar>
            <w:vAlign w:val="center"/>
          </w:tcPr>
          <w:p w14:paraId="08063989" w14:textId="77777777" w:rsidR="00A41DD1" w:rsidRPr="00BA595B" w:rsidRDefault="00A41DD1" w:rsidP="003B22C9">
            <w:pPr>
              <w:pStyle w:val="OikoTables03Content"/>
            </w:pPr>
            <w:r>
              <w:t>5.0</w:t>
            </w:r>
          </w:p>
        </w:tc>
      </w:tr>
      <w:tr w:rsidR="00A41DD1" w:rsidRPr="00BA595B" w14:paraId="45ED42CB" w14:textId="77777777" w:rsidTr="003B22C9">
        <w:trPr>
          <w:cantSplit/>
        </w:trPr>
        <w:tc>
          <w:tcPr>
            <w:tcW w:w="1880" w:type="dxa"/>
            <w:tcMar>
              <w:top w:w="40" w:type="dxa"/>
              <w:left w:w="80" w:type="dxa"/>
              <w:bottom w:w="40" w:type="dxa"/>
              <w:right w:w="80" w:type="dxa"/>
            </w:tcMar>
            <w:vAlign w:val="center"/>
          </w:tcPr>
          <w:p w14:paraId="53D9506A" w14:textId="77777777" w:rsidR="00A41DD1" w:rsidRPr="00BA595B" w:rsidRDefault="00A41DD1" w:rsidP="003B22C9">
            <w:pPr>
              <w:pStyle w:val="OikoTables03Content"/>
            </w:pPr>
            <w:r>
              <w:t>Scalability (0.05)</w:t>
            </w:r>
          </w:p>
        </w:tc>
        <w:tc>
          <w:tcPr>
            <w:tcW w:w="1107" w:type="dxa"/>
            <w:tcMar>
              <w:top w:w="40" w:type="dxa"/>
              <w:left w:w="80" w:type="dxa"/>
              <w:bottom w:w="40" w:type="dxa"/>
              <w:right w:w="80" w:type="dxa"/>
            </w:tcMar>
            <w:vAlign w:val="center"/>
          </w:tcPr>
          <w:p w14:paraId="52EEE49F" w14:textId="77777777" w:rsidR="00A41DD1" w:rsidRPr="00BA595B" w:rsidRDefault="00A41DD1" w:rsidP="003B22C9">
            <w:pPr>
              <w:pStyle w:val="OikoTables03Content"/>
            </w:pPr>
            <w:r>
              <w:t>4.0</w:t>
            </w:r>
          </w:p>
        </w:tc>
        <w:tc>
          <w:tcPr>
            <w:tcW w:w="1108" w:type="dxa"/>
            <w:tcMar>
              <w:top w:w="40" w:type="dxa"/>
              <w:left w:w="80" w:type="dxa"/>
              <w:bottom w:w="40" w:type="dxa"/>
              <w:right w:w="80" w:type="dxa"/>
            </w:tcMar>
            <w:vAlign w:val="center"/>
          </w:tcPr>
          <w:p w14:paraId="31C59A1A" w14:textId="77777777" w:rsidR="00A41DD1" w:rsidRPr="00BA595B" w:rsidRDefault="00A41DD1" w:rsidP="003B22C9">
            <w:pPr>
              <w:pStyle w:val="OikoTables03Content"/>
            </w:pPr>
            <w:r>
              <w:t>4.5</w:t>
            </w:r>
          </w:p>
        </w:tc>
        <w:tc>
          <w:tcPr>
            <w:tcW w:w="1108" w:type="dxa"/>
            <w:tcMar>
              <w:top w:w="40" w:type="dxa"/>
              <w:left w:w="80" w:type="dxa"/>
              <w:bottom w:w="40" w:type="dxa"/>
              <w:right w:w="80" w:type="dxa"/>
            </w:tcMar>
            <w:vAlign w:val="center"/>
          </w:tcPr>
          <w:p w14:paraId="04B5B855" w14:textId="77777777" w:rsidR="00A41DD1" w:rsidRPr="00BA595B" w:rsidRDefault="00A41DD1" w:rsidP="003B22C9">
            <w:pPr>
              <w:pStyle w:val="OikoTables03Content"/>
            </w:pPr>
            <w:r>
              <w:t>4.5</w:t>
            </w:r>
          </w:p>
        </w:tc>
        <w:tc>
          <w:tcPr>
            <w:tcW w:w="1107" w:type="dxa"/>
            <w:tcMar>
              <w:top w:w="40" w:type="dxa"/>
              <w:left w:w="80" w:type="dxa"/>
              <w:bottom w:w="40" w:type="dxa"/>
              <w:right w:w="80" w:type="dxa"/>
            </w:tcMar>
            <w:vAlign w:val="center"/>
          </w:tcPr>
          <w:p w14:paraId="4A6D4309" w14:textId="77777777" w:rsidR="00A41DD1" w:rsidRPr="00BA595B" w:rsidRDefault="00A41DD1" w:rsidP="003B22C9">
            <w:pPr>
              <w:pStyle w:val="OikoTables03Content"/>
            </w:pPr>
            <w:r>
              <w:t>3.0</w:t>
            </w:r>
          </w:p>
        </w:tc>
        <w:tc>
          <w:tcPr>
            <w:tcW w:w="1108" w:type="dxa"/>
            <w:tcMar>
              <w:top w:w="40" w:type="dxa"/>
              <w:left w:w="80" w:type="dxa"/>
              <w:bottom w:w="40" w:type="dxa"/>
              <w:right w:w="80" w:type="dxa"/>
            </w:tcMar>
            <w:vAlign w:val="center"/>
          </w:tcPr>
          <w:p w14:paraId="5CB185E9" w14:textId="77777777" w:rsidR="00A41DD1" w:rsidRPr="00BA595B" w:rsidRDefault="00A41DD1" w:rsidP="003B22C9">
            <w:pPr>
              <w:pStyle w:val="OikoTables03Content"/>
            </w:pPr>
            <w:r>
              <w:t>4.0</w:t>
            </w:r>
          </w:p>
        </w:tc>
        <w:tc>
          <w:tcPr>
            <w:tcW w:w="1108" w:type="dxa"/>
            <w:tcMar>
              <w:top w:w="40" w:type="dxa"/>
              <w:left w:w="80" w:type="dxa"/>
              <w:bottom w:w="40" w:type="dxa"/>
              <w:right w:w="80" w:type="dxa"/>
            </w:tcMar>
            <w:vAlign w:val="center"/>
          </w:tcPr>
          <w:p w14:paraId="216B2D17" w14:textId="77777777" w:rsidR="00A41DD1" w:rsidRPr="00BA595B" w:rsidRDefault="00A41DD1" w:rsidP="003B22C9">
            <w:pPr>
              <w:pStyle w:val="OikoTables03Content"/>
            </w:pPr>
            <w:r>
              <w:t>5.0</w:t>
            </w:r>
          </w:p>
        </w:tc>
        <w:tc>
          <w:tcPr>
            <w:tcW w:w="1108" w:type="dxa"/>
            <w:tcMar>
              <w:top w:w="40" w:type="dxa"/>
              <w:left w:w="80" w:type="dxa"/>
              <w:bottom w:w="40" w:type="dxa"/>
              <w:right w:w="80" w:type="dxa"/>
            </w:tcMar>
            <w:vAlign w:val="center"/>
          </w:tcPr>
          <w:p w14:paraId="27AD7EFC" w14:textId="77777777" w:rsidR="00A41DD1" w:rsidRPr="00BA595B" w:rsidRDefault="00A41DD1" w:rsidP="003B22C9">
            <w:pPr>
              <w:pStyle w:val="OikoTables03Content"/>
            </w:pPr>
            <w:r>
              <w:t>3.0</w:t>
            </w:r>
          </w:p>
        </w:tc>
      </w:tr>
      <w:tr w:rsidR="00A41DD1" w:rsidRPr="00BA595B" w14:paraId="320F3137" w14:textId="77777777" w:rsidTr="003B22C9">
        <w:trPr>
          <w:cantSplit/>
        </w:trPr>
        <w:tc>
          <w:tcPr>
            <w:tcW w:w="1880" w:type="dxa"/>
            <w:shd w:val="clear" w:color="auto" w:fill="F6D7C4" w:themeFill="accent3" w:themeFillTint="66"/>
            <w:tcMar>
              <w:top w:w="40" w:type="dxa"/>
              <w:left w:w="80" w:type="dxa"/>
              <w:bottom w:w="40" w:type="dxa"/>
              <w:right w:w="80" w:type="dxa"/>
            </w:tcMar>
            <w:vAlign w:val="center"/>
          </w:tcPr>
          <w:p w14:paraId="3A2836E5" w14:textId="77777777" w:rsidR="00A41DD1" w:rsidRPr="003B22C9" w:rsidRDefault="00A41DD1" w:rsidP="003B22C9">
            <w:pPr>
              <w:pStyle w:val="OikoTables03Content"/>
              <w:rPr>
                <w:b/>
                <w:bCs/>
              </w:rPr>
            </w:pPr>
            <w:r w:rsidRPr="003B22C9">
              <w:rPr>
                <w:b/>
                <w:bCs/>
              </w:rPr>
              <w:t>WEIGHTED SCORE</w:t>
            </w:r>
          </w:p>
        </w:tc>
        <w:tc>
          <w:tcPr>
            <w:tcW w:w="1107" w:type="dxa"/>
            <w:shd w:val="clear" w:color="auto" w:fill="F6D7C4" w:themeFill="accent3" w:themeFillTint="66"/>
            <w:tcMar>
              <w:top w:w="40" w:type="dxa"/>
              <w:left w:w="80" w:type="dxa"/>
              <w:bottom w:w="40" w:type="dxa"/>
              <w:right w:w="80" w:type="dxa"/>
            </w:tcMar>
            <w:vAlign w:val="center"/>
          </w:tcPr>
          <w:p w14:paraId="33CEBE2B" w14:textId="77777777" w:rsidR="00A41DD1" w:rsidRPr="003B22C9" w:rsidRDefault="00A41DD1" w:rsidP="003B22C9">
            <w:pPr>
              <w:pStyle w:val="OikoTables03Content"/>
              <w:rPr>
                <w:b/>
                <w:bCs/>
              </w:rPr>
            </w:pPr>
            <w:r w:rsidRPr="003B22C9">
              <w:rPr>
                <w:b/>
                <w:bCs/>
              </w:rPr>
              <w:t>2.90</w:t>
            </w:r>
          </w:p>
        </w:tc>
        <w:tc>
          <w:tcPr>
            <w:tcW w:w="1108" w:type="dxa"/>
            <w:shd w:val="clear" w:color="auto" w:fill="F6D7C4" w:themeFill="accent3" w:themeFillTint="66"/>
            <w:tcMar>
              <w:top w:w="40" w:type="dxa"/>
              <w:left w:w="80" w:type="dxa"/>
              <w:bottom w:w="40" w:type="dxa"/>
              <w:right w:w="80" w:type="dxa"/>
            </w:tcMar>
            <w:vAlign w:val="center"/>
          </w:tcPr>
          <w:p w14:paraId="1D623C55" w14:textId="77777777" w:rsidR="00A41DD1" w:rsidRPr="003B22C9" w:rsidRDefault="00A41DD1" w:rsidP="003B22C9">
            <w:pPr>
              <w:pStyle w:val="OikoTables03Content"/>
              <w:rPr>
                <w:b/>
                <w:bCs/>
              </w:rPr>
            </w:pPr>
            <w:r w:rsidRPr="003B22C9">
              <w:rPr>
                <w:b/>
                <w:bCs/>
              </w:rPr>
              <w:t>3.30</w:t>
            </w:r>
          </w:p>
        </w:tc>
        <w:tc>
          <w:tcPr>
            <w:tcW w:w="1108" w:type="dxa"/>
            <w:shd w:val="clear" w:color="auto" w:fill="F6D7C4" w:themeFill="accent3" w:themeFillTint="66"/>
            <w:tcMar>
              <w:top w:w="40" w:type="dxa"/>
              <w:left w:w="80" w:type="dxa"/>
              <w:bottom w:w="40" w:type="dxa"/>
              <w:right w:w="80" w:type="dxa"/>
            </w:tcMar>
            <w:vAlign w:val="center"/>
          </w:tcPr>
          <w:p w14:paraId="5CB15202" w14:textId="77777777" w:rsidR="00A41DD1" w:rsidRPr="003B22C9" w:rsidRDefault="00A41DD1" w:rsidP="003B22C9">
            <w:pPr>
              <w:pStyle w:val="OikoTables03Content"/>
              <w:rPr>
                <w:b/>
                <w:bCs/>
              </w:rPr>
            </w:pPr>
            <w:r w:rsidRPr="003B22C9">
              <w:rPr>
                <w:b/>
                <w:bCs/>
              </w:rPr>
              <w:t>3.55</w:t>
            </w:r>
          </w:p>
        </w:tc>
        <w:tc>
          <w:tcPr>
            <w:tcW w:w="1107" w:type="dxa"/>
            <w:shd w:val="clear" w:color="auto" w:fill="F6D7C4" w:themeFill="accent3" w:themeFillTint="66"/>
            <w:tcMar>
              <w:top w:w="40" w:type="dxa"/>
              <w:left w:w="80" w:type="dxa"/>
              <w:bottom w:w="40" w:type="dxa"/>
              <w:right w:w="80" w:type="dxa"/>
            </w:tcMar>
            <w:vAlign w:val="center"/>
          </w:tcPr>
          <w:p w14:paraId="19A3FB5C" w14:textId="77777777" w:rsidR="00A41DD1" w:rsidRPr="003B22C9" w:rsidRDefault="00A41DD1" w:rsidP="003B22C9">
            <w:pPr>
              <w:pStyle w:val="OikoTables03Content"/>
              <w:rPr>
                <w:b/>
                <w:bCs/>
              </w:rPr>
            </w:pPr>
            <w:r w:rsidRPr="003B22C9">
              <w:rPr>
                <w:b/>
                <w:bCs/>
              </w:rPr>
              <w:t>4.25</w:t>
            </w:r>
          </w:p>
        </w:tc>
        <w:tc>
          <w:tcPr>
            <w:tcW w:w="1108" w:type="dxa"/>
            <w:shd w:val="clear" w:color="auto" w:fill="F6D7C4" w:themeFill="accent3" w:themeFillTint="66"/>
            <w:tcMar>
              <w:top w:w="40" w:type="dxa"/>
              <w:left w:w="80" w:type="dxa"/>
              <w:bottom w:w="40" w:type="dxa"/>
              <w:right w:w="80" w:type="dxa"/>
            </w:tcMar>
            <w:vAlign w:val="center"/>
          </w:tcPr>
          <w:p w14:paraId="42EEA9BA" w14:textId="77777777" w:rsidR="00A41DD1" w:rsidRPr="003B22C9" w:rsidRDefault="00A41DD1" w:rsidP="003B22C9">
            <w:pPr>
              <w:pStyle w:val="OikoTables03Content"/>
              <w:rPr>
                <w:b/>
                <w:bCs/>
              </w:rPr>
            </w:pPr>
            <w:r w:rsidRPr="003B22C9">
              <w:rPr>
                <w:b/>
                <w:bCs/>
              </w:rPr>
              <w:t>3.78</w:t>
            </w:r>
          </w:p>
        </w:tc>
        <w:tc>
          <w:tcPr>
            <w:tcW w:w="1108" w:type="dxa"/>
            <w:shd w:val="clear" w:color="auto" w:fill="F6D7C4" w:themeFill="accent3" w:themeFillTint="66"/>
            <w:tcMar>
              <w:top w:w="40" w:type="dxa"/>
              <w:left w:w="80" w:type="dxa"/>
              <w:bottom w:w="40" w:type="dxa"/>
              <w:right w:w="80" w:type="dxa"/>
            </w:tcMar>
            <w:vAlign w:val="center"/>
          </w:tcPr>
          <w:p w14:paraId="58F20BFA" w14:textId="77777777" w:rsidR="00A41DD1" w:rsidRPr="003B22C9" w:rsidRDefault="00A41DD1" w:rsidP="003B22C9">
            <w:pPr>
              <w:pStyle w:val="OikoTables03Content"/>
              <w:rPr>
                <w:b/>
                <w:bCs/>
              </w:rPr>
            </w:pPr>
            <w:r w:rsidRPr="003B22C9">
              <w:rPr>
                <w:b/>
                <w:bCs/>
              </w:rPr>
              <w:t>3.40</w:t>
            </w:r>
          </w:p>
        </w:tc>
        <w:tc>
          <w:tcPr>
            <w:tcW w:w="1108" w:type="dxa"/>
            <w:shd w:val="clear" w:color="auto" w:fill="F6D7C4" w:themeFill="accent3" w:themeFillTint="66"/>
            <w:tcMar>
              <w:top w:w="40" w:type="dxa"/>
              <w:left w:w="80" w:type="dxa"/>
              <w:bottom w:w="40" w:type="dxa"/>
              <w:right w:w="80" w:type="dxa"/>
            </w:tcMar>
            <w:vAlign w:val="center"/>
          </w:tcPr>
          <w:p w14:paraId="58C253A1" w14:textId="77777777" w:rsidR="00A41DD1" w:rsidRPr="003B22C9" w:rsidRDefault="00A41DD1" w:rsidP="003B22C9">
            <w:pPr>
              <w:pStyle w:val="OikoTables03Content"/>
              <w:rPr>
                <w:b/>
                <w:bCs/>
              </w:rPr>
            </w:pPr>
            <w:r w:rsidRPr="003B22C9">
              <w:rPr>
                <w:b/>
                <w:bCs/>
              </w:rPr>
              <w:t>3.05</w:t>
            </w:r>
          </w:p>
        </w:tc>
      </w:tr>
    </w:tbl>
    <w:p w14:paraId="34F9099E" w14:textId="77777777" w:rsidR="003B22C9" w:rsidRDefault="003B22C9" w:rsidP="003B22C9">
      <w:pPr>
        <w:pStyle w:val="Caption"/>
        <w:framePr w:wrap="notBeside"/>
      </w:pPr>
    </w:p>
    <w:p w14:paraId="0BDFC9C6" w14:textId="0461BF6A" w:rsidR="00A41DD1" w:rsidRDefault="00A41DD1" w:rsidP="003B22C9">
      <w:pPr>
        <w:pStyle w:val="Caption"/>
        <w:framePr w:wrap="notBeside"/>
      </w:pPr>
      <w:r>
        <w:t>Table A1.3 Irrigation MCA – weighted scores</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2470"/>
        <w:gridCol w:w="1432"/>
        <w:gridCol w:w="1433"/>
        <w:gridCol w:w="1433"/>
        <w:gridCol w:w="1433"/>
        <w:gridCol w:w="1433"/>
      </w:tblGrid>
      <w:tr w:rsidR="00A41DD1" w:rsidRPr="00BA595B" w14:paraId="1CCFE765" w14:textId="77777777" w:rsidTr="003B22C9">
        <w:trPr>
          <w:cantSplit/>
          <w:tblHeader/>
        </w:trPr>
        <w:tc>
          <w:tcPr>
            <w:tcW w:w="2470" w:type="dxa"/>
            <w:shd w:val="clear" w:color="auto" w:fill="E99E6D" w:themeFill="accent3"/>
            <w:tcMar>
              <w:top w:w="40" w:type="dxa"/>
              <w:left w:w="80" w:type="dxa"/>
              <w:bottom w:w="40" w:type="dxa"/>
              <w:right w:w="80" w:type="dxa"/>
            </w:tcMar>
            <w:vAlign w:val="center"/>
          </w:tcPr>
          <w:p w14:paraId="234C6CA6" w14:textId="77777777" w:rsidR="00A41DD1" w:rsidRPr="00BA595B" w:rsidRDefault="00A41DD1" w:rsidP="003B22C9">
            <w:pPr>
              <w:pStyle w:val="OikoTables02"/>
            </w:pPr>
            <w:r>
              <w:t>Criterion (weight)</w:t>
            </w:r>
          </w:p>
        </w:tc>
        <w:tc>
          <w:tcPr>
            <w:tcW w:w="1432" w:type="dxa"/>
            <w:shd w:val="clear" w:color="auto" w:fill="E99E6D" w:themeFill="accent3"/>
            <w:tcMar>
              <w:top w:w="40" w:type="dxa"/>
              <w:left w:w="80" w:type="dxa"/>
              <w:bottom w:w="40" w:type="dxa"/>
              <w:right w:w="80" w:type="dxa"/>
            </w:tcMar>
            <w:vAlign w:val="center"/>
          </w:tcPr>
          <w:p w14:paraId="45F0ED3A" w14:textId="77777777" w:rsidR="00A41DD1" w:rsidRPr="00BA595B" w:rsidRDefault="00A41DD1" w:rsidP="003B22C9">
            <w:pPr>
              <w:pStyle w:val="OikoTables02"/>
            </w:pPr>
            <w:r>
              <w:t>Surface</w:t>
            </w:r>
          </w:p>
        </w:tc>
        <w:tc>
          <w:tcPr>
            <w:tcW w:w="1433" w:type="dxa"/>
            <w:shd w:val="clear" w:color="auto" w:fill="E99E6D" w:themeFill="accent3"/>
            <w:tcMar>
              <w:top w:w="40" w:type="dxa"/>
              <w:left w:w="80" w:type="dxa"/>
              <w:bottom w:w="40" w:type="dxa"/>
              <w:right w:w="80" w:type="dxa"/>
            </w:tcMar>
            <w:vAlign w:val="center"/>
          </w:tcPr>
          <w:p w14:paraId="46C9AA81" w14:textId="77777777" w:rsidR="00A41DD1" w:rsidRPr="00BA595B" w:rsidRDefault="00A41DD1" w:rsidP="003B22C9">
            <w:pPr>
              <w:pStyle w:val="OikoTables02"/>
            </w:pPr>
            <w:r>
              <w:t>Sprinkler</w:t>
            </w:r>
          </w:p>
        </w:tc>
        <w:tc>
          <w:tcPr>
            <w:tcW w:w="1433" w:type="dxa"/>
            <w:shd w:val="clear" w:color="auto" w:fill="E99E6D" w:themeFill="accent3"/>
            <w:tcMar>
              <w:top w:w="40" w:type="dxa"/>
              <w:left w:w="80" w:type="dxa"/>
              <w:bottom w:w="40" w:type="dxa"/>
              <w:right w:w="80" w:type="dxa"/>
            </w:tcMar>
            <w:vAlign w:val="center"/>
          </w:tcPr>
          <w:p w14:paraId="419EE7F0" w14:textId="77777777" w:rsidR="00A41DD1" w:rsidRPr="00BA595B" w:rsidRDefault="00A41DD1" w:rsidP="003B22C9">
            <w:pPr>
              <w:pStyle w:val="OikoTables02"/>
            </w:pPr>
            <w:r>
              <w:t>Drip gravity</w:t>
            </w:r>
          </w:p>
        </w:tc>
        <w:tc>
          <w:tcPr>
            <w:tcW w:w="1433" w:type="dxa"/>
            <w:shd w:val="clear" w:color="auto" w:fill="E99E6D" w:themeFill="accent3"/>
            <w:tcMar>
              <w:top w:w="40" w:type="dxa"/>
              <w:left w:w="80" w:type="dxa"/>
              <w:bottom w:w="40" w:type="dxa"/>
              <w:right w:w="80" w:type="dxa"/>
            </w:tcMar>
            <w:vAlign w:val="center"/>
          </w:tcPr>
          <w:p w14:paraId="0834AA33" w14:textId="77777777" w:rsidR="00A41DD1" w:rsidRPr="00BA595B" w:rsidRDefault="00A41DD1" w:rsidP="003B22C9">
            <w:pPr>
              <w:pStyle w:val="OikoTables02"/>
            </w:pPr>
            <w:r>
              <w:t>Drip solar</w:t>
            </w:r>
          </w:p>
        </w:tc>
        <w:tc>
          <w:tcPr>
            <w:tcW w:w="1433" w:type="dxa"/>
            <w:shd w:val="clear" w:color="auto" w:fill="E99E6D" w:themeFill="accent3"/>
            <w:tcMar>
              <w:top w:w="40" w:type="dxa"/>
              <w:left w:w="80" w:type="dxa"/>
              <w:bottom w:w="40" w:type="dxa"/>
              <w:right w:w="80" w:type="dxa"/>
            </w:tcMar>
            <w:vAlign w:val="center"/>
          </w:tcPr>
          <w:p w14:paraId="677208FE" w14:textId="77777777" w:rsidR="00A41DD1" w:rsidRPr="00BA595B" w:rsidRDefault="00A41DD1" w:rsidP="003B22C9">
            <w:pPr>
              <w:pStyle w:val="OikoTables02"/>
            </w:pPr>
            <w:r>
              <w:t>Subsurface</w:t>
            </w:r>
          </w:p>
        </w:tc>
      </w:tr>
      <w:tr w:rsidR="00A41DD1" w:rsidRPr="00BA595B" w14:paraId="58580A50" w14:textId="77777777" w:rsidTr="003B22C9">
        <w:trPr>
          <w:cantSplit/>
        </w:trPr>
        <w:tc>
          <w:tcPr>
            <w:tcW w:w="2470" w:type="dxa"/>
            <w:tcMar>
              <w:top w:w="40" w:type="dxa"/>
              <w:left w:w="80" w:type="dxa"/>
              <w:bottom w:w="40" w:type="dxa"/>
              <w:right w:w="80" w:type="dxa"/>
            </w:tcMar>
            <w:vAlign w:val="center"/>
          </w:tcPr>
          <w:p w14:paraId="6EECCF7A" w14:textId="77777777" w:rsidR="00A41DD1" w:rsidRPr="00BA595B" w:rsidRDefault="00A41DD1" w:rsidP="003B22C9">
            <w:pPr>
              <w:pStyle w:val="OikoTables03Content"/>
            </w:pPr>
            <w:r>
              <w:t>Water efficiency (0.30)</w:t>
            </w:r>
          </w:p>
        </w:tc>
        <w:tc>
          <w:tcPr>
            <w:tcW w:w="1432" w:type="dxa"/>
            <w:tcMar>
              <w:top w:w="40" w:type="dxa"/>
              <w:left w:w="80" w:type="dxa"/>
              <w:bottom w:w="40" w:type="dxa"/>
              <w:right w:w="80" w:type="dxa"/>
            </w:tcMar>
            <w:vAlign w:val="center"/>
          </w:tcPr>
          <w:p w14:paraId="0DE06798" w14:textId="77777777" w:rsidR="00A41DD1" w:rsidRPr="00BA595B" w:rsidRDefault="00A41DD1" w:rsidP="003B22C9">
            <w:pPr>
              <w:pStyle w:val="OikoTables03Content"/>
            </w:pPr>
            <w:r>
              <w:t>1.5</w:t>
            </w:r>
          </w:p>
        </w:tc>
        <w:tc>
          <w:tcPr>
            <w:tcW w:w="1433" w:type="dxa"/>
            <w:tcMar>
              <w:top w:w="40" w:type="dxa"/>
              <w:left w:w="80" w:type="dxa"/>
              <w:bottom w:w="40" w:type="dxa"/>
              <w:right w:w="80" w:type="dxa"/>
            </w:tcMar>
            <w:vAlign w:val="center"/>
          </w:tcPr>
          <w:p w14:paraId="74F2F7D3" w14:textId="77777777" w:rsidR="00A41DD1" w:rsidRPr="00BA595B" w:rsidRDefault="00A41DD1" w:rsidP="003B22C9">
            <w:pPr>
              <w:pStyle w:val="OikoTables03Content"/>
            </w:pPr>
            <w:r>
              <w:t>3.0</w:t>
            </w:r>
          </w:p>
        </w:tc>
        <w:tc>
          <w:tcPr>
            <w:tcW w:w="1433" w:type="dxa"/>
            <w:tcMar>
              <w:top w:w="40" w:type="dxa"/>
              <w:left w:w="80" w:type="dxa"/>
              <w:bottom w:w="40" w:type="dxa"/>
              <w:right w:w="80" w:type="dxa"/>
            </w:tcMar>
            <w:vAlign w:val="center"/>
          </w:tcPr>
          <w:p w14:paraId="281A500A" w14:textId="77777777" w:rsidR="00A41DD1" w:rsidRPr="00BA595B" w:rsidRDefault="00A41DD1" w:rsidP="003B22C9">
            <w:pPr>
              <w:pStyle w:val="OikoTables03Content"/>
            </w:pPr>
            <w:r>
              <w:t>4.5</w:t>
            </w:r>
          </w:p>
        </w:tc>
        <w:tc>
          <w:tcPr>
            <w:tcW w:w="1433" w:type="dxa"/>
            <w:tcMar>
              <w:top w:w="40" w:type="dxa"/>
              <w:left w:w="80" w:type="dxa"/>
              <w:bottom w:w="40" w:type="dxa"/>
              <w:right w:w="80" w:type="dxa"/>
            </w:tcMar>
            <w:vAlign w:val="center"/>
          </w:tcPr>
          <w:p w14:paraId="147D692D" w14:textId="77777777" w:rsidR="00A41DD1" w:rsidRPr="00BA595B" w:rsidRDefault="00A41DD1" w:rsidP="003B22C9">
            <w:pPr>
              <w:pStyle w:val="OikoTables03Content"/>
            </w:pPr>
            <w:r>
              <w:t>5.0</w:t>
            </w:r>
          </w:p>
        </w:tc>
        <w:tc>
          <w:tcPr>
            <w:tcW w:w="1433" w:type="dxa"/>
            <w:tcMar>
              <w:top w:w="40" w:type="dxa"/>
              <w:left w:w="80" w:type="dxa"/>
              <w:bottom w:w="40" w:type="dxa"/>
              <w:right w:w="80" w:type="dxa"/>
            </w:tcMar>
            <w:vAlign w:val="center"/>
          </w:tcPr>
          <w:p w14:paraId="2A389926" w14:textId="77777777" w:rsidR="00A41DD1" w:rsidRPr="00BA595B" w:rsidRDefault="00A41DD1" w:rsidP="003B22C9">
            <w:pPr>
              <w:pStyle w:val="OikoTables03Content"/>
            </w:pPr>
            <w:r>
              <w:t>5.0</w:t>
            </w:r>
          </w:p>
        </w:tc>
      </w:tr>
      <w:tr w:rsidR="00A41DD1" w:rsidRPr="00BA595B" w14:paraId="31171B43" w14:textId="77777777" w:rsidTr="003B22C9">
        <w:trPr>
          <w:cantSplit/>
        </w:trPr>
        <w:tc>
          <w:tcPr>
            <w:tcW w:w="2470" w:type="dxa"/>
            <w:tcMar>
              <w:top w:w="40" w:type="dxa"/>
              <w:left w:w="80" w:type="dxa"/>
              <w:bottom w:w="40" w:type="dxa"/>
              <w:right w:w="80" w:type="dxa"/>
            </w:tcMar>
            <w:vAlign w:val="center"/>
          </w:tcPr>
          <w:p w14:paraId="44909227" w14:textId="77777777" w:rsidR="00A41DD1" w:rsidRPr="00BA595B" w:rsidRDefault="00A41DD1" w:rsidP="003B22C9">
            <w:pPr>
              <w:pStyle w:val="OikoTables03Content"/>
            </w:pPr>
            <w:r>
              <w:t>Affordability (0.20)</w:t>
            </w:r>
          </w:p>
        </w:tc>
        <w:tc>
          <w:tcPr>
            <w:tcW w:w="1432" w:type="dxa"/>
            <w:tcMar>
              <w:top w:w="40" w:type="dxa"/>
              <w:left w:w="80" w:type="dxa"/>
              <w:bottom w:w="40" w:type="dxa"/>
              <w:right w:w="80" w:type="dxa"/>
            </w:tcMar>
            <w:vAlign w:val="center"/>
          </w:tcPr>
          <w:p w14:paraId="7943BC01" w14:textId="77777777" w:rsidR="00A41DD1" w:rsidRPr="00BA595B" w:rsidRDefault="00A41DD1" w:rsidP="003B22C9">
            <w:pPr>
              <w:pStyle w:val="OikoTables03Content"/>
            </w:pPr>
            <w:r>
              <w:t>5.0</w:t>
            </w:r>
          </w:p>
        </w:tc>
        <w:tc>
          <w:tcPr>
            <w:tcW w:w="1433" w:type="dxa"/>
            <w:tcMar>
              <w:top w:w="40" w:type="dxa"/>
              <w:left w:w="80" w:type="dxa"/>
              <w:bottom w:w="40" w:type="dxa"/>
              <w:right w:w="80" w:type="dxa"/>
            </w:tcMar>
            <w:vAlign w:val="center"/>
          </w:tcPr>
          <w:p w14:paraId="36906A66" w14:textId="77777777" w:rsidR="00A41DD1" w:rsidRPr="00BA595B" w:rsidRDefault="00A41DD1" w:rsidP="003B22C9">
            <w:pPr>
              <w:pStyle w:val="OikoTables03Content"/>
            </w:pPr>
            <w:r>
              <w:t>3.5</w:t>
            </w:r>
          </w:p>
        </w:tc>
        <w:tc>
          <w:tcPr>
            <w:tcW w:w="1433" w:type="dxa"/>
            <w:tcMar>
              <w:top w:w="40" w:type="dxa"/>
              <w:left w:w="80" w:type="dxa"/>
              <w:bottom w:w="40" w:type="dxa"/>
              <w:right w:w="80" w:type="dxa"/>
            </w:tcMar>
            <w:vAlign w:val="center"/>
          </w:tcPr>
          <w:p w14:paraId="5D4EA498" w14:textId="77777777" w:rsidR="00A41DD1" w:rsidRPr="00BA595B" w:rsidRDefault="00A41DD1" w:rsidP="003B22C9">
            <w:pPr>
              <w:pStyle w:val="OikoTables03Content"/>
            </w:pPr>
            <w:r>
              <w:t>4.0</w:t>
            </w:r>
          </w:p>
        </w:tc>
        <w:tc>
          <w:tcPr>
            <w:tcW w:w="1433" w:type="dxa"/>
            <w:tcMar>
              <w:top w:w="40" w:type="dxa"/>
              <w:left w:w="80" w:type="dxa"/>
              <w:bottom w:w="40" w:type="dxa"/>
              <w:right w:w="80" w:type="dxa"/>
            </w:tcMar>
            <w:vAlign w:val="center"/>
          </w:tcPr>
          <w:p w14:paraId="2D0D3762" w14:textId="77777777" w:rsidR="00A41DD1" w:rsidRPr="00BA595B" w:rsidRDefault="00A41DD1" w:rsidP="003B22C9">
            <w:pPr>
              <w:pStyle w:val="OikoTables03Content"/>
            </w:pPr>
            <w:r>
              <w:t>3.0</w:t>
            </w:r>
          </w:p>
        </w:tc>
        <w:tc>
          <w:tcPr>
            <w:tcW w:w="1433" w:type="dxa"/>
            <w:tcMar>
              <w:top w:w="40" w:type="dxa"/>
              <w:left w:w="80" w:type="dxa"/>
              <w:bottom w:w="40" w:type="dxa"/>
              <w:right w:w="80" w:type="dxa"/>
            </w:tcMar>
            <w:vAlign w:val="center"/>
          </w:tcPr>
          <w:p w14:paraId="6F126E1C" w14:textId="77777777" w:rsidR="00A41DD1" w:rsidRPr="00BA595B" w:rsidRDefault="00A41DD1" w:rsidP="003B22C9">
            <w:pPr>
              <w:pStyle w:val="OikoTables03Content"/>
            </w:pPr>
            <w:r>
              <w:t>2.0</w:t>
            </w:r>
          </w:p>
        </w:tc>
      </w:tr>
      <w:tr w:rsidR="00A41DD1" w:rsidRPr="00BA595B" w14:paraId="4694E7BD" w14:textId="77777777" w:rsidTr="003B22C9">
        <w:trPr>
          <w:cantSplit/>
        </w:trPr>
        <w:tc>
          <w:tcPr>
            <w:tcW w:w="2470" w:type="dxa"/>
            <w:tcMar>
              <w:top w:w="40" w:type="dxa"/>
              <w:left w:w="80" w:type="dxa"/>
              <w:bottom w:w="40" w:type="dxa"/>
              <w:right w:w="80" w:type="dxa"/>
            </w:tcMar>
            <w:vAlign w:val="center"/>
          </w:tcPr>
          <w:p w14:paraId="5E7DB32D" w14:textId="77777777" w:rsidR="00A41DD1" w:rsidRPr="00BA595B" w:rsidRDefault="00A41DD1" w:rsidP="003B22C9">
            <w:pPr>
              <w:pStyle w:val="OikoTables03Content"/>
            </w:pPr>
            <w:r>
              <w:t>Technical simplicity (0.20)</w:t>
            </w:r>
          </w:p>
        </w:tc>
        <w:tc>
          <w:tcPr>
            <w:tcW w:w="1432" w:type="dxa"/>
            <w:tcMar>
              <w:top w:w="40" w:type="dxa"/>
              <w:left w:w="80" w:type="dxa"/>
              <w:bottom w:w="40" w:type="dxa"/>
              <w:right w:w="80" w:type="dxa"/>
            </w:tcMar>
            <w:vAlign w:val="center"/>
          </w:tcPr>
          <w:p w14:paraId="174FBD63" w14:textId="77777777" w:rsidR="00A41DD1" w:rsidRPr="00BA595B" w:rsidRDefault="00A41DD1" w:rsidP="003B22C9">
            <w:pPr>
              <w:pStyle w:val="OikoTables03Content"/>
            </w:pPr>
            <w:r>
              <w:t>5.0</w:t>
            </w:r>
          </w:p>
        </w:tc>
        <w:tc>
          <w:tcPr>
            <w:tcW w:w="1433" w:type="dxa"/>
            <w:tcMar>
              <w:top w:w="40" w:type="dxa"/>
              <w:left w:w="80" w:type="dxa"/>
              <w:bottom w:w="40" w:type="dxa"/>
              <w:right w:w="80" w:type="dxa"/>
            </w:tcMar>
            <w:vAlign w:val="center"/>
          </w:tcPr>
          <w:p w14:paraId="692131FD" w14:textId="77777777" w:rsidR="00A41DD1" w:rsidRPr="00BA595B" w:rsidRDefault="00A41DD1" w:rsidP="003B22C9">
            <w:pPr>
              <w:pStyle w:val="OikoTables03Content"/>
            </w:pPr>
            <w:r>
              <w:t>3.5</w:t>
            </w:r>
          </w:p>
        </w:tc>
        <w:tc>
          <w:tcPr>
            <w:tcW w:w="1433" w:type="dxa"/>
            <w:tcMar>
              <w:top w:w="40" w:type="dxa"/>
              <w:left w:w="80" w:type="dxa"/>
              <w:bottom w:w="40" w:type="dxa"/>
              <w:right w:w="80" w:type="dxa"/>
            </w:tcMar>
            <w:vAlign w:val="center"/>
          </w:tcPr>
          <w:p w14:paraId="3987AB80" w14:textId="77777777" w:rsidR="00A41DD1" w:rsidRPr="00BA595B" w:rsidRDefault="00A41DD1" w:rsidP="003B22C9">
            <w:pPr>
              <w:pStyle w:val="OikoTables03Content"/>
            </w:pPr>
            <w:r>
              <w:t>4.0</w:t>
            </w:r>
          </w:p>
        </w:tc>
        <w:tc>
          <w:tcPr>
            <w:tcW w:w="1433" w:type="dxa"/>
            <w:tcMar>
              <w:top w:w="40" w:type="dxa"/>
              <w:left w:w="80" w:type="dxa"/>
              <w:bottom w:w="40" w:type="dxa"/>
              <w:right w:w="80" w:type="dxa"/>
            </w:tcMar>
            <w:vAlign w:val="center"/>
          </w:tcPr>
          <w:p w14:paraId="24CB1941" w14:textId="77777777" w:rsidR="00A41DD1" w:rsidRPr="00BA595B" w:rsidRDefault="00A41DD1" w:rsidP="003B22C9">
            <w:pPr>
              <w:pStyle w:val="OikoTables03Content"/>
            </w:pPr>
            <w:r>
              <w:t>3.5</w:t>
            </w:r>
          </w:p>
        </w:tc>
        <w:tc>
          <w:tcPr>
            <w:tcW w:w="1433" w:type="dxa"/>
            <w:tcMar>
              <w:top w:w="40" w:type="dxa"/>
              <w:left w:w="80" w:type="dxa"/>
              <w:bottom w:w="40" w:type="dxa"/>
              <w:right w:w="80" w:type="dxa"/>
            </w:tcMar>
            <w:vAlign w:val="center"/>
          </w:tcPr>
          <w:p w14:paraId="1E949E98" w14:textId="77777777" w:rsidR="00A41DD1" w:rsidRPr="00BA595B" w:rsidRDefault="00A41DD1" w:rsidP="003B22C9">
            <w:pPr>
              <w:pStyle w:val="OikoTables03Content"/>
            </w:pPr>
            <w:r>
              <w:t>2.5</w:t>
            </w:r>
          </w:p>
        </w:tc>
      </w:tr>
      <w:tr w:rsidR="00A41DD1" w:rsidRPr="00BA595B" w14:paraId="003F08C9" w14:textId="77777777" w:rsidTr="003B22C9">
        <w:trPr>
          <w:cantSplit/>
        </w:trPr>
        <w:tc>
          <w:tcPr>
            <w:tcW w:w="2470" w:type="dxa"/>
            <w:tcMar>
              <w:top w:w="40" w:type="dxa"/>
              <w:left w:w="80" w:type="dxa"/>
              <w:bottom w:w="40" w:type="dxa"/>
              <w:right w:w="80" w:type="dxa"/>
            </w:tcMar>
            <w:vAlign w:val="center"/>
          </w:tcPr>
          <w:p w14:paraId="598B122E" w14:textId="77777777" w:rsidR="00A41DD1" w:rsidRPr="00BA595B" w:rsidRDefault="00A41DD1" w:rsidP="003B22C9">
            <w:pPr>
              <w:pStyle w:val="OikoTables03Content"/>
            </w:pPr>
            <w:r>
              <w:t>Insurability (0.15)</w:t>
            </w:r>
          </w:p>
        </w:tc>
        <w:tc>
          <w:tcPr>
            <w:tcW w:w="1432" w:type="dxa"/>
            <w:tcMar>
              <w:top w:w="40" w:type="dxa"/>
              <w:left w:w="80" w:type="dxa"/>
              <w:bottom w:w="40" w:type="dxa"/>
              <w:right w:w="80" w:type="dxa"/>
            </w:tcMar>
            <w:vAlign w:val="center"/>
          </w:tcPr>
          <w:p w14:paraId="4745445B" w14:textId="77777777" w:rsidR="00A41DD1" w:rsidRPr="00BA595B" w:rsidRDefault="00A41DD1" w:rsidP="003B22C9">
            <w:pPr>
              <w:pStyle w:val="OikoTables03Content"/>
            </w:pPr>
            <w:r>
              <w:t>1.0</w:t>
            </w:r>
          </w:p>
        </w:tc>
        <w:tc>
          <w:tcPr>
            <w:tcW w:w="1433" w:type="dxa"/>
            <w:tcMar>
              <w:top w:w="40" w:type="dxa"/>
              <w:left w:w="80" w:type="dxa"/>
              <w:bottom w:w="40" w:type="dxa"/>
              <w:right w:w="80" w:type="dxa"/>
            </w:tcMar>
            <w:vAlign w:val="center"/>
          </w:tcPr>
          <w:p w14:paraId="475C2223" w14:textId="77777777" w:rsidR="00A41DD1" w:rsidRPr="00BA595B" w:rsidRDefault="00A41DD1" w:rsidP="003B22C9">
            <w:pPr>
              <w:pStyle w:val="OikoTables03Content"/>
            </w:pPr>
            <w:r>
              <w:t>3.0</w:t>
            </w:r>
          </w:p>
        </w:tc>
        <w:tc>
          <w:tcPr>
            <w:tcW w:w="1433" w:type="dxa"/>
            <w:tcMar>
              <w:top w:w="40" w:type="dxa"/>
              <w:left w:w="80" w:type="dxa"/>
              <w:bottom w:w="40" w:type="dxa"/>
              <w:right w:w="80" w:type="dxa"/>
            </w:tcMar>
            <w:vAlign w:val="center"/>
          </w:tcPr>
          <w:p w14:paraId="349672B4" w14:textId="77777777" w:rsidR="00A41DD1" w:rsidRPr="00BA595B" w:rsidRDefault="00A41DD1" w:rsidP="003B22C9">
            <w:pPr>
              <w:pStyle w:val="OikoTables03Content"/>
            </w:pPr>
            <w:r>
              <w:t>4.0</w:t>
            </w:r>
          </w:p>
        </w:tc>
        <w:tc>
          <w:tcPr>
            <w:tcW w:w="1433" w:type="dxa"/>
            <w:tcMar>
              <w:top w:w="40" w:type="dxa"/>
              <w:left w:w="80" w:type="dxa"/>
              <w:bottom w:w="40" w:type="dxa"/>
              <w:right w:w="80" w:type="dxa"/>
            </w:tcMar>
            <w:vAlign w:val="center"/>
          </w:tcPr>
          <w:p w14:paraId="0ABB4301" w14:textId="77777777" w:rsidR="00A41DD1" w:rsidRPr="00BA595B" w:rsidRDefault="00A41DD1" w:rsidP="003B22C9">
            <w:pPr>
              <w:pStyle w:val="OikoTables03Content"/>
            </w:pPr>
            <w:r>
              <w:t>5.0</w:t>
            </w:r>
          </w:p>
        </w:tc>
        <w:tc>
          <w:tcPr>
            <w:tcW w:w="1433" w:type="dxa"/>
            <w:tcMar>
              <w:top w:w="40" w:type="dxa"/>
              <w:left w:w="80" w:type="dxa"/>
              <w:bottom w:w="40" w:type="dxa"/>
              <w:right w:w="80" w:type="dxa"/>
            </w:tcMar>
            <w:vAlign w:val="center"/>
          </w:tcPr>
          <w:p w14:paraId="4D062826" w14:textId="77777777" w:rsidR="00A41DD1" w:rsidRPr="00BA595B" w:rsidRDefault="00A41DD1" w:rsidP="003B22C9">
            <w:pPr>
              <w:pStyle w:val="OikoTables03Content"/>
            </w:pPr>
            <w:r>
              <w:t>4.0</w:t>
            </w:r>
          </w:p>
        </w:tc>
      </w:tr>
      <w:tr w:rsidR="00A41DD1" w:rsidRPr="00BA595B" w14:paraId="3761FC41" w14:textId="77777777" w:rsidTr="003B22C9">
        <w:trPr>
          <w:cantSplit/>
        </w:trPr>
        <w:tc>
          <w:tcPr>
            <w:tcW w:w="2470" w:type="dxa"/>
            <w:tcMar>
              <w:top w:w="40" w:type="dxa"/>
              <w:left w:w="80" w:type="dxa"/>
              <w:bottom w:w="40" w:type="dxa"/>
              <w:right w:w="80" w:type="dxa"/>
            </w:tcMar>
            <w:vAlign w:val="center"/>
          </w:tcPr>
          <w:p w14:paraId="0D40A55E" w14:textId="77777777" w:rsidR="00A41DD1" w:rsidRPr="00BA595B" w:rsidRDefault="00A41DD1" w:rsidP="003B22C9">
            <w:pPr>
              <w:pStyle w:val="OikoTables03Content"/>
            </w:pPr>
            <w:r>
              <w:t>Environmental (0.15)</w:t>
            </w:r>
          </w:p>
        </w:tc>
        <w:tc>
          <w:tcPr>
            <w:tcW w:w="1432" w:type="dxa"/>
            <w:tcMar>
              <w:top w:w="40" w:type="dxa"/>
              <w:left w:w="80" w:type="dxa"/>
              <w:bottom w:w="40" w:type="dxa"/>
              <w:right w:w="80" w:type="dxa"/>
            </w:tcMar>
            <w:vAlign w:val="center"/>
          </w:tcPr>
          <w:p w14:paraId="0414D049" w14:textId="77777777" w:rsidR="00A41DD1" w:rsidRPr="00BA595B" w:rsidRDefault="00A41DD1" w:rsidP="003B22C9">
            <w:pPr>
              <w:pStyle w:val="OikoTables03Content"/>
            </w:pPr>
            <w:r>
              <w:t>1.5</w:t>
            </w:r>
          </w:p>
        </w:tc>
        <w:tc>
          <w:tcPr>
            <w:tcW w:w="1433" w:type="dxa"/>
            <w:tcMar>
              <w:top w:w="40" w:type="dxa"/>
              <w:left w:w="80" w:type="dxa"/>
              <w:bottom w:w="40" w:type="dxa"/>
              <w:right w:w="80" w:type="dxa"/>
            </w:tcMar>
            <w:vAlign w:val="center"/>
          </w:tcPr>
          <w:p w14:paraId="2D8726CD" w14:textId="77777777" w:rsidR="00A41DD1" w:rsidRPr="00BA595B" w:rsidRDefault="00A41DD1" w:rsidP="003B22C9">
            <w:pPr>
              <w:pStyle w:val="OikoTables03Content"/>
            </w:pPr>
            <w:r>
              <w:t>3.0</w:t>
            </w:r>
          </w:p>
        </w:tc>
        <w:tc>
          <w:tcPr>
            <w:tcW w:w="1433" w:type="dxa"/>
            <w:tcMar>
              <w:top w:w="40" w:type="dxa"/>
              <w:left w:w="80" w:type="dxa"/>
              <w:bottom w:w="40" w:type="dxa"/>
              <w:right w:w="80" w:type="dxa"/>
            </w:tcMar>
            <w:vAlign w:val="center"/>
          </w:tcPr>
          <w:p w14:paraId="34E84A16" w14:textId="77777777" w:rsidR="00A41DD1" w:rsidRPr="00BA595B" w:rsidRDefault="00A41DD1" w:rsidP="003B22C9">
            <w:pPr>
              <w:pStyle w:val="OikoTables03Content"/>
            </w:pPr>
            <w:r>
              <w:t>4.5</w:t>
            </w:r>
          </w:p>
        </w:tc>
        <w:tc>
          <w:tcPr>
            <w:tcW w:w="1433" w:type="dxa"/>
            <w:tcMar>
              <w:top w:w="40" w:type="dxa"/>
              <w:left w:w="80" w:type="dxa"/>
              <w:bottom w:w="40" w:type="dxa"/>
              <w:right w:w="80" w:type="dxa"/>
            </w:tcMar>
            <w:vAlign w:val="center"/>
          </w:tcPr>
          <w:p w14:paraId="4E6F091B" w14:textId="77777777" w:rsidR="00A41DD1" w:rsidRPr="00BA595B" w:rsidRDefault="00A41DD1" w:rsidP="003B22C9">
            <w:pPr>
              <w:pStyle w:val="OikoTables03Content"/>
            </w:pPr>
            <w:r>
              <w:t>5.0</w:t>
            </w:r>
          </w:p>
        </w:tc>
        <w:tc>
          <w:tcPr>
            <w:tcW w:w="1433" w:type="dxa"/>
            <w:tcMar>
              <w:top w:w="40" w:type="dxa"/>
              <w:left w:w="80" w:type="dxa"/>
              <w:bottom w:w="40" w:type="dxa"/>
              <w:right w:w="80" w:type="dxa"/>
            </w:tcMar>
            <w:vAlign w:val="center"/>
          </w:tcPr>
          <w:p w14:paraId="14BD25DB" w14:textId="77777777" w:rsidR="00A41DD1" w:rsidRPr="00BA595B" w:rsidRDefault="00A41DD1" w:rsidP="003B22C9">
            <w:pPr>
              <w:pStyle w:val="OikoTables03Content"/>
            </w:pPr>
            <w:r>
              <w:t>5.0</w:t>
            </w:r>
          </w:p>
        </w:tc>
      </w:tr>
      <w:tr w:rsidR="00A41DD1" w:rsidRPr="00BA595B" w14:paraId="6B7B33C2" w14:textId="77777777" w:rsidTr="003B22C9">
        <w:trPr>
          <w:cantSplit/>
        </w:trPr>
        <w:tc>
          <w:tcPr>
            <w:tcW w:w="2470" w:type="dxa"/>
            <w:shd w:val="clear" w:color="auto" w:fill="F6D7C4" w:themeFill="accent3" w:themeFillTint="66"/>
            <w:tcMar>
              <w:top w:w="40" w:type="dxa"/>
              <w:left w:w="80" w:type="dxa"/>
              <w:bottom w:w="40" w:type="dxa"/>
              <w:right w:w="80" w:type="dxa"/>
            </w:tcMar>
            <w:vAlign w:val="center"/>
          </w:tcPr>
          <w:p w14:paraId="45171E35" w14:textId="77777777" w:rsidR="00A41DD1" w:rsidRPr="00E23A16" w:rsidRDefault="00A41DD1" w:rsidP="003B22C9">
            <w:pPr>
              <w:pStyle w:val="OikoTables03Content"/>
              <w:rPr>
                <w:b/>
                <w:bCs/>
              </w:rPr>
            </w:pPr>
            <w:r w:rsidRPr="00E23A16">
              <w:rPr>
                <w:b/>
                <w:bCs/>
              </w:rPr>
              <w:t>WEIGHTED SCORE</w:t>
            </w:r>
          </w:p>
        </w:tc>
        <w:tc>
          <w:tcPr>
            <w:tcW w:w="1432" w:type="dxa"/>
            <w:shd w:val="clear" w:color="auto" w:fill="F6D7C4" w:themeFill="accent3" w:themeFillTint="66"/>
            <w:tcMar>
              <w:top w:w="40" w:type="dxa"/>
              <w:left w:w="80" w:type="dxa"/>
              <w:bottom w:w="40" w:type="dxa"/>
              <w:right w:w="80" w:type="dxa"/>
            </w:tcMar>
            <w:vAlign w:val="center"/>
          </w:tcPr>
          <w:p w14:paraId="22EEB3DE" w14:textId="77777777" w:rsidR="00A41DD1" w:rsidRPr="00E23A16" w:rsidRDefault="00A41DD1" w:rsidP="003B22C9">
            <w:pPr>
              <w:pStyle w:val="OikoTables03Content"/>
              <w:rPr>
                <w:b/>
                <w:bCs/>
              </w:rPr>
            </w:pPr>
            <w:r w:rsidRPr="00E23A16">
              <w:rPr>
                <w:b/>
                <w:bCs/>
              </w:rPr>
              <w:t>2.83</w:t>
            </w:r>
          </w:p>
        </w:tc>
        <w:tc>
          <w:tcPr>
            <w:tcW w:w="1433" w:type="dxa"/>
            <w:shd w:val="clear" w:color="auto" w:fill="F6D7C4" w:themeFill="accent3" w:themeFillTint="66"/>
            <w:tcMar>
              <w:top w:w="40" w:type="dxa"/>
              <w:left w:w="80" w:type="dxa"/>
              <w:bottom w:w="40" w:type="dxa"/>
              <w:right w:w="80" w:type="dxa"/>
            </w:tcMar>
            <w:vAlign w:val="center"/>
          </w:tcPr>
          <w:p w14:paraId="3A77129B" w14:textId="77777777" w:rsidR="00A41DD1" w:rsidRPr="00E23A16" w:rsidRDefault="00A41DD1" w:rsidP="003B22C9">
            <w:pPr>
              <w:pStyle w:val="OikoTables03Content"/>
              <w:rPr>
                <w:b/>
                <w:bCs/>
              </w:rPr>
            </w:pPr>
            <w:r w:rsidRPr="00E23A16">
              <w:rPr>
                <w:b/>
                <w:bCs/>
              </w:rPr>
              <w:t>3.20</w:t>
            </w:r>
          </w:p>
        </w:tc>
        <w:tc>
          <w:tcPr>
            <w:tcW w:w="1433" w:type="dxa"/>
            <w:shd w:val="clear" w:color="auto" w:fill="F6D7C4" w:themeFill="accent3" w:themeFillTint="66"/>
            <w:tcMar>
              <w:top w:w="40" w:type="dxa"/>
              <w:left w:w="80" w:type="dxa"/>
              <w:bottom w:w="40" w:type="dxa"/>
              <w:right w:w="80" w:type="dxa"/>
            </w:tcMar>
            <w:vAlign w:val="center"/>
          </w:tcPr>
          <w:p w14:paraId="05119EAD" w14:textId="77777777" w:rsidR="00A41DD1" w:rsidRPr="00E23A16" w:rsidRDefault="00A41DD1" w:rsidP="003B22C9">
            <w:pPr>
              <w:pStyle w:val="OikoTables03Content"/>
              <w:rPr>
                <w:b/>
                <w:bCs/>
              </w:rPr>
            </w:pPr>
            <w:r w:rsidRPr="00E23A16">
              <w:rPr>
                <w:b/>
                <w:bCs/>
              </w:rPr>
              <w:t>4.23</w:t>
            </w:r>
          </w:p>
        </w:tc>
        <w:tc>
          <w:tcPr>
            <w:tcW w:w="1433" w:type="dxa"/>
            <w:shd w:val="clear" w:color="auto" w:fill="F6D7C4" w:themeFill="accent3" w:themeFillTint="66"/>
            <w:tcMar>
              <w:top w:w="40" w:type="dxa"/>
              <w:left w:w="80" w:type="dxa"/>
              <w:bottom w:w="40" w:type="dxa"/>
              <w:right w:w="80" w:type="dxa"/>
            </w:tcMar>
            <w:vAlign w:val="center"/>
          </w:tcPr>
          <w:p w14:paraId="10010893" w14:textId="77777777" w:rsidR="00A41DD1" w:rsidRPr="00E23A16" w:rsidRDefault="00A41DD1" w:rsidP="003B22C9">
            <w:pPr>
              <w:pStyle w:val="OikoTables03Content"/>
              <w:rPr>
                <w:b/>
                <w:bCs/>
              </w:rPr>
            </w:pPr>
            <w:r w:rsidRPr="00E23A16">
              <w:rPr>
                <w:b/>
                <w:bCs/>
              </w:rPr>
              <w:t>4.30</w:t>
            </w:r>
          </w:p>
        </w:tc>
        <w:tc>
          <w:tcPr>
            <w:tcW w:w="1433" w:type="dxa"/>
            <w:shd w:val="clear" w:color="auto" w:fill="F6D7C4" w:themeFill="accent3" w:themeFillTint="66"/>
            <w:tcMar>
              <w:top w:w="40" w:type="dxa"/>
              <w:left w:w="80" w:type="dxa"/>
              <w:bottom w:w="40" w:type="dxa"/>
              <w:right w:w="80" w:type="dxa"/>
            </w:tcMar>
            <w:vAlign w:val="center"/>
          </w:tcPr>
          <w:p w14:paraId="12B2ABF3" w14:textId="77777777" w:rsidR="00A41DD1" w:rsidRPr="00E23A16" w:rsidRDefault="00A41DD1" w:rsidP="003B22C9">
            <w:pPr>
              <w:pStyle w:val="OikoTables03Content"/>
              <w:rPr>
                <w:b/>
                <w:bCs/>
              </w:rPr>
            </w:pPr>
            <w:r w:rsidRPr="00E23A16">
              <w:rPr>
                <w:b/>
                <w:bCs/>
              </w:rPr>
              <w:t>3.75</w:t>
            </w:r>
          </w:p>
        </w:tc>
      </w:tr>
    </w:tbl>
    <w:p w14:paraId="0E35EA77" w14:textId="77777777" w:rsidR="003B22C9" w:rsidRDefault="003B22C9" w:rsidP="003B22C9">
      <w:pPr>
        <w:pStyle w:val="Caption"/>
        <w:framePr w:wrap="notBeside"/>
      </w:pPr>
    </w:p>
    <w:p w14:paraId="707D994D" w14:textId="50F2D082" w:rsidR="00A41DD1" w:rsidRDefault="00A41DD1" w:rsidP="003B22C9">
      <w:pPr>
        <w:pStyle w:val="Caption"/>
        <w:framePr w:wrap="notBeside"/>
      </w:pPr>
      <w:r>
        <w:t>Table A1.4 Agroforestry MCA – weighted scores</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2113"/>
        <w:gridCol w:w="918"/>
        <w:gridCol w:w="927"/>
        <w:gridCol w:w="914"/>
        <w:gridCol w:w="995"/>
        <w:gridCol w:w="976"/>
        <w:gridCol w:w="914"/>
        <w:gridCol w:w="915"/>
        <w:gridCol w:w="962"/>
      </w:tblGrid>
      <w:tr w:rsidR="00A41DD1" w:rsidRPr="00BA595B" w14:paraId="766B3EEB" w14:textId="77777777" w:rsidTr="003B22C9">
        <w:trPr>
          <w:cantSplit/>
          <w:tblHeader/>
        </w:trPr>
        <w:tc>
          <w:tcPr>
            <w:tcW w:w="2170" w:type="dxa"/>
            <w:shd w:val="clear" w:color="auto" w:fill="E99E6D" w:themeFill="accent3"/>
            <w:tcMar>
              <w:top w:w="40" w:type="dxa"/>
              <w:left w:w="80" w:type="dxa"/>
              <w:bottom w:w="40" w:type="dxa"/>
              <w:right w:w="80" w:type="dxa"/>
            </w:tcMar>
            <w:vAlign w:val="center"/>
          </w:tcPr>
          <w:p w14:paraId="1D6F1AAF" w14:textId="77777777" w:rsidR="00A41DD1" w:rsidRPr="00BA595B" w:rsidRDefault="00A41DD1" w:rsidP="003B22C9">
            <w:pPr>
              <w:pStyle w:val="OikoTables02"/>
            </w:pPr>
            <w:r>
              <w:t>Model</w:t>
            </w:r>
          </w:p>
        </w:tc>
        <w:tc>
          <w:tcPr>
            <w:tcW w:w="933" w:type="dxa"/>
            <w:shd w:val="clear" w:color="auto" w:fill="E99E6D" w:themeFill="accent3"/>
            <w:tcMar>
              <w:top w:w="40" w:type="dxa"/>
              <w:left w:w="80" w:type="dxa"/>
              <w:bottom w:w="40" w:type="dxa"/>
              <w:right w:w="80" w:type="dxa"/>
            </w:tcMar>
            <w:vAlign w:val="center"/>
          </w:tcPr>
          <w:p w14:paraId="4A5F5ADB" w14:textId="77777777" w:rsidR="00A41DD1" w:rsidRPr="00BA595B" w:rsidRDefault="00A41DD1" w:rsidP="003B22C9">
            <w:pPr>
              <w:pStyle w:val="OikoTables02"/>
            </w:pPr>
            <w:r>
              <w:t>Water (0.20)</w:t>
            </w:r>
          </w:p>
        </w:tc>
        <w:tc>
          <w:tcPr>
            <w:tcW w:w="933" w:type="dxa"/>
            <w:shd w:val="clear" w:color="auto" w:fill="E99E6D" w:themeFill="accent3"/>
            <w:tcMar>
              <w:top w:w="40" w:type="dxa"/>
              <w:left w:w="80" w:type="dxa"/>
              <w:bottom w:w="40" w:type="dxa"/>
              <w:right w:w="80" w:type="dxa"/>
            </w:tcMar>
            <w:vAlign w:val="center"/>
          </w:tcPr>
          <w:p w14:paraId="472D4EA3" w14:textId="77777777" w:rsidR="00A41DD1" w:rsidRPr="00BA595B" w:rsidRDefault="00A41DD1" w:rsidP="003B22C9">
            <w:pPr>
              <w:pStyle w:val="OikoTables02"/>
            </w:pPr>
            <w:r>
              <w:t>Climate (0.20)</w:t>
            </w:r>
          </w:p>
        </w:tc>
        <w:tc>
          <w:tcPr>
            <w:tcW w:w="933" w:type="dxa"/>
            <w:shd w:val="clear" w:color="auto" w:fill="E99E6D" w:themeFill="accent3"/>
            <w:tcMar>
              <w:top w:w="40" w:type="dxa"/>
              <w:left w:w="80" w:type="dxa"/>
              <w:bottom w:w="40" w:type="dxa"/>
              <w:right w:w="80" w:type="dxa"/>
            </w:tcMar>
            <w:vAlign w:val="center"/>
          </w:tcPr>
          <w:p w14:paraId="302E9D34" w14:textId="77777777" w:rsidR="00A41DD1" w:rsidRPr="00BA595B" w:rsidRDefault="00A41DD1" w:rsidP="003B22C9">
            <w:pPr>
              <w:pStyle w:val="OikoTables02"/>
            </w:pPr>
            <w:r>
              <w:t>Soil (0.15)</w:t>
            </w:r>
          </w:p>
        </w:tc>
        <w:tc>
          <w:tcPr>
            <w:tcW w:w="933" w:type="dxa"/>
            <w:shd w:val="clear" w:color="auto" w:fill="E99E6D" w:themeFill="accent3"/>
            <w:tcMar>
              <w:top w:w="40" w:type="dxa"/>
              <w:left w:w="80" w:type="dxa"/>
              <w:bottom w:w="40" w:type="dxa"/>
              <w:right w:w="80" w:type="dxa"/>
            </w:tcMar>
            <w:vAlign w:val="center"/>
          </w:tcPr>
          <w:p w14:paraId="0751B381" w14:textId="77777777" w:rsidR="00A41DD1" w:rsidRPr="00BA595B" w:rsidRDefault="00A41DD1" w:rsidP="003B22C9">
            <w:pPr>
              <w:pStyle w:val="OikoTables02"/>
            </w:pPr>
            <w:proofErr w:type="gramStart"/>
            <w:r>
              <w:t>Economic</w:t>
            </w:r>
            <w:proofErr w:type="gramEnd"/>
            <w:r>
              <w:t xml:space="preserve"> (0.15)</w:t>
            </w:r>
          </w:p>
        </w:tc>
        <w:tc>
          <w:tcPr>
            <w:tcW w:w="933" w:type="dxa"/>
            <w:shd w:val="clear" w:color="auto" w:fill="E99E6D" w:themeFill="accent3"/>
            <w:tcMar>
              <w:top w:w="40" w:type="dxa"/>
              <w:left w:w="80" w:type="dxa"/>
              <w:bottom w:w="40" w:type="dxa"/>
              <w:right w:w="80" w:type="dxa"/>
            </w:tcMar>
            <w:vAlign w:val="center"/>
          </w:tcPr>
          <w:p w14:paraId="646006A5" w14:textId="77777777" w:rsidR="00A41DD1" w:rsidRPr="00BA595B" w:rsidRDefault="00A41DD1" w:rsidP="003B22C9">
            <w:pPr>
              <w:pStyle w:val="OikoTables02"/>
            </w:pPr>
            <w:r>
              <w:t>Technical (0.10)</w:t>
            </w:r>
          </w:p>
        </w:tc>
        <w:tc>
          <w:tcPr>
            <w:tcW w:w="933" w:type="dxa"/>
            <w:shd w:val="clear" w:color="auto" w:fill="E99E6D" w:themeFill="accent3"/>
            <w:tcMar>
              <w:top w:w="40" w:type="dxa"/>
              <w:left w:w="80" w:type="dxa"/>
              <w:bottom w:w="40" w:type="dxa"/>
              <w:right w:w="80" w:type="dxa"/>
            </w:tcMar>
            <w:vAlign w:val="center"/>
          </w:tcPr>
          <w:p w14:paraId="52EBDD47" w14:textId="77777777" w:rsidR="00A41DD1" w:rsidRPr="00BA595B" w:rsidRDefault="00A41DD1" w:rsidP="003B22C9">
            <w:pPr>
              <w:pStyle w:val="OikoTables02"/>
            </w:pPr>
            <w:r>
              <w:t>Time (0.10)</w:t>
            </w:r>
          </w:p>
        </w:tc>
        <w:tc>
          <w:tcPr>
            <w:tcW w:w="933" w:type="dxa"/>
            <w:shd w:val="clear" w:color="auto" w:fill="E99E6D" w:themeFill="accent3"/>
            <w:tcMar>
              <w:top w:w="40" w:type="dxa"/>
              <w:left w:w="80" w:type="dxa"/>
              <w:bottom w:w="40" w:type="dxa"/>
              <w:right w:w="80" w:type="dxa"/>
            </w:tcMar>
            <w:vAlign w:val="center"/>
          </w:tcPr>
          <w:p w14:paraId="3D94D7DE" w14:textId="77777777" w:rsidR="00A41DD1" w:rsidRPr="00BA595B" w:rsidRDefault="00A41DD1" w:rsidP="003B22C9">
            <w:pPr>
              <w:pStyle w:val="OikoTables02"/>
            </w:pPr>
            <w:r>
              <w:t>Scale (0.10)</w:t>
            </w:r>
          </w:p>
        </w:tc>
        <w:tc>
          <w:tcPr>
            <w:tcW w:w="933" w:type="dxa"/>
            <w:shd w:val="clear" w:color="auto" w:fill="E99E6D" w:themeFill="accent3"/>
            <w:tcMar>
              <w:top w:w="40" w:type="dxa"/>
              <w:left w:w="80" w:type="dxa"/>
              <w:bottom w:w="40" w:type="dxa"/>
              <w:right w:w="80" w:type="dxa"/>
            </w:tcMar>
            <w:vAlign w:val="center"/>
          </w:tcPr>
          <w:p w14:paraId="122A28C8" w14:textId="77777777" w:rsidR="00A41DD1" w:rsidRPr="00BA595B" w:rsidRDefault="00A41DD1" w:rsidP="003B22C9">
            <w:pPr>
              <w:pStyle w:val="OikoTables02"/>
            </w:pPr>
            <w:r>
              <w:t>Weighted score</w:t>
            </w:r>
          </w:p>
        </w:tc>
      </w:tr>
      <w:tr w:rsidR="00A41DD1" w:rsidRPr="00BA595B" w14:paraId="30E6AF22" w14:textId="77777777" w:rsidTr="00A33749">
        <w:trPr>
          <w:cantSplit/>
        </w:trPr>
        <w:tc>
          <w:tcPr>
            <w:tcW w:w="2170" w:type="dxa"/>
            <w:tcMar>
              <w:top w:w="40" w:type="dxa"/>
              <w:left w:w="80" w:type="dxa"/>
              <w:bottom w:w="40" w:type="dxa"/>
              <w:right w:w="80" w:type="dxa"/>
            </w:tcMar>
            <w:vAlign w:val="center"/>
          </w:tcPr>
          <w:p w14:paraId="0B59BB67" w14:textId="77777777" w:rsidR="00A41DD1" w:rsidRPr="00BA595B" w:rsidRDefault="00A41DD1" w:rsidP="003B22C9">
            <w:pPr>
              <w:pStyle w:val="OikoTables03Content"/>
            </w:pPr>
            <w:r>
              <w:t>Windbreaks / shelterbelts</w:t>
            </w:r>
          </w:p>
        </w:tc>
        <w:tc>
          <w:tcPr>
            <w:tcW w:w="933" w:type="dxa"/>
            <w:tcMar>
              <w:top w:w="40" w:type="dxa"/>
              <w:left w:w="80" w:type="dxa"/>
              <w:bottom w:w="40" w:type="dxa"/>
              <w:right w:w="80" w:type="dxa"/>
            </w:tcMar>
            <w:vAlign w:val="center"/>
          </w:tcPr>
          <w:p w14:paraId="0C7725FA" w14:textId="77777777" w:rsidR="00A41DD1" w:rsidRPr="00BA595B" w:rsidRDefault="00A41DD1" w:rsidP="003B22C9">
            <w:pPr>
              <w:pStyle w:val="OikoTables03Content"/>
            </w:pPr>
            <w:r>
              <w:t>5</w:t>
            </w:r>
          </w:p>
        </w:tc>
        <w:tc>
          <w:tcPr>
            <w:tcW w:w="933" w:type="dxa"/>
            <w:tcMar>
              <w:top w:w="40" w:type="dxa"/>
              <w:left w:w="80" w:type="dxa"/>
              <w:bottom w:w="40" w:type="dxa"/>
              <w:right w:w="80" w:type="dxa"/>
            </w:tcMar>
            <w:vAlign w:val="center"/>
          </w:tcPr>
          <w:p w14:paraId="51F8AD34" w14:textId="77777777" w:rsidR="00A41DD1" w:rsidRPr="00BA595B" w:rsidRDefault="00A41DD1" w:rsidP="003B22C9">
            <w:pPr>
              <w:pStyle w:val="OikoTables03Content"/>
            </w:pPr>
            <w:r>
              <w:t>5</w:t>
            </w:r>
          </w:p>
        </w:tc>
        <w:tc>
          <w:tcPr>
            <w:tcW w:w="933" w:type="dxa"/>
            <w:tcMar>
              <w:top w:w="40" w:type="dxa"/>
              <w:left w:w="80" w:type="dxa"/>
              <w:bottom w:w="40" w:type="dxa"/>
              <w:right w:w="80" w:type="dxa"/>
            </w:tcMar>
            <w:vAlign w:val="center"/>
          </w:tcPr>
          <w:p w14:paraId="4C19855F" w14:textId="77777777" w:rsidR="00A41DD1" w:rsidRPr="00BA595B" w:rsidRDefault="00A41DD1" w:rsidP="003B22C9">
            <w:pPr>
              <w:pStyle w:val="OikoTables03Content"/>
            </w:pPr>
            <w:r>
              <w:t>4</w:t>
            </w:r>
          </w:p>
        </w:tc>
        <w:tc>
          <w:tcPr>
            <w:tcW w:w="933" w:type="dxa"/>
            <w:tcMar>
              <w:top w:w="40" w:type="dxa"/>
              <w:left w:w="80" w:type="dxa"/>
              <w:bottom w:w="40" w:type="dxa"/>
              <w:right w:w="80" w:type="dxa"/>
            </w:tcMar>
            <w:vAlign w:val="center"/>
          </w:tcPr>
          <w:p w14:paraId="0A1E736B"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4D3E848C" w14:textId="77777777" w:rsidR="00A41DD1" w:rsidRPr="00BA595B" w:rsidRDefault="00A41DD1" w:rsidP="003B22C9">
            <w:pPr>
              <w:pStyle w:val="OikoTables03Content"/>
            </w:pPr>
            <w:r>
              <w:t>4</w:t>
            </w:r>
          </w:p>
        </w:tc>
        <w:tc>
          <w:tcPr>
            <w:tcW w:w="933" w:type="dxa"/>
            <w:tcMar>
              <w:top w:w="40" w:type="dxa"/>
              <w:left w:w="80" w:type="dxa"/>
              <w:bottom w:w="40" w:type="dxa"/>
              <w:right w:w="80" w:type="dxa"/>
            </w:tcMar>
            <w:vAlign w:val="center"/>
          </w:tcPr>
          <w:p w14:paraId="726FBCEF"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43B00101" w14:textId="77777777" w:rsidR="00A41DD1" w:rsidRPr="00BA595B" w:rsidRDefault="00A41DD1" w:rsidP="003B22C9">
            <w:pPr>
              <w:pStyle w:val="OikoTables03Content"/>
            </w:pPr>
            <w:r>
              <w:t>5</w:t>
            </w:r>
          </w:p>
        </w:tc>
        <w:tc>
          <w:tcPr>
            <w:tcW w:w="933" w:type="dxa"/>
            <w:shd w:val="clear" w:color="auto" w:fill="F6D7C4" w:themeFill="accent3" w:themeFillTint="66"/>
            <w:tcMar>
              <w:top w:w="40" w:type="dxa"/>
              <w:left w:w="80" w:type="dxa"/>
              <w:bottom w:w="40" w:type="dxa"/>
              <w:right w:w="80" w:type="dxa"/>
            </w:tcMar>
            <w:vAlign w:val="center"/>
          </w:tcPr>
          <w:p w14:paraId="522357A8" w14:textId="77777777" w:rsidR="00A41DD1" w:rsidRPr="00E23A16" w:rsidRDefault="00A41DD1" w:rsidP="003B22C9">
            <w:pPr>
              <w:pStyle w:val="OikoTables03Content"/>
              <w:rPr>
                <w:b/>
                <w:bCs/>
              </w:rPr>
            </w:pPr>
            <w:r w:rsidRPr="00E23A16">
              <w:rPr>
                <w:b/>
                <w:bCs/>
              </w:rPr>
              <w:t>4.25</w:t>
            </w:r>
          </w:p>
        </w:tc>
      </w:tr>
      <w:tr w:rsidR="00A41DD1" w:rsidRPr="00BA595B" w14:paraId="70070D51" w14:textId="77777777" w:rsidTr="00A33749">
        <w:trPr>
          <w:cantSplit/>
        </w:trPr>
        <w:tc>
          <w:tcPr>
            <w:tcW w:w="2170" w:type="dxa"/>
            <w:tcMar>
              <w:top w:w="40" w:type="dxa"/>
              <w:left w:w="80" w:type="dxa"/>
              <w:bottom w:w="40" w:type="dxa"/>
              <w:right w:w="80" w:type="dxa"/>
            </w:tcMar>
            <w:vAlign w:val="center"/>
          </w:tcPr>
          <w:p w14:paraId="1CD982CC" w14:textId="77777777" w:rsidR="00A41DD1" w:rsidRPr="00BA595B" w:rsidRDefault="00A41DD1" w:rsidP="003B22C9">
            <w:pPr>
              <w:pStyle w:val="OikoTables03Content"/>
            </w:pPr>
            <w:proofErr w:type="spellStart"/>
            <w:r>
              <w:t>Agro-silvo</w:t>
            </w:r>
            <w:proofErr w:type="spellEnd"/>
            <w:r>
              <w:t xml:space="preserve"> (oasis agroforestry)</w:t>
            </w:r>
          </w:p>
        </w:tc>
        <w:tc>
          <w:tcPr>
            <w:tcW w:w="933" w:type="dxa"/>
            <w:tcMar>
              <w:top w:w="40" w:type="dxa"/>
              <w:left w:w="80" w:type="dxa"/>
              <w:bottom w:w="40" w:type="dxa"/>
              <w:right w:w="80" w:type="dxa"/>
            </w:tcMar>
            <w:vAlign w:val="center"/>
          </w:tcPr>
          <w:p w14:paraId="5F7B7E9C" w14:textId="77777777" w:rsidR="00A41DD1" w:rsidRPr="00BA595B" w:rsidRDefault="00A41DD1" w:rsidP="003B22C9">
            <w:pPr>
              <w:pStyle w:val="OikoTables03Content"/>
            </w:pPr>
            <w:r>
              <w:t>5</w:t>
            </w:r>
          </w:p>
        </w:tc>
        <w:tc>
          <w:tcPr>
            <w:tcW w:w="933" w:type="dxa"/>
            <w:tcMar>
              <w:top w:w="40" w:type="dxa"/>
              <w:left w:w="80" w:type="dxa"/>
              <w:bottom w:w="40" w:type="dxa"/>
              <w:right w:w="80" w:type="dxa"/>
            </w:tcMar>
            <w:vAlign w:val="center"/>
          </w:tcPr>
          <w:p w14:paraId="1FB510D9" w14:textId="77777777" w:rsidR="00A41DD1" w:rsidRPr="00BA595B" w:rsidRDefault="00A41DD1" w:rsidP="003B22C9">
            <w:pPr>
              <w:pStyle w:val="OikoTables03Content"/>
            </w:pPr>
            <w:r>
              <w:t>5</w:t>
            </w:r>
          </w:p>
        </w:tc>
        <w:tc>
          <w:tcPr>
            <w:tcW w:w="933" w:type="dxa"/>
            <w:tcMar>
              <w:top w:w="40" w:type="dxa"/>
              <w:left w:w="80" w:type="dxa"/>
              <w:bottom w:w="40" w:type="dxa"/>
              <w:right w:w="80" w:type="dxa"/>
            </w:tcMar>
            <w:vAlign w:val="center"/>
          </w:tcPr>
          <w:p w14:paraId="00541713" w14:textId="77777777" w:rsidR="00A41DD1" w:rsidRPr="00BA595B" w:rsidRDefault="00A41DD1" w:rsidP="003B22C9">
            <w:pPr>
              <w:pStyle w:val="OikoTables03Content"/>
            </w:pPr>
            <w:r>
              <w:t>4</w:t>
            </w:r>
          </w:p>
        </w:tc>
        <w:tc>
          <w:tcPr>
            <w:tcW w:w="933" w:type="dxa"/>
            <w:tcMar>
              <w:top w:w="40" w:type="dxa"/>
              <w:left w:w="80" w:type="dxa"/>
              <w:bottom w:w="40" w:type="dxa"/>
              <w:right w:w="80" w:type="dxa"/>
            </w:tcMar>
            <w:vAlign w:val="center"/>
          </w:tcPr>
          <w:p w14:paraId="3505D6E5" w14:textId="77777777" w:rsidR="00A41DD1" w:rsidRPr="00BA595B" w:rsidRDefault="00A41DD1" w:rsidP="003B22C9">
            <w:pPr>
              <w:pStyle w:val="OikoTables03Content"/>
            </w:pPr>
            <w:r>
              <w:t>5</w:t>
            </w:r>
          </w:p>
        </w:tc>
        <w:tc>
          <w:tcPr>
            <w:tcW w:w="933" w:type="dxa"/>
            <w:tcMar>
              <w:top w:w="40" w:type="dxa"/>
              <w:left w:w="80" w:type="dxa"/>
              <w:bottom w:w="40" w:type="dxa"/>
              <w:right w:w="80" w:type="dxa"/>
            </w:tcMar>
            <w:vAlign w:val="center"/>
          </w:tcPr>
          <w:p w14:paraId="3C11E25D"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1525E37A" w14:textId="77777777" w:rsidR="00A41DD1" w:rsidRPr="00BA595B" w:rsidRDefault="00A41DD1" w:rsidP="003B22C9">
            <w:pPr>
              <w:pStyle w:val="OikoTables03Content"/>
            </w:pPr>
            <w:r>
              <w:t>4</w:t>
            </w:r>
          </w:p>
        </w:tc>
        <w:tc>
          <w:tcPr>
            <w:tcW w:w="933" w:type="dxa"/>
            <w:tcMar>
              <w:top w:w="40" w:type="dxa"/>
              <w:left w:w="80" w:type="dxa"/>
              <w:bottom w:w="40" w:type="dxa"/>
              <w:right w:w="80" w:type="dxa"/>
            </w:tcMar>
            <w:vAlign w:val="center"/>
          </w:tcPr>
          <w:p w14:paraId="6994830E" w14:textId="77777777" w:rsidR="00A41DD1" w:rsidRPr="00BA595B" w:rsidRDefault="00A41DD1" w:rsidP="003B22C9">
            <w:pPr>
              <w:pStyle w:val="OikoTables03Content"/>
            </w:pPr>
            <w:r>
              <w:t>3</w:t>
            </w:r>
          </w:p>
        </w:tc>
        <w:tc>
          <w:tcPr>
            <w:tcW w:w="933" w:type="dxa"/>
            <w:shd w:val="clear" w:color="auto" w:fill="F6D7C4" w:themeFill="accent3" w:themeFillTint="66"/>
            <w:tcMar>
              <w:top w:w="40" w:type="dxa"/>
              <w:left w:w="80" w:type="dxa"/>
              <w:bottom w:w="40" w:type="dxa"/>
              <w:right w:w="80" w:type="dxa"/>
            </w:tcMar>
            <w:vAlign w:val="center"/>
          </w:tcPr>
          <w:p w14:paraId="017491B9" w14:textId="77777777" w:rsidR="00A41DD1" w:rsidRPr="00E23A16" w:rsidRDefault="00A41DD1" w:rsidP="003B22C9">
            <w:pPr>
              <w:pStyle w:val="OikoTables03Content"/>
              <w:rPr>
                <w:b/>
                <w:bCs/>
              </w:rPr>
            </w:pPr>
            <w:r w:rsidRPr="00E23A16">
              <w:rPr>
                <w:b/>
                <w:bCs/>
              </w:rPr>
              <w:t>4.35</w:t>
            </w:r>
          </w:p>
        </w:tc>
      </w:tr>
      <w:tr w:rsidR="00A41DD1" w:rsidRPr="00BA595B" w14:paraId="61FCB543" w14:textId="77777777" w:rsidTr="00A33749">
        <w:trPr>
          <w:cantSplit/>
        </w:trPr>
        <w:tc>
          <w:tcPr>
            <w:tcW w:w="2170" w:type="dxa"/>
            <w:tcMar>
              <w:top w:w="40" w:type="dxa"/>
              <w:left w:w="80" w:type="dxa"/>
              <w:bottom w:w="40" w:type="dxa"/>
              <w:right w:w="80" w:type="dxa"/>
            </w:tcMar>
            <w:vAlign w:val="center"/>
          </w:tcPr>
          <w:p w14:paraId="5996D596" w14:textId="77777777" w:rsidR="00A41DD1" w:rsidRPr="00BA595B" w:rsidRDefault="00A41DD1" w:rsidP="003B22C9">
            <w:pPr>
              <w:pStyle w:val="OikoTables03Content"/>
            </w:pPr>
            <w:proofErr w:type="spellStart"/>
            <w:r>
              <w:t>Silvopastoral</w:t>
            </w:r>
            <w:proofErr w:type="spellEnd"/>
          </w:p>
        </w:tc>
        <w:tc>
          <w:tcPr>
            <w:tcW w:w="933" w:type="dxa"/>
            <w:tcMar>
              <w:top w:w="40" w:type="dxa"/>
              <w:left w:w="80" w:type="dxa"/>
              <w:bottom w:w="40" w:type="dxa"/>
              <w:right w:w="80" w:type="dxa"/>
            </w:tcMar>
            <w:vAlign w:val="center"/>
          </w:tcPr>
          <w:p w14:paraId="0A8CB5EF"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532C4E84"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65CCFCBC" w14:textId="77777777" w:rsidR="00A41DD1" w:rsidRPr="00BA595B" w:rsidRDefault="00A41DD1" w:rsidP="003B22C9">
            <w:pPr>
              <w:pStyle w:val="OikoTables03Content"/>
            </w:pPr>
            <w:r>
              <w:t>4</w:t>
            </w:r>
          </w:p>
        </w:tc>
        <w:tc>
          <w:tcPr>
            <w:tcW w:w="933" w:type="dxa"/>
            <w:tcMar>
              <w:top w:w="40" w:type="dxa"/>
              <w:left w:w="80" w:type="dxa"/>
              <w:bottom w:w="40" w:type="dxa"/>
              <w:right w:w="80" w:type="dxa"/>
            </w:tcMar>
            <w:vAlign w:val="center"/>
          </w:tcPr>
          <w:p w14:paraId="0408AFE3" w14:textId="77777777" w:rsidR="00A41DD1" w:rsidRPr="00BA595B" w:rsidRDefault="00A41DD1" w:rsidP="003B22C9">
            <w:pPr>
              <w:pStyle w:val="OikoTables03Content"/>
            </w:pPr>
            <w:r>
              <w:t>4</w:t>
            </w:r>
          </w:p>
        </w:tc>
        <w:tc>
          <w:tcPr>
            <w:tcW w:w="933" w:type="dxa"/>
            <w:tcMar>
              <w:top w:w="40" w:type="dxa"/>
              <w:left w:w="80" w:type="dxa"/>
              <w:bottom w:w="40" w:type="dxa"/>
              <w:right w:w="80" w:type="dxa"/>
            </w:tcMar>
            <w:vAlign w:val="center"/>
          </w:tcPr>
          <w:p w14:paraId="5C50470B"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0EC257F3"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50B4CEC8" w14:textId="77777777" w:rsidR="00A41DD1" w:rsidRPr="00BA595B" w:rsidRDefault="00A41DD1" w:rsidP="003B22C9">
            <w:pPr>
              <w:pStyle w:val="OikoTables03Content"/>
            </w:pPr>
            <w:r>
              <w:t>3</w:t>
            </w:r>
          </w:p>
        </w:tc>
        <w:tc>
          <w:tcPr>
            <w:tcW w:w="933" w:type="dxa"/>
            <w:shd w:val="clear" w:color="auto" w:fill="F6D7C4" w:themeFill="accent3" w:themeFillTint="66"/>
            <w:tcMar>
              <w:top w:w="40" w:type="dxa"/>
              <w:left w:w="80" w:type="dxa"/>
              <w:bottom w:w="40" w:type="dxa"/>
              <w:right w:w="80" w:type="dxa"/>
            </w:tcMar>
            <w:vAlign w:val="center"/>
          </w:tcPr>
          <w:p w14:paraId="436DAFC3" w14:textId="77777777" w:rsidR="00A41DD1" w:rsidRPr="00E23A16" w:rsidRDefault="00A41DD1" w:rsidP="003B22C9">
            <w:pPr>
              <w:pStyle w:val="OikoTables03Content"/>
              <w:rPr>
                <w:b/>
                <w:bCs/>
              </w:rPr>
            </w:pPr>
            <w:r w:rsidRPr="00E23A16">
              <w:rPr>
                <w:b/>
                <w:bCs/>
              </w:rPr>
              <w:t>3.30</w:t>
            </w:r>
          </w:p>
        </w:tc>
      </w:tr>
      <w:tr w:rsidR="00A41DD1" w:rsidRPr="00BA595B" w14:paraId="798FBA7A" w14:textId="77777777" w:rsidTr="00A33749">
        <w:trPr>
          <w:cantSplit/>
        </w:trPr>
        <w:tc>
          <w:tcPr>
            <w:tcW w:w="2170" w:type="dxa"/>
            <w:tcMar>
              <w:top w:w="40" w:type="dxa"/>
              <w:left w:w="80" w:type="dxa"/>
              <w:bottom w:w="40" w:type="dxa"/>
              <w:right w:w="80" w:type="dxa"/>
            </w:tcMar>
            <w:vAlign w:val="center"/>
          </w:tcPr>
          <w:p w14:paraId="36C2BAFC" w14:textId="77777777" w:rsidR="00A41DD1" w:rsidRPr="00BA595B" w:rsidRDefault="00A41DD1" w:rsidP="003B22C9">
            <w:pPr>
              <w:pStyle w:val="OikoTables03Content"/>
            </w:pPr>
            <w:r>
              <w:t>Riparian</w:t>
            </w:r>
          </w:p>
        </w:tc>
        <w:tc>
          <w:tcPr>
            <w:tcW w:w="933" w:type="dxa"/>
            <w:tcMar>
              <w:top w:w="40" w:type="dxa"/>
              <w:left w:w="80" w:type="dxa"/>
              <w:bottom w:w="40" w:type="dxa"/>
              <w:right w:w="80" w:type="dxa"/>
            </w:tcMar>
            <w:vAlign w:val="center"/>
          </w:tcPr>
          <w:p w14:paraId="678C21BF"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05F7922E"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05AF9082"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3B477BA1" w14:textId="77777777" w:rsidR="00A41DD1" w:rsidRPr="00BA595B" w:rsidRDefault="00A41DD1" w:rsidP="003B22C9">
            <w:pPr>
              <w:pStyle w:val="OikoTables03Content"/>
            </w:pPr>
            <w:r>
              <w:t>2</w:t>
            </w:r>
          </w:p>
        </w:tc>
        <w:tc>
          <w:tcPr>
            <w:tcW w:w="933" w:type="dxa"/>
            <w:tcMar>
              <w:top w:w="40" w:type="dxa"/>
              <w:left w:w="80" w:type="dxa"/>
              <w:bottom w:w="40" w:type="dxa"/>
              <w:right w:w="80" w:type="dxa"/>
            </w:tcMar>
            <w:vAlign w:val="center"/>
          </w:tcPr>
          <w:p w14:paraId="405EB65D"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0C86F6B0" w14:textId="77777777" w:rsidR="00A41DD1" w:rsidRPr="00BA595B" w:rsidRDefault="00A41DD1" w:rsidP="003B22C9">
            <w:pPr>
              <w:pStyle w:val="OikoTables03Content"/>
            </w:pPr>
            <w:r>
              <w:t>3</w:t>
            </w:r>
          </w:p>
        </w:tc>
        <w:tc>
          <w:tcPr>
            <w:tcW w:w="933" w:type="dxa"/>
            <w:tcMar>
              <w:top w:w="40" w:type="dxa"/>
              <w:left w:w="80" w:type="dxa"/>
              <w:bottom w:w="40" w:type="dxa"/>
              <w:right w:w="80" w:type="dxa"/>
            </w:tcMar>
            <w:vAlign w:val="center"/>
          </w:tcPr>
          <w:p w14:paraId="30B27CCE" w14:textId="77777777" w:rsidR="00A41DD1" w:rsidRPr="00BA595B" w:rsidRDefault="00A41DD1" w:rsidP="003B22C9">
            <w:pPr>
              <w:pStyle w:val="OikoTables03Content"/>
            </w:pPr>
            <w:r>
              <w:t>1</w:t>
            </w:r>
          </w:p>
        </w:tc>
        <w:tc>
          <w:tcPr>
            <w:tcW w:w="933" w:type="dxa"/>
            <w:shd w:val="clear" w:color="auto" w:fill="F6D7C4" w:themeFill="accent3" w:themeFillTint="66"/>
            <w:tcMar>
              <w:top w:w="40" w:type="dxa"/>
              <w:left w:w="80" w:type="dxa"/>
              <w:bottom w:w="40" w:type="dxa"/>
              <w:right w:w="80" w:type="dxa"/>
            </w:tcMar>
            <w:vAlign w:val="center"/>
          </w:tcPr>
          <w:p w14:paraId="4A6AAD86" w14:textId="77777777" w:rsidR="00A41DD1" w:rsidRPr="00E23A16" w:rsidRDefault="00A41DD1" w:rsidP="003B22C9">
            <w:pPr>
              <w:pStyle w:val="OikoTables03Content"/>
              <w:rPr>
                <w:b/>
                <w:bCs/>
              </w:rPr>
            </w:pPr>
            <w:r w:rsidRPr="00E23A16">
              <w:rPr>
                <w:b/>
                <w:bCs/>
              </w:rPr>
              <w:t>2.65</w:t>
            </w:r>
          </w:p>
        </w:tc>
      </w:tr>
    </w:tbl>
    <w:p w14:paraId="08BFBC5A" w14:textId="77777777" w:rsidR="003B22C9" w:rsidRDefault="003B22C9" w:rsidP="003B22C9">
      <w:pPr>
        <w:pStyle w:val="Caption"/>
        <w:framePr w:wrap="notBeside"/>
      </w:pPr>
    </w:p>
    <w:p w14:paraId="19F1E17E" w14:textId="45708589" w:rsidR="00A41DD1" w:rsidRDefault="00A41DD1" w:rsidP="003B22C9">
      <w:pPr>
        <w:pStyle w:val="Caption"/>
        <w:framePr w:wrap="notBeside"/>
      </w:pPr>
      <w:r>
        <w:t>Table A1.5 Renewable energy MCA – weighted scores</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2670"/>
        <w:gridCol w:w="1741"/>
        <w:gridCol w:w="1741"/>
        <w:gridCol w:w="1741"/>
        <w:gridCol w:w="1741"/>
      </w:tblGrid>
      <w:tr w:rsidR="00A41DD1" w:rsidRPr="00BA595B" w14:paraId="310517FE" w14:textId="77777777" w:rsidTr="003B22C9">
        <w:trPr>
          <w:cantSplit/>
          <w:tblHeader/>
        </w:trPr>
        <w:tc>
          <w:tcPr>
            <w:tcW w:w="2670" w:type="dxa"/>
            <w:shd w:val="clear" w:color="auto" w:fill="E99E6D" w:themeFill="accent3"/>
            <w:tcMar>
              <w:top w:w="40" w:type="dxa"/>
              <w:left w:w="80" w:type="dxa"/>
              <w:bottom w:w="40" w:type="dxa"/>
              <w:right w:w="80" w:type="dxa"/>
            </w:tcMar>
            <w:vAlign w:val="center"/>
          </w:tcPr>
          <w:p w14:paraId="6F646C52" w14:textId="77777777" w:rsidR="00A41DD1" w:rsidRPr="00BA595B" w:rsidRDefault="00A41DD1" w:rsidP="003B22C9">
            <w:pPr>
              <w:pStyle w:val="OikoTables02"/>
            </w:pPr>
            <w:r>
              <w:t>Criterion (weight)</w:t>
            </w:r>
          </w:p>
        </w:tc>
        <w:tc>
          <w:tcPr>
            <w:tcW w:w="1741" w:type="dxa"/>
            <w:shd w:val="clear" w:color="auto" w:fill="E99E6D" w:themeFill="accent3"/>
            <w:tcMar>
              <w:top w:w="40" w:type="dxa"/>
              <w:left w:w="80" w:type="dxa"/>
              <w:bottom w:w="40" w:type="dxa"/>
              <w:right w:w="80" w:type="dxa"/>
            </w:tcMar>
            <w:vAlign w:val="center"/>
          </w:tcPr>
          <w:p w14:paraId="7A9C85EA" w14:textId="77777777" w:rsidR="00A41DD1" w:rsidRPr="00BA595B" w:rsidRDefault="00A41DD1" w:rsidP="003B22C9">
            <w:pPr>
              <w:pStyle w:val="OikoTables02"/>
            </w:pPr>
            <w:r>
              <w:t>Solar PV</w:t>
            </w:r>
          </w:p>
        </w:tc>
        <w:tc>
          <w:tcPr>
            <w:tcW w:w="1741" w:type="dxa"/>
            <w:shd w:val="clear" w:color="auto" w:fill="E99E6D" w:themeFill="accent3"/>
            <w:tcMar>
              <w:top w:w="40" w:type="dxa"/>
              <w:left w:w="80" w:type="dxa"/>
              <w:bottom w:w="40" w:type="dxa"/>
              <w:right w:w="80" w:type="dxa"/>
            </w:tcMar>
            <w:vAlign w:val="center"/>
          </w:tcPr>
          <w:p w14:paraId="61CA5339" w14:textId="77777777" w:rsidR="00A41DD1" w:rsidRPr="00BA595B" w:rsidRDefault="00A41DD1" w:rsidP="003B22C9">
            <w:pPr>
              <w:pStyle w:val="OikoTables02"/>
            </w:pPr>
            <w:r>
              <w:t>Biogas</w:t>
            </w:r>
          </w:p>
        </w:tc>
        <w:tc>
          <w:tcPr>
            <w:tcW w:w="1741" w:type="dxa"/>
            <w:shd w:val="clear" w:color="auto" w:fill="E99E6D" w:themeFill="accent3"/>
            <w:tcMar>
              <w:top w:w="40" w:type="dxa"/>
              <w:left w:w="80" w:type="dxa"/>
              <w:bottom w:w="40" w:type="dxa"/>
              <w:right w:w="80" w:type="dxa"/>
            </w:tcMar>
            <w:vAlign w:val="center"/>
          </w:tcPr>
          <w:p w14:paraId="29E79D3B" w14:textId="77777777" w:rsidR="00A41DD1" w:rsidRPr="00BA595B" w:rsidRDefault="00A41DD1" w:rsidP="003B22C9">
            <w:pPr>
              <w:pStyle w:val="OikoTables02"/>
            </w:pPr>
            <w:r>
              <w:t>Wind</w:t>
            </w:r>
          </w:p>
        </w:tc>
        <w:tc>
          <w:tcPr>
            <w:tcW w:w="1741" w:type="dxa"/>
            <w:shd w:val="clear" w:color="auto" w:fill="E99E6D" w:themeFill="accent3"/>
            <w:tcMar>
              <w:top w:w="40" w:type="dxa"/>
              <w:left w:w="80" w:type="dxa"/>
              <w:bottom w:w="40" w:type="dxa"/>
              <w:right w:w="80" w:type="dxa"/>
            </w:tcMar>
            <w:vAlign w:val="center"/>
          </w:tcPr>
          <w:p w14:paraId="3587AD03" w14:textId="77777777" w:rsidR="00A41DD1" w:rsidRPr="00BA595B" w:rsidRDefault="00A41DD1" w:rsidP="003B22C9">
            <w:pPr>
              <w:pStyle w:val="OikoTables02"/>
            </w:pPr>
            <w:r>
              <w:t>Geothermal</w:t>
            </w:r>
          </w:p>
        </w:tc>
      </w:tr>
      <w:tr w:rsidR="00A41DD1" w:rsidRPr="00BA595B" w14:paraId="704453B0" w14:textId="77777777" w:rsidTr="003B22C9">
        <w:trPr>
          <w:cantSplit/>
        </w:trPr>
        <w:tc>
          <w:tcPr>
            <w:tcW w:w="2670" w:type="dxa"/>
            <w:tcMar>
              <w:top w:w="40" w:type="dxa"/>
              <w:left w:w="80" w:type="dxa"/>
              <w:bottom w:w="40" w:type="dxa"/>
              <w:right w:w="80" w:type="dxa"/>
            </w:tcMar>
            <w:vAlign w:val="center"/>
          </w:tcPr>
          <w:p w14:paraId="2B764530" w14:textId="77777777" w:rsidR="00A41DD1" w:rsidRPr="00BA595B" w:rsidRDefault="00A41DD1" w:rsidP="003B22C9">
            <w:pPr>
              <w:pStyle w:val="OikoTables03Content"/>
            </w:pPr>
            <w:r>
              <w:t>Affordability (0.35)</w:t>
            </w:r>
          </w:p>
        </w:tc>
        <w:tc>
          <w:tcPr>
            <w:tcW w:w="1741" w:type="dxa"/>
            <w:tcMar>
              <w:top w:w="40" w:type="dxa"/>
              <w:left w:w="80" w:type="dxa"/>
              <w:bottom w:w="40" w:type="dxa"/>
              <w:right w:w="80" w:type="dxa"/>
            </w:tcMar>
            <w:vAlign w:val="center"/>
          </w:tcPr>
          <w:p w14:paraId="73491B13" w14:textId="77777777" w:rsidR="00A41DD1" w:rsidRPr="00BA595B" w:rsidRDefault="00A41DD1" w:rsidP="003B22C9">
            <w:pPr>
              <w:pStyle w:val="OikoTables03Content"/>
            </w:pPr>
            <w:r>
              <w:t>3.5</w:t>
            </w:r>
          </w:p>
        </w:tc>
        <w:tc>
          <w:tcPr>
            <w:tcW w:w="1741" w:type="dxa"/>
            <w:tcMar>
              <w:top w:w="40" w:type="dxa"/>
              <w:left w:w="80" w:type="dxa"/>
              <w:bottom w:w="40" w:type="dxa"/>
              <w:right w:w="80" w:type="dxa"/>
            </w:tcMar>
            <w:vAlign w:val="center"/>
          </w:tcPr>
          <w:p w14:paraId="56A0A388" w14:textId="77777777" w:rsidR="00A41DD1" w:rsidRPr="00BA595B" w:rsidRDefault="00A41DD1" w:rsidP="003B22C9">
            <w:pPr>
              <w:pStyle w:val="OikoTables03Content"/>
            </w:pPr>
            <w:r>
              <w:t>3.0</w:t>
            </w:r>
          </w:p>
        </w:tc>
        <w:tc>
          <w:tcPr>
            <w:tcW w:w="1741" w:type="dxa"/>
            <w:tcMar>
              <w:top w:w="40" w:type="dxa"/>
              <w:left w:w="80" w:type="dxa"/>
              <w:bottom w:w="40" w:type="dxa"/>
              <w:right w:w="80" w:type="dxa"/>
            </w:tcMar>
            <w:vAlign w:val="center"/>
          </w:tcPr>
          <w:p w14:paraId="6BAE8D84" w14:textId="77777777" w:rsidR="00A41DD1" w:rsidRPr="00BA595B" w:rsidRDefault="00A41DD1" w:rsidP="003B22C9">
            <w:pPr>
              <w:pStyle w:val="OikoTables03Content"/>
            </w:pPr>
            <w:r>
              <w:t>2.5</w:t>
            </w:r>
          </w:p>
        </w:tc>
        <w:tc>
          <w:tcPr>
            <w:tcW w:w="1741" w:type="dxa"/>
            <w:tcMar>
              <w:top w:w="40" w:type="dxa"/>
              <w:left w:w="80" w:type="dxa"/>
              <w:bottom w:w="40" w:type="dxa"/>
              <w:right w:w="80" w:type="dxa"/>
            </w:tcMar>
            <w:vAlign w:val="center"/>
          </w:tcPr>
          <w:p w14:paraId="2277FD7C" w14:textId="77777777" w:rsidR="00A41DD1" w:rsidRPr="00BA595B" w:rsidRDefault="00A41DD1" w:rsidP="003B22C9">
            <w:pPr>
              <w:pStyle w:val="OikoTables03Content"/>
            </w:pPr>
            <w:r>
              <w:t>2.0</w:t>
            </w:r>
          </w:p>
        </w:tc>
      </w:tr>
      <w:tr w:rsidR="00A41DD1" w:rsidRPr="00BA595B" w14:paraId="578EB380" w14:textId="77777777" w:rsidTr="003B22C9">
        <w:trPr>
          <w:cantSplit/>
        </w:trPr>
        <w:tc>
          <w:tcPr>
            <w:tcW w:w="2670" w:type="dxa"/>
            <w:tcMar>
              <w:top w:w="40" w:type="dxa"/>
              <w:left w:w="80" w:type="dxa"/>
              <w:bottom w:w="40" w:type="dxa"/>
              <w:right w:w="80" w:type="dxa"/>
            </w:tcMar>
            <w:vAlign w:val="center"/>
          </w:tcPr>
          <w:p w14:paraId="084B7862" w14:textId="77777777" w:rsidR="00A41DD1" w:rsidRPr="00BA595B" w:rsidRDefault="00A41DD1" w:rsidP="003B22C9">
            <w:pPr>
              <w:pStyle w:val="OikoTables03Content"/>
            </w:pPr>
            <w:r>
              <w:t>Reliability (0.20)</w:t>
            </w:r>
          </w:p>
        </w:tc>
        <w:tc>
          <w:tcPr>
            <w:tcW w:w="1741" w:type="dxa"/>
            <w:tcMar>
              <w:top w:w="40" w:type="dxa"/>
              <w:left w:w="80" w:type="dxa"/>
              <w:bottom w:w="40" w:type="dxa"/>
              <w:right w:w="80" w:type="dxa"/>
            </w:tcMar>
            <w:vAlign w:val="center"/>
          </w:tcPr>
          <w:p w14:paraId="5255FB60" w14:textId="77777777" w:rsidR="00A41DD1" w:rsidRPr="00BA595B" w:rsidRDefault="00A41DD1" w:rsidP="003B22C9">
            <w:pPr>
              <w:pStyle w:val="OikoTables03Content"/>
            </w:pPr>
            <w:r>
              <w:t>4.5</w:t>
            </w:r>
          </w:p>
        </w:tc>
        <w:tc>
          <w:tcPr>
            <w:tcW w:w="1741" w:type="dxa"/>
            <w:tcMar>
              <w:top w:w="40" w:type="dxa"/>
              <w:left w:w="80" w:type="dxa"/>
              <w:bottom w:w="40" w:type="dxa"/>
              <w:right w:w="80" w:type="dxa"/>
            </w:tcMar>
            <w:vAlign w:val="center"/>
          </w:tcPr>
          <w:p w14:paraId="47997F6C" w14:textId="77777777" w:rsidR="00A41DD1" w:rsidRPr="00BA595B" w:rsidRDefault="00A41DD1" w:rsidP="003B22C9">
            <w:pPr>
              <w:pStyle w:val="OikoTables03Content"/>
            </w:pPr>
            <w:r>
              <w:t>2.5</w:t>
            </w:r>
          </w:p>
        </w:tc>
        <w:tc>
          <w:tcPr>
            <w:tcW w:w="1741" w:type="dxa"/>
            <w:tcMar>
              <w:top w:w="40" w:type="dxa"/>
              <w:left w:w="80" w:type="dxa"/>
              <w:bottom w:w="40" w:type="dxa"/>
              <w:right w:w="80" w:type="dxa"/>
            </w:tcMar>
            <w:vAlign w:val="center"/>
          </w:tcPr>
          <w:p w14:paraId="66BA1B23" w14:textId="77777777" w:rsidR="00A41DD1" w:rsidRPr="00BA595B" w:rsidRDefault="00A41DD1" w:rsidP="003B22C9">
            <w:pPr>
              <w:pStyle w:val="OikoTables03Content"/>
            </w:pPr>
            <w:r>
              <w:t>3.0</w:t>
            </w:r>
          </w:p>
        </w:tc>
        <w:tc>
          <w:tcPr>
            <w:tcW w:w="1741" w:type="dxa"/>
            <w:tcMar>
              <w:top w:w="40" w:type="dxa"/>
              <w:left w:w="80" w:type="dxa"/>
              <w:bottom w:w="40" w:type="dxa"/>
              <w:right w:w="80" w:type="dxa"/>
            </w:tcMar>
            <w:vAlign w:val="center"/>
          </w:tcPr>
          <w:p w14:paraId="0CB003CE" w14:textId="77777777" w:rsidR="00A41DD1" w:rsidRPr="00BA595B" w:rsidRDefault="00A41DD1" w:rsidP="003B22C9">
            <w:pPr>
              <w:pStyle w:val="OikoTables03Content"/>
            </w:pPr>
            <w:r>
              <w:t>4.5</w:t>
            </w:r>
          </w:p>
        </w:tc>
      </w:tr>
      <w:tr w:rsidR="00A41DD1" w:rsidRPr="00BA595B" w14:paraId="3BE8A611" w14:textId="77777777" w:rsidTr="003B22C9">
        <w:trPr>
          <w:cantSplit/>
        </w:trPr>
        <w:tc>
          <w:tcPr>
            <w:tcW w:w="2670" w:type="dxa"/>
            <w:tcMar>
              <w:top w:w="40" w:type="dxa"/>
              <w:left w:w="80" w:type="dxa"/>
              <w:bottom w:w="40" w:type="dxa"/>
              <w:right w:w="80" w:type="dxa"/>
            </w:tcMar>
            <w:vAlign w:val="center"/>
          </w:tcPr>
          <w:p w14:paraId="18892226" w14:textId="77777777" w:rsidR="00A41DD1" w:rsidRPr="00BA595B" w:rsidRDefault="00A41DD1" w:rsidP="003B22C9">
            <w:pPr>
              <w:pStyle w:val="OikoTables03Content"/>
            </w:pPr>
            <w:r>
              <w:t>Environmental (0.20)</w:t>
            </w:r>
          </w:p>
        </w:tc>
        <w:tc>
          <w:tcPr>
            <w:tcW w:w="1741" w:type="dxa"/>
            <w:tcMar>
              <w:top w:w="40" w:type="dxa"/>
              <w:left w:w="80" w:type="dxa"/>
              <w:bottom w:w="40" w:type="dxa"/>
              <w:right w:w="80" w:type="dxa"/>
            </w:tcMar>
            <w:vAlign w:val="center"/>
          </w:tcPr>
          <w:p w14:paraId="5FEFCDD1" w14:textId="77777777" w:rsidR="00A41DD1" w:rsidRPr="00BA595B" w:rsidRDefault="00A41DD1" w:rsidP="003B22C9">
            <w:pPr>
              <w:pStyle w:val="OikoTables03Content"/>
            </w:pPr>
            <w:r>
              <w:t>5.0</w:t>
            </w:r>
          </w:p>
        </w:tc>
        <w:tc>
          <w:tcPr>
            <w:tcW w:w="1741" w:type="dxa"/>
            <w:tcMar>
              <w:top w:w="40" w:type="dxa"/>
              <w:left w:w="80" w:type="dxa"/>
              <w:bottom w:w="40" w:type="dxa"/>
              <w:right w:w="80" w:type="dxa"/>
            </w:tcMar>
            <w:vAlign w:val="center"/>
          </w:tcPr>
          <w:p w14:paraId="0DB7A5BE" w14:textId="77777777" w:rsidR="00A41DD1" w:rsidRPr="00BA595B" w:rsidRDefault="00A41DD1" w:rsidP="003B22C9">
            <w:pPr>
              <w:pStyle w:val="OikoTables03Content"/>
            </w:pPr>
            <w:r>
              <w:t>4.5</w:t>
            </w:r>
          </w:p>
        </w:tc>
        <w:tc>
          <w:tcPr>
            <w:tcW w:w="1741" w:type="dxa"/>
            <w:tcMar>
              <w:top w:w="40" w:type="dxa"/>
              <w:left w:w="80" w:type="dxa"/>
              <w:bottom w:w="40" w:type="dxa"/>
              <w:right w:w="80" w:type="dxa"/>
            </w:tcMar>
            <w:vAlign w:val="center"/>
          </w:tcPr>
          <w:p w14:paraId="595E2331" w14:textId="77777777" w:rsidR="00A41DD1" w:rsidRPr="00BA595B" w:rsidRDefault="00A41DD1" w:rsidP="003B22C9">
            <w:pPr>
              <w:pStyle w:val="OikoTables03Content"/>
            </w:pPr>
            <w:r>
              <w:t>5.0</w:t>
            </w:r>
          </w:p>
        </w:tc>
        <w:tc>
          <w:tcPr>
            <w:tcW w:w="1741" w:type="dxa"/>
            <w:tcMar>
              <w:top w:w="40" w:type="dxa"/>
              <w:left w:w="80" w:type="dxa"/>
              <w:bottom w:w="40" w:type="dxa"/>
              <w:right w:w="80" w:type="dxa"/>
            </w:tcMar>
            <w:vAlign w:val="center"/>
          </w:tcPr>
          <w:p w14:paraId="0B78FF59" w14:textId="77777777" w:rsidR="00A41DD1" w:rsidRPr="00BA595B" w:rsidRDefault="00A41DD1" w:rsidP="003B22C9">
            <w:pPr>
              <w:pStyle w:val="OikoTables03Content"/>
            </w:pPr>
            <w:r>
              <w:t>5.0</w:t>
            </w:r>
          </w:p>
        </w:tc>
      </w:tr>
      <w:tr w:rsidR="00A41DD1" w:rsidRPr="00BA595B" w14:paraId="08338A90" w14:textId="77777777" w:rsidTr="003B22C9">
        <w:trPr>
          <w:cantSplit/>
        </w:trPr>
        <w:tc>
          <w:tcPr>
            <w:tcW w:w="2670" w:type="dxa"/>
            <w:tcMar>
              <w:top w:w="40" w:type="dxa"/>
              <w:left w:w="80" w:type="dxa"/>
              <w:bottom w:w="40" w:type="dxa"/>
              <w:right w:w="80" w:type="dxa"/>
            </w:tcMar>
            <w:vAlign w:val="center"/>
          </w:tcPr>
          <w:p w14:paraId="67379E82" w14:textId="77777777" w:rsidR="00A41DD1" w:rsidRPr="00BA595B" w:rsidRDefault="00A41DD1" w:rsidP="003B22C9">
            <w:pPr>
              <w:pStyle w:val="OikoTables03Content"/>
            </w:pPr>
            <w:r>
              <w:t>Technical simplicity (0.15)</w:t>
            </w:r>
          </w:p>
        </w:tc>
        <w:tc>
          <w:tcPr>
            <w:tcW w:w="1741" w:type="dxa"/>
            <w:tcMar>
              <w:top w:w="40" w:type="dxa"/>
              <w:left w:w="80" w:type="dxa"/>
              <w:bottom w:w="40" w:type="dxa"/>
              <w:right w:w="80" w:type="dxa"/>
            </w:tcMar>
            <w:vAlign w:val="center"/>
          </w:tcPr>
          <w:p w14:paraId="5BC8D43D" w14:textId="77777777" w:rsidR="00A41DD1" w:rsidRPr="00BA595B" w:rsidRDefault="00A41DD1" w:rsidP="003B22C9">
            <w:pPr>
              <w:pStyle w:val="OikoTables03Content"/>
            </w:pPr>
            <w:r>
              <w:t>4.0</w:t>
            </w:r>
          </w:p>
        </w:tc>
        <w:tc>
          <w:tcPr>
            <w:tcW w:w="1741" w:type="dxa"/>
            <w:tcMar>
              <w:top w:w="40" w:type="dxa"/>
              <w:left w:w="80" w:type="dxa"/>
              <w:bottom w:w="40" w:type="dxa"/>
              <w:right w:w="80" w:type="dxa"/>
            </w:tcMar>
            <w:vAlign w:val="center"/>
          </w:tcPr>
          <w:p w14:paraId="42832165" w14:textId="77777777" w:rsidR="00A41DD1" w:rsidRPr="00BA595B" w:rsidRDefault="00A41DD1" w:rsidP="003B22C9">
            <w:pPr>
              <w:pStyle w:val="OikoTables03Content"/>
            </w:pPr>
            <w:r>
              <w:t>2.5</w:t>
            </w:r>
          </w:p>
        </w:tc>
        <w:tc>
          <w:tcPr>
            <w:tcW w:w="1741" w:type="dxa"/>
            <w:tcMar>
              <w:top w:w="40" w:type="dxa"/>
              <w:left w:w="80" w:type="dxa"/>
              <w:bottom w:w="40" w:type="dxa"/>
              <w:right w:w="80" w:type="dxa"/>
            </w:tcMar>
            <w:vAlign w:val="center"/>
          </w:tcPr>
          <w:p w14:paraId="3BA4F57C" w14:textId="77777777" w:rsidR="00A41DD1" w:rsidRPr="00BA595B" w:rsidRDefault="00A41DD1" w:rsidP="003B22C9">
            <w:pPr>
              <w:pStyle w:val="OikoTables03Content"/>
            </w:pPr>
            <w:r>
              <w:t>2.5</w:t>
            </w:r>
          </w:p>
        </w:tc>
        <w:tc>
          <w:tcPr>
            <w:tcW w:w="1741" w:type="dxa"/>
            <w:tcMar>
              <w:top w:w="40" w:type="dxa"/>
              <w:left w:w="80" w:type="dxa"/>
              <w:bottom w:w="40" w:type="dxa"/>
              <w:right w:w="80" w:type="dxa"/>
            </w:tcMar>
            <w:vAlign w:val="center"/>
          </w:tcPr>
          <w:p w14:paraId="426A6F10" w14:textId="77777777" w:rsidR="00A41DD1" w:rsidRPr="00BA595B" w:rsidRDefault="00A41DD1" w:rsidP="003B22C9">
            <w:pPr>
              <w:pStyle w:val="OikoTables03Content"/>
            </w:pPr>
            <w:r>
              <w:t>2.0</w:t>
            </w:r>
          </w:p>
        </w:tc>
      </w:tr>
      <w:tr w:rsidR="00A41DD1" w:rsidRPr="00BA595B" w14:paraId="39BF3606" w14:textId="77777777" w:rsidTr="003B22C9">
        <w:trPr>
          <w:cantSplit/>
        </w:trPr>
        <w:tc>
          <w:tcPr>
            <w:tcW w:w="2670" w:type="dxa"/>
            <w:tcMar>
              <w:top w:w="40" w:type="dxa"/>
              <w:left w:w="80" w:type="dxa"/>
              <w:bottom w:w="40" w:type="dxa"/>
              <w:right w:w="80" w:type="dxa"/>
            </w:tcMar>
            <w:vAlign w:val="center"/>
          </w:tcPr>
          <w:p w14:paraId="3C57704F" w14:textId="77777777" w:rsidR="00A41DD1" w:rsidRPr="00BA595B" w:rsidRDefault="00A41DD1" w:rsidP="003B22C9">
            <w:pPr>
              <w:pStyle w:val="OikoTables03Content"/>
            </w:pPr>
            <w:r>
              <w:lastRenderedPageBreak/>
              <w:t>Rural availability (0.10)</w:t>
            </w:r>
          </w:p>
        </w:tc>
        <w:tc>
          <w:tcPr>
            <w:tcW w:w="1741" w:type="dxa"/>
            <w:tcMar>
              <w:top w:w="40" w:type="dxa"/>
              <w:left w:w="80" w:type="dxa"/>
              <w:bottom w:w="40" w:type="dxa"/>
              <w:right w:w="80" w:type="dxa"/>
            </w:tcMar>
            <w:vAlign w:val="center"/>
          </w:tcPr>
          <w:p w14:paraId="017C50CF" w14:textId="77777777" w:rsidR="00A41DD1" w:rsidRPr="00BA595B" w:rsidRDefault="00A41DD1" w:rsidP="003B22C9">
            <w:pPr>
              <w:pStyle w:val="OikoTables03Content"/>
            </w:pPr>
            <w:r>
              <w:t>5.0</w:t>
            </w:r>
          </w:p>
        </w:tc>
        <w:tc>
          <w:tcPr>
            <w:tcW w:w="1741" w:type="dxa"/>
            <w:tcMar>
              <w:top w:w="40" w:type="dxa"/>
              <w:left w:w="80" w:type="dxa"/>
              <w:bottom w:w="40" w:type="dxa"/>
              <w:right w:w="80" w:type="dxa"/>
            </w:tcMar>
            <w:vAlign w:val="center"/>
          </w:tcPr>
          <w:p w14:paraId="1934BAF7" w14:textId="77777777" w:rsidR="00A41DD1" w:rsidRPr="00BA595B" w:rsidRDefault="00A41DD1" w:rsidP="003B22C9">
            <w:pPr>
              <w:pStyle w:val="OikoTables03Content"/>
            </w:pPr>
            <w:r>
              <w:t>3.0</w:t>
            </w:r>
          </w:p>
        </w:tc>
        <w:tc>
          <w:tcPr>
            <w:tcW w:w="1741" w:type="dxa"/>
            <w:tcMar>
              <w:top w:w="40" w:type="dxa"/>
              <w:left w:w="80" w:type="dxa"/>
              <w:bottom w:w="40" w:type="dxa"/>
              <w:right w:w="80" w:type="dxa"/>
            </w:tcMar>
            <w:vAlign w:val="center"/>
          </w:tcPr>
          <w:p w14:paraId="16F55E31" w14:textId="77777777" w:rsidR="00A41DD1" w:rsidRPr="00BA595B" w:rsidRDefault="00A41DD1" w:rsidP="003B22C9">
            <w:pPr>
              <w:pStyle w:val="OikoTables03Content"/>
            </w:pPr>
            <w:r>
              <w:t>4.0</w:t>
            </w:r>
          </w:p>
        </w:tc>
        <w:tc>
          <w:tcPr>
            <w:tcW w:w="1741" w:type="dxa"/>
            <w:tcMar>
              <w:top w:w="40" w:type="dxa"/>
              <w:left w:w="80" w:type="dxa"/>
              <w:bottom w:w="40" w:type="dxa"/>
              <w:right w:w="80" w:type="dxa"/>
            </w:tcMar>
            <w:vAlign w:val="center"/>
          </w:tcPr>
          <w:p w14:paraId="5E2B2F37" w14:textId="77777777" w:rsidR="00A41DD1" w:rsidRPr="00BA595B" w:rsidRDefault="00A41DD1" w:rsidP="003B22C9">
            <w:pPr>
              <w:pStyle w:val="OikoTables03Content"/>
            </w:pPr>
            <w:r>
              <w:t>2.0</w:t>
            </w:r>
          </w:p>
        </w:tc>
      </w:tr>
      <w:tr w:rsidR="00A41DD1" w:rsidRPr="00BA595B" w14:paraId="41807F80" w14:textId="77777777" w:rsidTr="00A33749">
        <w:trPr>
          <w:cantSplit/>
        </w:trPr>
        <w:tc>
          <w:tcPr>
            <w:tcW w:w="2670" w:type="dxa"/>
            <w:shd w:val="clear" w:color="auto" w:fill="F6D7C4" w:themeFill="accent3" w:themeFillTint="66"/>
            <w:tcMar>
              <w:top w:w="40" w:type="dxa"/>
              <w:left w:w="80" w:type="dxa"/>
              <w:bottom w:w="40" w:type="dxa"/>
              <w:right w:w="80" w:type="dxa"/>
            </w:tcMar>
            <w:vAlign w:val="center"/>
          </w:tcPr>
          <w:p w14:paraId="778848A9" w14:textId="77777777" w:rsidR="00A41DD1" w:rsidRPr="00A33749" w:rsidRDefault="00A41DD1" w:rsidP="003B22C9">
            <w:pPr>
              <w:pStyle w:val="OikoTables03Content"/>
              <w:rPr>
                <w:b/>
                <w:bCs/>
              </w:rPr>
            </w:pPr>
            <w:r w:rsidRPr="00A33749">
              <w:rPr>
                <w:b/>
                <w:bCs/>
              </w:rPr>
              <w:t>WEIGHTED SCORE</w:t>
            </w:r>
          </w:p>
        </w:tc>
        <w:tc>
          <w:tcPr>
            <w:tcW w:w="1741" w:type="dxa"/>
            <w:shd w:val="clear" w:color="auto" w:fill="F6D7C4" w:themeFill="accent3" w:themeFillTint="66"/>
            <w:tcMar>
              <w:top w:w="40" w:type="dxa"/>
              <w:left w:w="80" w:type="dxa"/>
              <w:bottom w:w="40" w:type="dxa"/>
              <w:right w:w="80" w:type="dxa"/>
            </w:tcMar>
            <w:vAlign w:val="center"/>
          </w:tcPr>
          <w:p w14:paraId="42587C59" w14:textId="77777777" w:rsidR="00A41DD1" w:rsidRPr="00A33749" w:rsidRDefault="00A41DD1" w:rsidP="003B22C9">
            <w:pPr>
              <w:pStyle w:val="OikoTables03Content"/>
              <w:rPr>
                <w:b/>
                <w:bCs/>
              </w:rPr>
            </w:pPr>
            <w:r w:rsidRPr="00A33749">
              <w:rPr>
                <w:b/>
                <w:bCs/>
              </w:rPr>
              <w:t>4.23</w:t>
            </w:r>
          </w:p>
        </w:tc>
        <w:tc>
          <w:tcPr>
            <w:tcW w:w="1741" w:type="dxa"/>
            <w:shd w:val="clear" w:color="auto" w:fill="F6D7C4" w:themeFill="accent3" w:themeFillTint="66"/>
            <w:tcMar>
              <w:top w:w="40" w:type="dxa"/>
              <w:left w:w="80" w:type="dxa"/>
              <w:bottom w:w="40" w:type="dxa"/>
              <w:right w:w="80" w:type="dxa"/>
            </w:tcMar>
            <w:vAlign w:val="center"/>
          </w:tcPr>
          <w:p w14:paraId="57A72D09" w14:textId="77777777" w:rsidR="00A41DD1" w:rsidRPr="00A33749" w:rsidRDefault="00A41DD1" w:rsidP="003B22C9">
            <w:pPr>
              <w:pStyle w:val="OikoTables03Content"/>
              <w:rPr>
                <w:b/>
                <w:bCs/>
              </w:rPr>
            </w:pPr>
            <w:r w:rsidRPr="00A33749">
              <w:rPr>
                <w:b/>
                <w:bCs/>
              </w:rPr>
              <w:t>3.13</w:t>
            </w:r>
          </w:p>
        </w:tc>
        <w:tc>
          <w:tcPr>
            <w:tcW w:w="1741" w:type="dxa"/>
            <w:shd w:val="clear" w:color="auto" w:fill="F6D7C4" w:themeFill="accent3" w:themeFillTint="66"/>
            <w:tcMar>
              <w:top w:w="40" w:type="dxa"/>
              <w:left w:w="80" w:type="dxa"/>
              <w:bottom w:w="40" w:type="dxa"/>
              <w:right w:w="80" w:type="dxa"/>
            </w:tcMar>
            <w:vAlign w:val="center"/>
          </w:tcPr>
          <w:p w14:paraId="43778FC8" w14:textId="77777777" w:rsidR="00A41DD1" w:rsidRPr="00A33749" w:rsidRDefault="00A41DD1" w:rsidP="003B22C9">
            <w:pPr>
              <w:pStyle w:val="OikoTables03Content"/>
              <w:rPr>
                <w:b/>
                <w:bCs/>
              </w:rPr>
            </w:pPr>
            <w:r w:rsidRPr="00A33749">
              <w:rPr>
                <w:b/>
                <w:bCs/>
              </w:rPr>
              <w:t>3.25</w:t>
            </w:r>
          </w:p>
        </w:tc>
        <w:tc>
          <w:tcPr>
            <w:tcW w:w="1741" w:type="dxa"/>
            <w:shd w:val="clear" w:color="auto" w:fill="F6D7C4" w:themeFill="accent3" w:themeFillTint="66"/>
            <w:tcMar>
              <w:top w:w="40" w:type="dxa"/>
              <w:left w:w="80" w:type="dxa"/>
              <w:bottom w:w="40" w:type="dxa"/>
              <w:right w:w="80" w:type="dxa"/>
            </w:tcMar>
            <w:vAlign w:val="center"/>
          </w:tcPr>
          <w:p w14:paraId="5CD3B981" w14:textId="77777777" w:rsidR="00A41DD1" w:rsidRPr="00A33749" w:rsidRDefault="00A41DD1" w:rsidP="003B22C9">
            <w:pPr>
              <w:pStyle w:val="OikoTables03Content"/>
              <w:rPr>
                <w:b/>
                <w:bCs/>
              </w:rPr>
            </w:pPr>
            <w:r w:rsidRPr="00A33749">
              <w:rPr>
                <w:b/>
                <w:bCs/>
              </w:rPr>
              <w:t>3.10</w:t>
            </w:r>
          </w:p>
        </w:tc>
      </w:tr>
    </w:tbl>
    <w:p w14:paraId="79A83214" w14:textId="77777777" w:rsidR="00A41DD1" w:rsidRDefault="00A41DD1" w:rsidP="00D32CE1">
      <w:pPr>
        <w:pStyle w:val="OikoSectionHeading3"/>
      </w:pPr>
      <w:bookmarkStart w:id="176" w:name="_Toc233981379"/>
      <w:r>
        <w:t>A1.3 Province-specific rankings (simplified scoring tables)</w:t>
      </w:r>
      <w:bookmarkEnd w:id="176"/>
    </w:p>
    <w:p w14:paraId="44962EA3" w14:textId="77777777" w:rsidR="00A41DD1" w:rsidRDefault="00A41DD1" w:rsidP="00BA595B">
      <w:pPr>
        <w:spacing w:before="120" w:after="120" w:line="240" w:lineRule="auto"/>
        <w:contextualSpacing w:val="0"/>
      </w:pPr>
      <w:r>
        <w:rPr>
          <w:rFonts w:eastAsia="Times New Roman" w:cs="Times New Roman"/>
        </w:rPr>
        <w:t>The greenhouse MCA is re-weighted by province (Section 7.1.5); the irrigation and energy MCAs apply common weights, and province differentiation is handled through the engineered configuration of the same core technology (Sections 7.2 and 7.4). Tables A1.6 and A1.7 summarise the resulting province-level rankings and recommendations.</w:t>
      </w:r>
    </w:p>
    <w:p w14:paraId="50880957" w14:textId="77777777" w:rsidR="00A41DD1" w:rsidRDefault="00A41DD1" w:rsidP="003B22C9">
      <w:pPr>
        <w:pStyle w:val="Caption"/>
        <w:framePr w:wrap="notBeside"/>
      </w:pPr>
      <w:r>
        <w:t>Table A1.6 Greenhouse options ranked by province</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1450"/>
        <w:gridCol w:w="2620"/>
        <w:gridCol w:w="1170"/>
        <w:gridCol w:w="851"/>
        <w:gridCol w:w="1559"/>
        <w:gridCol w:w="1984"/>
      </w:tblGrid>
      <w:tr w:rsidR="00A41DD1" w:rsidRPr="00BA595B" w14:paraId="358072D6" w14:textId="77777777" w:rsidTr="00BA595B">
        <w:trPr>
          <w:cantSplit/>
          <w:tblHeader/>
        </w:trPr>
        <w:tc>
          <w:tcPr>
            <w:tcW w:w="1450" w:type="dxa"/>
            <w:shd w:val="clear" w:color="auto" w:fill="E8E8E8"/>
            <w:tcMar>
              <w:top w:w="40" w:type="dxa"/>
              <w:left w:w="80" w:type="dxa"/>
              <w:bottom w:w="40" w:type="dxa"/>
              <w:right w:w="80" w:type="dxa"/>
            </w:tcMar>
            <w:vAlign w:val="center"/>
          </w:tcPr>
          <w:p w14:paraId="0DDB3E8D"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Province</w:t>
            </w:r>
          </w:p>
        </w:tc>
        <w:tc>
          <w:tcPr>
            <w:tcW w:w="2620" w:type="dxa"/>
            <w:shd w:val="clear" w:color="auto" w:fill="E8E8E8"/>
            <w:tcMar>
              <w:top w:w="40" w:type="dxa"/>
              <w:left w:w="80" w:type="dxa"/>
              <w:bottom w:w="40" w:type="dxa"/>
              <w:right w:w="80" w:type="dxa"/>
            </w:tcMar>
            <w:vAlign w:val="center"/>
          </w:tcPr>
          <w:p w14:paraId="2EFB68F0"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Greenhouse type</w:t>
            </w:r>
          </w:p>
        </w:tc>
        <w:tc>
          <w:tcPr>
            <w:tcW w:w="1170" w:type="dxa"/>
            <w:shd w:val="clear" w:color="auto" w:fill="E8E8E8"/>
            <w:tcMar>
              <w:top w:w="40" w:type="dxa"/>
              <w:left w:w="80" w:type="dxa"/>
              <w:bottom w:w="40" w:type="dxa"/>
              <w:right w:w="80" w:type="dxa"/>
            </w:tcMar>
            <w:vAlign w:val="center"/>
          </w:tcPr>
          <w:p w14:paraId="7DF57E20"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MCA score</w:t>
            </w:r>
          </w:p>
        </w:tc>
        <w:tc>
          <w:tcPr>
            <w:tcW w:w="851" w:type="dxa"/>
            <w:shd w:val="clear" w:color="auto" w:fill="E8E8E8"/>
            <w:tcMar>
              <w:top w:w="40" w:type="dxa"/>
              <w:left w:w="80" w:type="dxa"/>
              <w:bottom w:w="40" w:type="dxa"/>
              <w:right w:w="80" w:type="dxa"/>
            </w:tcMar>
            <w:vAlign w:val="center"/>
          </w:tcPr>
          <w:p w14:paraId="4DF481A4"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Rank</w:t>
            </w:r>
          </w:p>
        </w:tc>
        <w:tc>
          <w:tcPr>
            <w:tcW w:w="1559" w:type="dxa"/>
            <w:shd w:val="clear" w:color="auto" w:fill="E8E8E8"/>
            <w:tcMar>
              <w:top w:w="40" w:type="dxa"/>
              <w:left w:w="80" w:type="dxa"/>
              <w:bottom w:w="40" w:type="dxa"/>
              <w:right w:w="80" w:type="dxa"/>
            </w:tcMar>
            <w:vAlign w:val="center"/>
          </w:tcPr>
          <w:p w14:paraId="381E5FB3"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Capital cost</w:t>
            </w:r>
          </w:p>
        </w:tc>
        <w:tc>
          <w:tcPr>
            <w:tcW w:w="1984" w:type="dxa"/>
            <w:shd w:val="clear" w:color="auto" w:fill="E8E8E8"/>
            <w:tcMar>
              <w:top w:w="40" w:type="dxa"/>
              <w:left w:w="80" w:type="dxa"/>
              <w:bottom w:w="40" w:type="dxa"/>
              <w:right w:w="80" w:type="dxa"/>
            </w:tcMar>
            <w:vAlign w:val="center"/>
          </w:tcPr>
          <w:p w14:paraId="004A17D2"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Recommendation</w:t>
            </w:r>
          </w:p>
        </w:tc>
      </w:tr>
      <w:tr w:rsidR="00A41DD1" w:rsidRPr="00BA595B" w14:paraId="7B7A37F9" w14:textId="77777777" w:rsidTr="00BA595B">
        <w:trPr>
          <w:cantSplit/>
        </w:trPr>
        <w:tc>
          <w:tcPr>
            <w:tcW w:w="1450" w:type="dxa"/>
            <w:tcMar>
              <w:top w:w="40" w:type="dxa"/>
              <w:left w:w="80" w:type="dxa"/>
              <w:bottom w:w="40" w:type="dxa"/>
              <w:right w:w="80" w:type="dxa"/>
            </w:tcMar>
            <w:vAlign w:val="center"/>
          </w:tcPr>
          <w:p w14:paraId="1BC24148"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Uvurkhangai</w:t>
            </w:r>
          </w:p>
        </w:tc>
        <w:tc>
          <w:tcPr>
            <w:tcW w:w="2620" w:type="dxa"/>
            <w:tcMar>
              <w:top w:w="40" w:type="dxa"/>
              <w:left w:w="80" w:type="dxa"/>
              <w:bottom w:w="40" w:type="dxa"/>
              <w:right w:w="80" w:type="dxa"/>
            </w:tcMar>
            <w:vAlign w:val="center"/>
          </w:tcPr>
          <w:p w14:paraId="064F183D"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Double hollow block-sheltered passive solar</w:t>
            </w:r>
          </w:p>
        </w:tc>
        <w:tc>
          <w:tcPr>
            <w:tcW w:w="1170" w:type="dxa"/>
            <w:tcMar>
              <w:top w:w="40" w:type="dxa"/>
              <w:left w:w="80" w:type="dxa"/>
              <w:bottom w:w="40" w:type="dxa"/>
              <w:right w:w="80" w:type="dxa"/>
            </w:tcMar>
            <w:vAlign w:val="center"/>
          </w:tcPr>
          <w:p w14:paraId="23618EAA"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4.45</w:t>
            </w:r>
          </w:p>
        </w:tc>
        <w:tc>
          <w:tcPr>
            <w:tcW w:w="851" w:type="dxa"/>
            <w:tcMar>
              <w:top w:w="40" w:type="dxa"/>
              <w:left w:w="80" w:type="dxa"/>
              <w:bottom w:w="40" w:type="dxa"/>
              <w:right w:w="80" w:type="dxa"/>
            </w:tcMar>
            <w:vAlign w:val="center"/>
          </w:tcPr>
          <w:p w14:paraId="70AAD391"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1st</w:t>
            </w:r>
          </w:p>
        </w:tc>
        <w:tc>
          <w:tcPr>
            <w:tcW w:w="1559" w:type="dxa"/>
            <w:tcMar>
              <w:top w:w="40" w:type="dxa"/>
              <w:left w:w="80" w:type="dxa"/>
              <w:bottom w:w="40" w:type="dxa"/>
              <w:right w:w="80" w:type="dxa"/>
            </w:tcMar>
            <w:vAlign w:val="center"/>
          </w:tcPr>
          <w:p w14:paraId="64834A46"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20–55/m²</w:t>
            </w:r>
          </w:p>
        </w:tc>
        <w:tc>
          <w:tcPr>
            <w:tcW w:w="1984" w:type="dxa"/>
            <w:tcMar>
              <w:top w:w="40" w:type="dxa"/>
              <w:left w:w="80" w:type="dxa"/>
              <w:bottom w:w="40" w:type="dxa"/>
              <w:right w:w="80" w:type="dxa"/>
            </w:tcMar>
            <w:vAlign w:val="center"/>
          </w:tcPr>
          <w:p w14:paraId="1BC54F26"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Primary</w:t>
            </w:r>
          </w:p>
        </w:tc>
      </w:tr>
      <w:tr w:rsidR="00A41DD1" w:rsidRPr="00BA595B" w14:paraId="1205CA96" w14:textId="77777777" w:rsidTr="00BA595B">
        <w:trPr>
          <w:cantSplit/>
        </w:trPr>
        <w:tc>
          <w:tcPr>
            <w:tcW w:w="1450" w:type="dxa"/>
            <w:tcMar>
              <w:top w:w="40" w:type="dxa"/>
              <w:left w:w="80" w:type="dxa"/>
              <w:bottom w:w="40" w:type="dxa"/>
              <w:right w:w="80" w:type="dxa"/>
            </w:tcMar>
            <w:vAlign w:val="center"/>
          </w:tcPr>
          <w:p w14:paraId="1AC23D20"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Uvurkhangai</w:t>
            </w:r>
          </w:p>
        </w:tc>
        <w:tc>
          <w:tcPr>
            <w:tcW w:w="2620" w:type="dxa"/>
            <w:tcMar>
              <w:top w:w="40" w:type="dxa"/>
              <w:left w:w="80" w:type="dxa"/>
              <w:bottom w:w="40" w:type="dxa"/>
              <w:right w:w="80" w:type="dxa"/>
            </w:tcMar>
            <w:vAlign w:val="center"/>
          </w:tcPr>
          <w:p w14:paraId="28AFBD3B"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Double-layer polytunnel</w:t>
            </w:r>
          </w:p>
        </w:tc>
        <w:tc>
          <w:tcPr>
            <w:tcW w:w="1170" w:type="dxa"/>
            <w:tcMar>
              <w:top w:w="40" w:type="dxa"/>
              <w:left w:w="80" w:type="dxa"/>
              <w:bottom w:w="40" w:type="dxa"/>
              <w:right w:w="80" w:type="dxa"/>
            </w:tcMar>
            <w:vAlign w:val="center"/>
          </w:tcPr>
          <w:p w14:paraId="78FB5AA5"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3.65</w:t>
            </w:r>
          </w:p>
        </w:tc>
        <w:tc>
          <w:tcPr>
            <w:tcW w:w="851" w:type="dxa"/>
            <w:tcMar>
              <w:top w:w="40" w:type="dxa"/>
              <w:left w:w="80" w:type="dxa"/>
              <w:bottom w:w="40" w:type="dxa"/>
              <w:right w:w="80" w:type="dxa"/>
            </w:tcMar>
            <w:vAlign w:val="center"/>
          </w:tcPr>
          <w:p w14:paraId="5DD16074"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2nd</w:t>
            </w:r>
          </w:p>
        </w:tc>
        <w:tc>
          <w:tcPr>
            <w:tcW w:w="1559" w:type="dxa"/>
            <w:tcMar>
              <w:top w:w="40" w:type="dxa"/>
              <w:left w:w="80" w:type="dxa"/>
              <w:bottom w:w="40" w:type="dxa"/>
              <w:right w:w="80" w:type="dxa"/>
            </w:tcMar>
            <w:vAlign w:val="center"/>
          </w:tcPr>
          <w:p w14:paraId="446E2D5D"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12–18/m²</w:t>
            </w:r>
          </w:p>
        </w:tc>
        <w:tc>
          <w:tcPr>
            <w:tcW w:w="1984" w:type="dxa"/>
            <w:tcMar>
              <w:top w:w="40" w:type="dxa"/>
              <w:left w:w="80" w:type="dxa"/>
              <w:bottom w:w="40" w:type="dxa"/>
              <w:right w:w="80" w:type="dxa"/>
            </w:tcMar>
            <w:vAlign w:val="center"/>
          </w:tcPr>
          <w:p w14:paraId="51CF1FDA"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Secondary</w:t>
            </w:r>
          </w:p>
        </w:tc>
      </w:tr>
      <w:tr w:rsidR="00A41DD1" w:rsidRPr="00BA595B" w14:paraId="7F3D82C6" w14:textId="77777777" w:rsidTr="00BA595B">
        <w:trPr>
          <w:cantSplit/>
        </w:trPr>
        <w:tc>
          <w:tcPr>
            <w:tcW w:w="1450" w:type="dxa"/>
            <w:tcMar>
              <w:top w:w="40" w:type="dxa"/>
              <w:left w:w="80" w:type="dxa"/>
              <w:bottom w:w="40" w:type="dxa"/>
              <w:right w:w="80" w:type="dxa"/>
            </w:tcMar>
            <w:vAlign w:val="center"/>
          </w:tcPr>
          <w:p w14:paraId="03398E8C"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Uvurkhangai</w:t>
            </w:r>
          </w:p>
        </w:tc>
        <w:tc>
          <w:tcPr>
            <w:tcW w:w="2620" w:type="dxa"/>
            <w:tcMar>
              <w:top w:w="40" w:type="dxa"/>
              <w:left w:w="80" w:type="dxa"/>
              <w:bottom w:w="40" w:type="dxa"/>
              <w:right w:w="80" w:type="dxa"/>
            </w:tcMar>
            <w:vAlign w:val="center"/>
          </w:tcPr>
          <w:p w14:paraId="521E5139"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Polycarbonate semi-permanent</w:t>
            </w:r>
          </w:p>
        </w:tc>
        <w:tc>
          <w:tcPr>
            <w:tcW w:w="1170" w:type="dxa"/>
            <w:tcMar>
              <w:top w:w="40" w:type="dxa"/>
              <w:left w:w="80" w:type="dxa"/>
              <w:bottom w:w="40" w:type="dxa"/>
              <w:right w:w="80" w:type="dxa"/>
            </w:tcMar>
            <w:vAlign w:val="center"/>
          </w:tcPr>
          <w:p w14:paraId="701ED2AB"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3.60</w:t>
            </w:r>
          </w:p>
        </w:tc>
        <w:tc>
          <w:tcPr>
            <w:tcW w:w="851" w:type="dxa"/>
            <w:tcMar>
              <w:top w:w="40" w:type="dxa"/>
              <w:left w:w="80" w:type="dxa"/>
              <w:bottom w:w="40" w:type="dxa"/>
              <w:right w:w="80" w:type="dxa"/>
            </w:tcMar>
            <w:vAlign w:val="center"/>
          </w:tcPr>
          <w:p w14:paraId="6984EE98"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3rd</w:t>
            </w:r>
          </w:p>
        </w:tc>
        <w:tc>
          <w:tcPr>
            <w:tcW w:w="1559" w:type="dxa"/>
            <w:tcMar>
              <w:top w:w="40" w:type="dxa"/>
              <w:left w:w="80" w:type="dxa"/>
              <w:bottom w:w="40" w:type="dxa"/>
              <w:right w:w="80" w:type="dxa"/>
            </w:tcMar>
            <w:vAlign w:val="center"/>
          </w:tcPr>
          <w:p w14:paraId="2BC21C74"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30–70/m²</w:t>
            </w:r>
          </w:p>
        </w:tc>
        <w:tc>
          <w:tcPr>
            <w:tcW w:w="1984" w:type="dxa"/>
            <w:tcMar>
              <w:top w:w="40" w:type="dxa"/>
              <w:left w:w="80" w:type="dxa"/>
              <w:bottom w:w="40" w:type="dxa"/>
              <w:right w:w="80" w:type="dxa"/>
            </w:tcMar>
            <w:vAlign w:val="center"/>
          </w:tcPr>
          <w:p w14:paraId="50CA62CF"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Cooperative option</w:t>
            </w:r>
          </w:p>
        </w:tc>
      </w:tr>
      <w:tr w:rsidR="00A41DD1" w:rsidRPr="00BA595B" w14:paraId="05EBD89A" w14:textId="77777777" w:rsidTr="00BA595B">
        <w:trPr>
          <w:cantSplit/>
        </w:trPr>
        <w:tc>
          <w:tcPr>
            <w:tcW w:w="1450" w:type="dxa"/>
            <w:tcMar>
              <w:top w:w="40" w:type="dxa"/>
              <w:left w:w="80" w:type="dxa"/>
              <w:bottom w:w="40" w:type="dxa"/>
              <w:right w:w="80" w:type="dxa"/>
            </w:tcMar>
            <w:vAlign w:val="center"/>
          </w:tcPr>
          <w:p w14:paraId="75CEF57D"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Dundgovi</w:t>
            </w:r>
          </w:p>
        </w:tc>
        <w:tc>
          <w:tcPr>
            <w:tcW w:w="2620" w:type="dxa"/>
            <w:tcMar>
              <w:top w:w="40" w:type="dxa"/>
              <w:left w:w="80" w:type="dxa"/>
              <w:bottom w:w="40" w:type="dxa"/>
              <w:right w:w="80" w:type="dxa"/>
            </w:tcMar>
            <w:vAlign w:val="center"/>
          </w:tcPr>
          <w:p w14:paraId="1FACBD84"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Earth-sheltered passive solar</w:t>
            </w:r>
          </w:p>
        </w:tc>
        <w:tc>
          <w:tcPr>
            <w:tcW w:w="1170" w:type="dxa"/>
            <w:tcMar>
              <w:top w:w="40" w:type="dxa"/>
              <w:left w:w="80" w:type="dxa"/>
              <w:bottom w:w="40" w:type="dxa"/>
              <w:right w:w="80" w:type="dxa"/>
            </w:tcMar>
            <w:vAlign w:val="center"/>
          </w:tcPr>
          <w:p w14:paraId="40EF233B"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4.30</w:t>
            </w:r>
          </w:p>
        </w:tc>
        <w:tc>
          <w:tcPr>
            <w:tcW w:w="851" w:type="dxa"/>
            <w:tcMar>
              <w:top w:w="40" w:type="dxa"/>
              <w:left w:w="80" w:type="dxa"/>
              <w:bottom w:w="40" w:type="dxa"/>
              <w:right w:w="80" w:type="dxa"/>
            </w:tcMar>
            <w:vAlign w:val="center"/>
          </w:tcPr>
          <w:p w14:paraId="312763B4"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1st</w:t>
            </w:r>
          </w:p>
        </w:tc>
        <w:tc>
          <w:tcPr>
            <w:tcW w:w="1559" w:type="dxa"/>
            <w:tcMar>
              <w:top w:w="40" w:type="dxa"/>
              <w:left w:w="80" w:type="dxa"/>
              <w:bottom w:w="40" w:type="dxa"/>
              <w:right w:w="80" w:type="dxa"/>
            </w:tcMar>
            <w:vAlign w:val="center"/>
          </w:tcPr>
          <w:p w14:paraId="4F28BEFD"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15–25/m²</w:t>
            </w:r>
          </w:p>
        </w:tc>
        <w:tc>
          <w:tcPr>
            <w:tcW w:w="1984" w:type="dxa"/>
            <w:tcMar>
              <w:top w:w="40" w:type="dxa"/>
              <w:left w:w="80" w:type="dxa"/>
              <w:bottom w:w="40" w:type="dxa"/>
              <w:right w:w="80" w:type="dxa"/>
            </w:tcMar>
            <w:vAlign w:val="center"/>
          </w:tcPr>
          <w:p w14:paraId="6933DE81"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Primary</w:t>
            </w:r>
          </w:p>
        </w:tc>
      </w:tr>
      <w:tr w:rsidR="00A41DD1" w:rsidRPr="00BA595B" w14:paraId="0A1B57AC" w14:textId="77777777" w:rsidTr="00BA595B">
        <w:trPr>
          <w:cantSplit/>
        </w:trPr>
        <w:tc>
          <w:tcPr>
            <w:tcW w:w="1450" w:type="dxa"/>
            <w:tcMar>
              <w:top w:w="40" w:type="dxa"/>
              <w:left w:w="80" w:type="dxa"/>
              <w:bottom w:w="40" w:type="dxa"/>
              <w:right w:w="80" w:type="dxa"/>
            </w:tcMar>
            <w:vAlign w:val="center"/>
          </w:tcPr>
          <w:p w14:paraId="43E14856"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Dundgovi</w:t>
            </w:r>
          </w:p>
        </w:tc>
        <w:tc>
          <w:tcPr>
            <w:tcW w:w="2620" w:type="dxa"/>
            <w:tcMar>
              <w:top w:w="40" w:type="dxa"/>
              <w:left w:w="80" w:type="dxa"/>
              <w:bottom w:w="40" w:type="dxa"/>
              <w:right w:w="80" w:type="dxa"/>
            </w:tcMar>
            <w:vAlign w:val="center"/>
          </w:tcPr>
          <w:p w14:paraId="34A0F484"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Polycarbonate semi-permanent</w:t>
            </w:r>
          </w:p>
        </w:tc>
        <w:tc>
          <w:tcPr>
            <w:tcW w:w="1170" w:type="dxa"/>
            <w:tcMar>
              <w:top w:w="40" w:type="dxa"/>
              <w:left w:w="80" w:type="dxa"/>
              <w:bottom w:w="40" w:type="dxa"/>
              <w:right w:w="80" w:type="dxa"/>
            </w:tcMar>
            <w:vAlign w:val="center"/>
          </w:tcPr>
          <w:p w14:paraId="1DD14DA9"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4.25</w:t>
            </w:r>
          </w:p>
        </w:tc>
        <w:tc>
          <w:tcPr>
            <w:tcW w:w="851" w:type="dxa"/>
            <w:tcMar>
              <w:top w:w="40" w:type="dxa"/>
              <w:left w:w="80" w:type="dxa"/>
              <w:bottom w:w="40" w:type="dxa"/>
              <w:right w:w="80" w:type="dxa"/>
            </w:tcMar>
            <w:vAlign w:val="center"/>
          </w:tcPr>
          <w:p w14:paraId="019D20D8"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2nd</w:t>
            </w:r>
          </w:p>
        </w:tc>
        <w:tc>
          <w:tcPr>
            <w:tcW w:w="1559" w:type="dxa"/>
            <w:tcMar>
              <w:top w:w="40" w:type="dxa"/>
              <w:left w:w="80" w:type="dxa"/>
              <w:bottom w:w="40" w:type="dxa"/>
              <w:right w:w="80" w:type="dxa"/>
            </w:tcMar>
            <w:vAlign w:val="center"/>
          </w:tcPr>
          <w:p w14:paraId="0401A6C9"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35–55/m²</w:t>
            </w:r>
          </w:p>
        </w:tc>
        <w:tc>
          <w:tcPr>
            <w:tcW w:w="1984" w:type="dxa"/>
            <w:tcMar>
              <w:top w:w="40" w:type="dxa"/>
              <w:left w:w="80" w:type="dxa"/>
              <w:bottom w:w="40" w:type="dxa"/>
              <w:right w:w="80" w:type="dxa"/>
            </w:tcMar>
            <w:vAlign w:val="center"/>
          </w:tcPr>
          <w:p w14:paraId="4E6815DB"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Co-financed upgrade</w:t>
            </w:r>
          </w:p>
        </w:tc>
      </w:tr>
      <w:tr w:rsidR="00A41DD1" w:rsidRPr="00BA595B" w14:paraId="0E3D95F2" w14:textId="77777777" w:rsidTr="00BA595B">
        <w:trPr>
          <w:cantSplit/>
        </w:trPr>
        <w:tc>
          <w:tcPr>
            <w:tcW w:w="1450" w:type="dxa"/>
            <w:tcMar>
              <w:top w:w="40" w:type="dxa"/>
              <w:left w:w="80" w:type="dxa"/>
              <w:bottom w:w="40" w:type="dxa"/>
              <w:right w:w="80" w:type="dxa"/>
            </w:tcMar>
            <w:vAlign w:val="center"/>
          </w:tcPr>
          <w:p w14:paraId="55FF254B"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Dundgovi</w:t>
            </w:r>
          </w:p>
        </w:tc>
        <w:tc>
          <w:tcPr>
            <w:tcW w:w="2620" w:type="dxa"/>
            <w:tcMar>
              <w:top w:w="40" w:type="dxa"/>
              <w:left w:w="80" w:type="dxa"/>
              <w:bottom w:w="40" w:type="dxa"/>
              <w:right w:w="80" w:type="dxa"/>
            </w:tcMar>
            <w:vAlign w:val="center"/>
          </w:tcPr>
          <w:p w14:paraId="384696D9"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Double-layer polytunnel</w:t>
            </w:r>
          </w:p>
        </w:tc>
        <w:tc>
          <w:tcPr>
            <w:tcW w:w="1170" w:type="dxa"/>
            <w:tcMar>
              <w:top w:w="40" w:type="dxa"/>
              <w:left w:w="80" w:type="dxa"/>
              <w:bottom w:w="40" w:type="dxa"/>
              <w:right w:w="80" w:type="dxa"/>
            </w:tcMar>
            <w:vAlign w:val="center"/>
          </w:tcPr>
          <w:p w14:paraId="0715CC31"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3.50</w:t>
            </w:r>
          </w:p>
        </w:tc>
        <w:tc>
          <w:tcPr>
            <w:tcW w:w="851" w:type="dxa"/>
            <w:tcMar>
              <w:top w:w="40" w:type="dxa"/>
              <w:left w:w="80" w:type="dxa"/>
              <w:bottom w:w="40" w:type="dxa"/>
              <w:right w:w="80" w:type="dxa"/>
            </w:tcMar>
            <w:vAlign w:val="center"/>
          </w:tcPr>
          <w:p w14:paraId="6A47209B"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3rd</w:t>
            </w:r>
          </w:p>
        </w:tc>
        <w:tc>
          <w:tcPr>
            <w:tcW w:w="1559" w:type="dxa"/>
            <w:tcMar>
              <w:top w:w="40" w:type="dxa"/>
              <w:left w:w="80" w:type="dxa"/>
              <w:bottom w:w="40" w:type="dxa"/>
              <w:right w:w="80" w:type="dxa"/>
            </w:tcMar>
            <w:vAlign w:val="center"/>
          </w:tcPr>
          <w:p w14:paraId="45BACBFA"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12–18/m²</w:t>
            </w:r>
          </w:p>
        </w:tc>
        <w:tc>
          <w:tcPr>
            <w:tcW w:w="1984" w:type="dxa"/>
            <w:tcMar>
              <w:top w:w="40" w:type="dxa"/>
              <w:left w:w="80" w:type="dxa"/>
              <w:bottom w:w="40" w:type="dxa"/>
              <w:right w:w="80" w:type="dxa"/>
            </w:tcMar>
            <w:vAlign w:val="center"/>
          </w:tcPr>
          <w:p w14:paraId="2A2FFE5A"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Budget option</w:t>
            </w:r>
          </w:p>
        </w:tc>
      </w:tr>
    </w:tbl>
    <w:p w14:paraId="6BAE10D2" w14:textId="77777777" w:rsidR="00A41DD1" w:rsidRDefault="00A41DD1" w:rsidP="00BA595B">
      <w:pPr>
        <w:spacing w:before="60" w:after="120" w:line="240" w:lineRule="auto"/>
        <w:contextualSpacing w:val="0"/>
      </w:pPr>
      <w:r>
        <w:rPr>
          <w:rFonts w:eastAsia="Times New Roman" w:cs="Times New Roman"/>
          <w:i/>
          <w:iCs/>
          <w:sz w:val="18"/>
          <w:szCs w:val="18"/>
        </w:rPr>
        <w:t>Recommendations follow Section 7.1.5 and the companion CBA: in Dundgovi the low-cost passive-solar design is the primary, financially viable choice once shelterbelts supply the wind protection; the polycarbonate structure is retained only as a higher-specification upgrade where public co-financing offsets its cost.</w:t>
      </w:r>
    </w:p>
    <w:p w14:paraId="0FC83311" w14:textId="77777777" w:rsidR="00A41DD1" w:rsidRDefault="00A41DD1" w:rsidP="003B22C9">
      <w:pPr>
        <w:pStyle w:val="Caption"/>
        <w:framePr w:wrap="notBeside"/>
      </w:pPr>
      <w:r>
        <w:t>Table A1.7 Irrigation / solar-pumping configurations ranked by province</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1436"/>
        <w:gridCol w:w="2670"/>
        <w:gridCol w:w="1134"/>
        <w:gridCol w:w="851"/>
        <w:gridCol w:w="1559"/>
        <w:gridCol w:w="1984"/>
      </w:tblGrid>
      <w:tr w:rsidR="00A41DD1" w:rsidRPr="00BA595B" w14:paraId="039AE22C" w14:textId="77777777" w:rsidTr="00BA595B">
        <w:trPr>
          <w:cantSplit/>
          <w:tblHeader/>
        </w:trPr>
        <w:tc>
          <w:tcPr>
            <w:tcW w:w="1436" w:type="dxa"/>
            <w:shd w:val="clear" w:color="auto" w:fill="E8E8E8"/>
            <w:tcMar>
              <w:top w:w="40" w:type="dxa"/>
              <w:left w:w="80" w:type="dxa"/>
              <w:bottom w:w="40" w:type="dxa"/>
              <w:right w:w="80" w:type="dxa"/>
            </w:tcMar>
            <w:vAlign w:val="center"/>
          </w:tcPr>
          <w:p w14:paraId="0E5BC083"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Province</w:t>
            </w:r>
          </w:p>
        </w:tc>
        <w:tc>
          <w:tcPr>
            <w:tcW w:w="2670" w:type="dxa"/>
            <w:shd w:val="clear" w:color="auto" w:fill="E8E8E8"/>
            <w:tcMar>
              <w:top w:w="40" w:type="dxa"/>
              <w:left w:w="80" w:type="dxa"/>
              <w:bottom w:w="40" w:type="dxa"/>
              <w:right w:w="80" w:type="dxa"/>
            </w:tcMar>
            <w:vAlign w:val="center"/>
          </w:tcPr>
          <w:p w14:paraId="70F510F1"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Configuration</w:t>
            </w:r>
          </w:p>
        </w:tc>
        <w:tc>
          <w:tcPr>
            <w:tcW w:w="1134" w:type="dxa"/>
            <w:shd w:val="clear" w:color="auto" w:fill="E8E8E8"/>
            <w:tcMar>
              <w:top w:w="40" w:type="dxa"/>
              <w:left w:w="80" w:type="dxa"/>
              <w:bottom w:w="40" w:type="dxa"/>
              <w:right w:w="80" w:type="dxa"/>
            </w:tcMar>
            <w:vAlign w:val="center"/>
          </w:tcPr>
          <w:p w14:paraId="0497E5F7"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MCA score</w:t>
            </w:r>
          </w:p>
        </w:tc>
        <w:tc>
          <w:tcPr>
            <w:tcW w:w="851" w:type="dxa"/>
            <w:shd w:val="clear" w:color="auto" w:fill="E8E8E8"/>
            <w:tcMar>
              <w:top w:w="40" w:type="dxa"/>
              <w:left w:w="80" w:type="dxa"/>
              <w:bottom w:w="40" w:type="dxa"/>
              <w:right w:w="80" w:type="dxa"/>
            </w:tcMar>
            <w:vAlign w:val="center"/>
          </w:tcPr>
          <w:p w14:paraId="525DE44F"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Rank</w:t>
            </w:r>
          </w:p>
        </w:tc>
        <w:tc>
          <w:tcPr>
            <w:tcW w:w="1559" w:type="dxa"/>
            <w:shd w:val="clear" w:color="auto" w:fill="E8E8E8"/>
            <w:tcMar>
              <w:top w:w="40" w:type="dxa"/>
              <w:left w:w="80" w:type="dxa"/>
              <w:bottom w:w="40" w:type="dxa"/>
              <w:right w:w="80" w:type="dxa"/>
            </w:tcMar>
            <w:vAlign w:val="center"/>
          </w:tcPr>
          <w:p w14:paraId="770C91A6"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Capital cost</w:t>
            </w:r>
          </w:p>
        </w:tc>
        <w:tc>
          <w:tcPr>
            <w:tcW w:w="1984" w:type="dxa"/>
            <w:shd w:val="clear" w:color="auto" w:fill="E8E8E8"/>
            <w:tcMar>
              <w:top w:w="40" w:type="dxa"/>
              <w:left w:w="80" w:type="dxa"/>
              <w:bottom w:w="40" w:type="dxa"/>
              <w:right w:w="80" w:type="dxa"/>
            </w:tcMar>
            <w:vAlign w:val="center"/>
          </w:tcPr>
          <w:p w14:paraId="383C7D2C"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b/>
                <w:bCs/>
                <w:sz w:val="20"/>
                <w:szCs w:val="20"/>
              </w:rPr>
              <w:t>Recommendation</w:t>
            </w:r>
          </w:p>
        </w:tc>
      </w:tr>
      <w:tr w:rsidR="00A41DD1" w:rsidRPr="00BA595B" w14:paraId="5FAB7040" w14:textId="77777777" w:rsidTr="00BA595B">
        <w:trPr>
          <w:cantSplit/>
        </w:trPr>
        <w:tc>
          <w:tcPr>
            <w:tcW w:w="1436" w:type="dxa"/>
            <w:tcMar>
              <w:top w:w="40" w:type="dxa"/>
              <w:left w:w="80" w:type="dxa"/>
              <w:bottom w:w="40" w:type="dxa"/>
              <w:right w:w="80" w:type="dxa"/>
            </w:tcMar>
            <w:vAlign w:val="center"/>
          </w:tcPr>
          <w:p w14:paraId="67E355A6"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Uvurkhangai (shallow wells 5–25 m)</w:t>
            </w:r>
          </w:p>
        </w:tc>
        <w:tc>
          <w:tcPr>
            <w:tcW w:w="2670" w:type="dxa"/>
            <w:tcMar>
              <w:top w:w="40" w:type="dxa"/>
              <w:left w:w="80" w:type="dxa"/>
              <w:bottom w:w="40" w:type="dxa"/>
              <w:right w:w="80" w:type="dxa"/>
            </w:tcMar>
            <w:vAlign w:val="center"/>
          </w:tcPr>
          <w:p w14:paraId="1759ACD4"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Direct-coupled solar (no battery); gravity-fed drip where elevation allows</w:t>
            </w:r>
          </w:p>
        </w:tc>
        <w:tc>
          <w:tcPr>
            <w:tcW w:w="1134" w:type="dxa"/>
            <w:tcMar>
              <w:top w:w="40" w:type="dxa"/>
              <w:left w:w="80" w:type="dxa"/>
              <w:bottom w:w="40" w:type="dxa"/>
              <w:right w:w="80" w:type="dxa"/>
            </w:tcMar>
            <w:vAlign w:val="center"/>
          </w:tcPr>
          <w:p w14:paraId="66480D97"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4.55</w:t>
            </w:r>
          </w:p>
        </w:tc>
        <w:tc>
          <w:tcPr>
            <w:tcW w:w="851" w:type="dxa"/>
            <w:tcMar>
              <w:top w:w="40" w:type="dxa"/>
              <w:left w:w="80" w:type="dxa"/>
              <w:bottom w:w="40" w:type="dxa"/>
              <w:right w:w="80" w:type="dxa"/>
            </w:tcMar>
            <w:vAlign w:val="center"/>
          </w:tcPr>
          <w:p w14:paraId="753E4C1E"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1st</w:t>
            </w:r>
          </w:p>
        </w:tc>
        <w:tc>
          <w:tcPr>
            <w:tcW w:w="1559" w:type="dxa"/>
            <w:tcMar>
              <w:top w:w="40" w:type="dxa"/>
              <w:left w:w="80" w:type="dxa"/>
              <w:bottom w:w="40" w:type="dxa"/>
              <w:right w:w="80" w:type="dxa"/>
            </w:tcMar>
            <w:vAlign w:val="center"/>
          </w:tcPr>
          <w:p w14:paraId="71FB1B2C"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1,500–3,000</w:t>
            </w:r>
          </w:p>
        </w:tc>
        <w:tc>
          <w:tcPr>
            <w:tcW w:w="1984" w:type="dxa"/>
            <w:tcMar>
              <w:top w:w="40" w:type="dxa"/>
              <w:left w:w="80" w:type="dxa"/>
              <w:bottom w:w="40" w:type="dxa"/>
              <w:right w:w="80" w:type="dxa"/>
            </w:tcMar>
            <w:vAlign w:val="center"/>
          </w:tcPr>
          <w:p w14:paraId="494E65FD"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Primary — sufficient</w:t>
            </w:r>
          </w:p>
        </w:tc>
      </w:tr>
      <w:tr w:rsidR="00A41DD1" w:rsidRPr="00BA595B" w14:paraId="245B79D9" w14:textId="77777777" w:rsidTr="00BA595B">
        <w:trPr>
          <w:cantSplit/>
        </w:trPr>
        <w:tc>
          <w:tcPr>
            <w:tcW w:w="1436" w:type="dxa"/>
            <w:tcMar>
              <w:top w:w="40" w:type="dxa"/>
              <w:left w:w="80" w:type="dxa"/>
              <w:bottom w:w="40" w:type="dxa"/>
              <w:right w:w="80" w:type="dxa"/>
            </w:tcMar>
            <w:vAlign w:val="center"/>
          </w:tcPr>
          <w:p w14:paraId="4EFE432E"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Uvurkhangai (shallow wells 5–25 m)</w:t>
            </w:r>
          </w:p>
        </w:tc>
        <w:tc>
          <w:tcPr>
            <w:tcW w:w="2670" w:type="dxa"/>
            <w:tcMar>
              <w:top w:w="40" w:type="dxa"/>
              <w:left w:w="80" w:type="dxa"/>
              <w:bottom w:w="40" w:type="dxa"/>
              <w:right w:w="80" w:type="dxa"/>
            </w:tcMar>
            <w:vAlign w:val="center"/>
          </w:tcPr>
          <w:p w14:paraId="0B642630"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Solar + small buffer battery (2–5 kWh)</w:t>
            </w:r>
          </w:p>
        </w:tc>
        <w:tc>
          <w:tcPr>
            <w:tcW w:w="1134" w:type="dxa"/>
            <w:tcMar>
              <w:top w:w="40" w:type="dxa"/>
              <w:left w:w="80" w:type="dxa"/>
              <w:bottom w:w="40" w:type="dxa"/>
              <w:right w:w="80" w:type="dxa"/>
            </w:tcMar>
            <w:vAlign w:val="center"/>
          </w:tcPr>
          <w:p w14:paraId="1C19B730"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4.10</w:t>
            </w:r>
          </w:p>
        </w:tc>
        <w:tc>
          <w:tcPr>
            <w:tcW w:w="851" w:type="dxa"/>
            <w:tcMar>
              <w:top w:w="40" w:type="dxa"/>
              <w:left w:w="80" w:type="dxa"/>
              <w:bottom w:w="40" w:type="dxa"/>
              <w:right w:w="80" w:type="dxa"/>
            </w:tcMar>
            <w:vAlign w:val="center"/>
          </w:tcPr>
          <w:p w14:paraId="2195654F"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2nd</w:t>
            </w:r>
          </w:p>
        </w:tc>
        <w:tc>
          <w:tcPr>
            <w:tcW w:w="1559" w:type="dxa"/>
            <w:tcMar>
              <w:top w:w="40" w:type="dxa"/>
              <w:left w:w="80" w:type="dxa"/>
              <w:bottom w:w="40" w:type="dxa"/>
              <w:right w:w="80" w:type="dxa"/>
            </w:tcMar>
            <w:vAlign w:val="center"/>
          </w:tcPr>
          <w:p w14:paraId="7B5C5C5D"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3,000–5,500</w:t>
            </w:r>
          </w:p>
        </w:tc>
        <w:tc>
          <w:tcPr>
            <w:tcW w:w="1984" w:type="dxa"/>
            <w:tcMar>
              <w:top w:w="40" w:type="dxa"/>
              <w:left w:w="80" w:type="dxa"/>
              <w:bottom w:w="40" w:type="dxa"/>
              <w:right w:w="80" w:type="dxa"/>
            </w:tcMar>
            <w:vAlign w:val="center"/>
          </w:tcPr>
          <w:p w14:paraId="215065BB"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Optional upgrade</w:t>
            </w:r>
          </w:p>
        </w:tc>
      </w:tr>
      <w:tr w:rsidR="00A41DD1" w:rsidRPr="00BA595B" w14:paraId="7763752D" w14:textId="77777777" w:rsidTr="00BA595B">
        <w:trPr>
          <w:cantSplit/>
        </w:trPr>
        <w:tc>
          <w:tcPr>
            <w:tcW w:w="1436" w:type="dxa"/>
            <w:tcMar>
              <w:top w:w="40" w:type="dxa"/>
              <w:left w:w="80" w:type="dxa"/>
              <w:bottom w:w="40" w:type="dxa"/>
              <w:right w:w="80" w:type="dxa"/>
            </w:tcMar>
            <w:vAlign w:val="center"/>
          </w:tcPr>
          <w:p w14:paraId="645E352C"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Dundgovi (deep boreholes 50–150 m)</w:t>
            </w:r>
          </w:p>
        </w:tc>
        <w:tc>
          <w:tcPr>
            <w:tcW w:w="2670" w:type="dxa"/>
            <w:tcMar>
              <w:top w:w="40" w:type="dxa"/>
              <w:left w:w="80" w:type="dxa"/>
              <w:bottom w:w="40" w:type="dxa"/>
              <w:right w:w="80" w:type="dxa"/>
            </w:tcMar>
            <w:vAlign w:val="center"/>
          </w:tcPr>
          <w:p w14:paraId="0D2AD3CC"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 xml:space="preserve">Solar + full </w:t>
            </w:r>
            <w:proofErr w:type="spellStart"/>
            <w:r>
              <w:rPr>
                <w:rFonts w:eastAsia="Times New Roman" w:cs="Times New Roman"/>
                <w:sz w:val="20"/>
                <w:szCs w:val="20"/>
              </w:rPr>
              <w:t>LiFePO</w:t>
            </w:r>
            <w:proofErr w:type="spellEnd"/>
            <w:r>
              <w:rPr>
                <w:rFonts w:eastAsia="Times New Roman" w:cs="Times New Roman"/>
                <w:sz w:val="20"/>
                <w:szCs w:val="20"/>
              </w:rPr>
              <w:t>₄ battery (10–15 kWh)</w:t>
            </w:r>
          </w:p>
        </w:tc>
        <w:tc>
          <w:tcPr>
            <w:tcW w:w="1134" w:type="dxa"/>
            <w:tcMar>
              <w:top w:w="40" w:type="dxa"/>
              <w:left w:w="80" w:type="dxa"/>
              <w:bottom w:w="40" w:type="dxa"/>
              <w:right w:w="80" w:type="dxa"/>
            </w:tcMar>
            <w:vAlign w:val="center"/>
          </w:tcPr>
          <w:p w14:paraId="3F0BE16C"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4.40</w:t>
            </w:r>
          </w:p>
        </w:tc>
        <w:tc>
          <w:tcPr>
            <w:tcW w:w="851" w:type="dxa"/>
            <w:tcMar>
              <w:top w:w="40" w:type="dxa"/>
              <w:left w:w="80" w:type="dxa"/>
              <w:bottom w:w="40" w:type="dxa"/>
              <w:right w:w="80" w:type="dxa"/>
            </w:tcMar>
            <w:vAlign w:val="center"/>
          </w:tcPr>
          <w:p w14:paraId="45D3BB6F"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1st</w:t>
            </w:r>
          </w:p>
        </w:tc>
        <w:tc>
          <w:tcPr>
            <w:tcW w:w="1559" w:type="dxa"/>
            <w:tcMar>
              <w:top w:w="40" w:type="dxa"/>
              <w:left w:w="80" w:type="dxa"/>
              <w:bottom w:w="40" w:type="dxa"/>
              <w:right w:w="80" w:type="dxa"/>
            </w:tcMar>
            <w:vAlign w:val="center"/>
          </w:tcPr>
          <w:p w14:paraId="66CA6AF0"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5,500–12,000</w:t>
            </w:r>
          </w:p>
        </w:tc>
        <w:tc>
          <w:tcPr>
            <w:tcW w:w="1984" w:type="dxa"/>
            <w:tcMar>
              <w:top w:w="40" w:type="dxa"/>
              <w:left w:w="80" w:type="dxa"/>
              <w:bottom w:w="40" w:type="dxa"/>
              <w:right w:w="80" w:type="dxa"/>
            </w:tcMar>
            <w:vAlign w:val="center"/>
          </w:tcPr>
          <w:p w14:paraId="7E755C50"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Primary — essential</w:t>
            </w:r>
          </w:p>
        </w:tc>
      </w:tr>
      <w:tr w:rsidR="00A41DD1" w:rsidRPr="00BA595B" w14:paraId="35DFF5F9" w14:textId="77777777" w:rsidTr="00BA595B">
        <w:trPr>
          <w:cantSplit/>
        </w:trPr>
        <w:tc>
          <w:tcPr>
            <w:tcW w:w="1436" w:type="dxa"/>
            <w:tcMar>
              <w:top w:w="40" w:type="dxa"/>
              <w:left w:w="80" w:type="dxa"/>
              <w:bottom w:w="40" w:type="dxa"/>
              <w:right w:w="80" w:type="dxa"/>
            </w:tcMar>
            <w:vAlign w:val="center"/>
          </w:tcPr>
          <w:p w14:paraId="3D9332F6"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Dundgovi (deep boreholes 50–150 m)</w:t>
            </w:r>
          </w:p>
        </w:tc>
        <w:tc>
          <w:tcPr>
            <w:tcW w:w="2670" w:type="dxa"/>
            <w:tcMar>
              <w:top w:w="40" w:type="dxa"/>
              <w:left w:w="80" w:type="dxa"/>
              <w:bottom w:w="40" w:type="dxa"/>
              <w:right w:w="80" w:type="dxa"/>
            </w:tcMar>
            <w:vAlign w:val="center"/>
          </w:tcPr>
          <w:p w14:paraId="5316EBB2"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Solar–diesel hybrid</w:t>
            </w:r>
          </w:p>
        </w:tc>
        <w:tc>
          <w:tcPr>
            <w:tcW w:w="1134" w:type="dxa"/>
            <w:tcMar>
              <w:top w:w="40" w:type="dxa"/>
              <w:left w:w="80" w:type="dxa"/>
              <w:bottom w:w="40" w:type="dxa"/>
              <w:right w:w="80" w:type="dxa"/>
            </w:tcMar>
            <w:vAlign w:val="center"/>
          </w:tcPr>
          <w:p w14:paraId="315CEDD2"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4.15</w:t>
            </w:r>
          </w:p>
        </w:tc>
        <w:tc>
          <w:tcPr>
            <w:tcW w:w="851" w:type="dxa"/>
            <w:tcMar>
              <w:top w:w="40" w:type="dxa"/>
              <w:left w:w="80" w:type="dxa"/>
              <w:bottom w:w="40" w:type="dxa"/>
              <w:right w:w="80" w:type="dxa"/>
            </w:tcMar>
            <w:vAlign w:val="center"/>
          </w:tcPr>
          <w:p w14:paraId="551C692E"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2nd</w:t>
            </w:r>
          </w:p>
        </w:tc>
        <w:tc>
          <w:tcPr>
            <w:tcW w:w="1559" w:type="dxa"/>
            <w:tcMar>
              <w:top w:w="40" w:type="dxa"/>
              <w:left w:w="80" w:type="dxa"/>
              <w:bottom w:w="40" w:type="dxa"/>
              <w:right w:w="80" w:type="dxa"/>
            </w:tcMar>
            <w:vAlign w:val="center"/>
          </w:tcPr>
          <w:p w14:paraId="3DFBE606" w14:textId="77777777" w:rsidR="00A41DD1" w:rsidRPr="00BA595B" w:rsidRDefault="00A41DD1" w:rsidP="00BA595B">
            <w:pPr>
              <w:spacing w:before="40" w:after="40" w:line="240" w:lineRule="auto"/>
              <w:contextualSpacing w:val="0"/>
              <w:jc w:val="center"/>
              <w:rPr>
                <w:sz w:val="20"/>
                <w:szCs w:val="20"/>
              </w:rPr>
            </w:pPr>
            <w:r>
              <w:rPr>
                <w:rFonts w:eastAsia="Times New Roman" w:cs="Times New Roman"/>
                <w:sz w:val="20"/>
                <w:szCs w:val="20"/>
              </w:rPr>
              <w:t>USD 6,000–10,000</w:t>
            </w:r>
          </w:p>
        </w:tc>
        <w:tc>
          <w:tcPr>
            <w:tcW w:w="1984" w:type="dxa"/>
            <w:tcMar>
              <w:top w:w="40" w:type="dxa"/>
              <w:left w:w="80" w:type="dxa"/>
              <w:bottom w:w="40" w:type="dxa"/>
              <w:right w:w="80" w:type="dxa"/>
            </w:tcMar>
            <w:vAlign w:val="center"/>
          </w:tcPr>
          <w:p w14:paraId="03B445A1" w14:textId="77777777" w:rsidR="00A41DD1" w:rsidRPr="00BA595B" w:rsidRDefault="00A41DD1" w:rsidP="00BA595B">
            <w:pPr>
              <w:spacing w:before="40" w:after="40" w:line="240" w:lineRule="auto"/>
              <w:contextualSpacing w:val="0"/>
              <w:rPr>
                <w:sz w:val="20"/>
                <w:szCs w:val="20"/>
              </w:rPr>
            </w:pPr>
            <w:r>
              <w:rPr>
                <w:rFonts w:eastAsia="Times New Roman" w:cs="Times New Roman"/>
                <w:sz w:val="20"/>
                <w:szCs w:val="20"/>
              </w:rPr>
              <w:t>Backup option</w:t>
            </w:r>
          </w:p>
        </w:tc>
      </w:tr>
    </w:tbl>
    <w:p w14:paraId="6BEC2C0B" w14:textId="77777777" w:rsidR="00A41DD1" w:rsidRDefault="00A41DD1" w:rsidP="00D32CE1">
      <w:pPr>
        <w:pStyle w:val="OikoSectionHeading3"/>
      </w:pPr>
      <w:bookmarkStart w:id="177" w:name="_Toc233981380"/>
      <w:r>
        <w:t>A1.4 Cross-family comparative screening matrix</w:t>
      </w:r>
      <w:bookmarkEnd w:id="177"/>
    </w:p>
    <w:p w14:paraId="5E6292FD" w14:textId="77777777" w:rsidR="00A41DD1" w:rsidRDefault="00A41DD1" w:rsidP="00BA595B">
      <w:pPr>
        <w:spacing w:before="120" w:after="120" w:line="240" w:lineRule="auto"/>
        <w:contextualSpacing w:val="0"/>
      </w:pPr>
      <w:r>
        <w:rPr>
          <w:rFonts w:eastAsia="Times New Roman" w:cs="Times New Roman"/>
        </w:rPr>
        <w:t>Comparative screening proceeds in two stages (Section 7.5): stage 1 ranks the options within each family on the common weighted matrix; stage 2 filters the highest-scoring options against deployment realities — alignment with smallholder horticulture, integration potential, feasibility under extreme aridity, and scalability under institutional and financial constraints. Table A1.8 consolidates the outcome; Table A1.9 records the options screened out.</w:t>
      </w:r>
    </w:p>
    <w:p w14:paraId="06ADCA75" w14:textId="77777777" w:rsidR="00A41DD1" w:rsidRDefault="00A41DD1" w:rsidP="003B22C9">
      <w:pPr>
        <w:pStyle w:val="Caption"/>
        <w:framePr w:wrap="notBeside"/>
      </w:pPr>
      <w:r>
        <w:lastRenderedPageBreak/>
        <w:t>Table A1.8 Comparative screening summary</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1500"/>
        <w:gridCol w:w="2711"/>
        <w:gridCol w:w="2711"/>
        <w:gridCol w:w="2712"/>
      </w:tblGrid>
      <w:tr w:rsidR="00A41DD1" w:rsidRPr="00BA595B" w14:paraId="5648EFDF" w14:textId="77777777" w:rsidTr="00D32CE1">
        <w:trPr>
          <w:cantSplit/>
          <w:tblHeader/>
        </w:trPr>
        <w:tc>
          <w:tcPr>
            <w:tcW w:w="1500" w:type="dxa"/>
            <w:shd w:val="clear" w:color="auto" w:fill="E99E6D" w:themeFill="accent3"/>
            <w:tcMar>
              <w:top w:w="40" w:type="dxa"/>
              <w:left w:w="80" w:type="dxa"/>
              <w:bottom w:w="40" w:type="dxa"/>
              <w:right w:w="80" w:type="dxa"/>
            </w:tcMar>
            <w:vAlign w:val="center"/>
          </w:tcPr>
          <w:p w14:paraId="543C961C" w14:textId="77777777" w:rsidR="00A41DD1" w:rsidRPr="00BA595B" w:rsidRDefault="00A41DD1" w:rsidP="00D32CE1">
            <w:pPr>
              <w:pStyle w:val="OikoTables02"/>
            </w:pPr>
            <w:r>
              <w:t>Technology category</w:t>
            </w:r>
          </w:p>
        </w:tc>
        <w:tc>
          <w:tcPr>
            <w:tcW w:w="2711" w:type="dxa"/>
            <w:shd w:val="clear" w:color="auto" w:fill="E99E6D" w:themeFill="accent3"/>
            <w:tcMar>
              <w:top w:w="40" w:type="dxa"/>
              <w:left w:w="80" w:type="dxa"/>
              <w:bottom w:w="40" w:type="dxa"/>
              <w:right w:w="80" w:type="dxa"/>
            </w:tcMar>
            <w:vAlign w:val="center"/>
          </w:tcPr>
          <w:p w14:paraId="3357A570" w14:textId="77777777" w:rsidR="00A41DD1" w:rsidRPr="00BA595B" w:rsidRDefault="00A41DD1" w:rsidP="00D32CE1">
            <w:pPr>
              <w:pStyle w:val="OikoTables02"/>
            </w:pPr>
            <w:r>
              <w:t>Leading option (MCA score)</w:t>
            </w:r>
          </w:p>
        </w:tc>
        <w:tc>
          <w:tcPr>
            <w:tcW w:w="2711" w:type="dxa"/>
            <w:shd w:val="clear" w:color="auto" w:fill="E99E6D" w:themeFill="accent3"/>
            <w:tcMar>
              <w:top w:w="40" w:type="dxa"/>
              <w:left w:w="80" w:type="dxa"/>
              <w:bottom w:w="40" w:type="dxa"/>
              <w:right w:w="80" w:type="dxa"/>
            </w:tcMar>
            <w:vAlign w:val="center"/>
          </w:tcPr>
          <w:p w14:paraId="4472776E" w14:textId="77777777" w:rsidR="00A41DD1" w:rsidRPr="00BA595B" w:rsidRDefault="00A41DD1" w:rsidP="00D32CE1">
            <w:pPr>
              <w:pStyle w:val="OikoTables02"/>
            </w:pPr>
            <w:r>
              <w:t>Principal role</w:t>
            </w:r>
          </w:p>
        </w:tc>
        <w:tc>
          <w:tcPr>
            <w:tcW w:w="2712" w:type="dxa"/>
            <w:shd w:val="clear" w:color="auto" w:fill="E99E6D" w:themeFill="accent3"/>
            <w:tcMar>
              <w:top w:w="40" w:type="dxa"/>
              <w:left w:w="80" w:type="dxa"/>
              <w:bottom w:w="40" w:type="dxa"/>
              <w:right w:w="80" w:type="dxa"/>
            </w:tcMar>
            <w:vAlign w:val="center"/>
          </w:tcPr>
          <w:p w14:paraId="765C8436" w14:textId="77777777" w:rsidR="00A41DD1" w:rsidRPr="00BA595B" w:rsidRDefault="00A41DD1" w:rsidP="00D32CE1">
            <w:pPr>
              <w:pStyle w:val="OikoTables02"/>
            </w:pPr>
            <w:r>
              <w:t>Screening decision</w:t>
            </w:r>
          </w:p>
        </w:tc>
      </w:tr>
      <w:tr w:rsidR="00A41DD1" w:rsidRPr="00BA595B" w14:paraId="4EA8510E" w14:textId="77777777" w:rsidTr="00D32CE1">
        <w:trPr>
          <w:cantSplit/>
        </w:trPr>
        <w:tc>
          <w:tcPr>
            <w:tcW w:w="1500" w:type="dxa"/>
            <w:tcMar>
              <w:top w:w="40" w:type="dxa"/>
              <w:left w:w="80" w:type="dxa"/>
              <w:bottom w:w="40" w:type="dxa"/>
              <w:right w:w="80" w:type="dxa"/>
            </w:tcMar>
            <w:vAlign w:val="center"/>
          </w:tcPr>
          <w:p w14:paraId="47271959" w14:textId="77777777" w:rsidR="00A41DD1" w:rsidRPr="00BA595B" w:rsidRDefault="00A41DD1" w:rsidP="00D32CE1">
            <w:pPr>
              <w:pStyle w:val="OikoTables03Content"/>
            </w:pPr>
            <w:r>
              <w:t>Greenhouse</w:t>
            </w:r>
          </w:p>
        </w:tc>
        <w:tc>
          <w:tcPr>
            <w:tcW w:w="2711" w:type="dxa"/>
            <w:tcMar>
              <w:top w:w="40" w:type="dxa"/>
              <w:left w:w="80" w:type="dxa"/>
              <w:bottom w:w="40" w:type="dxa"/>
              <w:right w:w="80" w:type="dxa"/>
            </w:tcMar>
            <w:vAlign w:val="center"/>
          </w:tcPr>
          <w:p w14:paraId="42045548" w14:textId="77777777" w:rsidR="00A41DD1" w:rsidRPr="00BA595B" w:rsidRDefault="00A41DD1" w:rsidP="00D32CE1">
            <w:pPr>
              <w:pStyle w:val="OikoTables03Content"/>
            </w:pPr>
            <w:r>
              <w:t>Earth-sheltered passive solar (4.25)</w:t>
            </w:r>
          </w:p>
        </w:tc>
        <w:tc>
          <w:tcPr>
            <w:tcW w:w="2711" w:type="dxa"/>
            <w:tcMar>
              <w:top w:w="40" w:type="dxa"/>
              <w:left w:w="80" w:type="dxa"/>
              <w:bottom w:w="40" w:type="dxa"/>
              <w:right w:w="80" w:type="dxa"/>
            </w:tcMar>
            <w:vAlign w:val="center"/>
          </w:tcPr>
          <w:p w14:paraId="3B487EDA" w14:textId="77777777" w:rsidR="00A41DD1" w:rsidRPr="00BA595B" w:rsidRDefault="00A41DD1" w:rsidP="00D32CE1">
            <w:pPr>
              <w:pStyle w:val="OikoTables03Content"/>
            </w:pPr>
            <w:r>
              <w:t>Season extension, climate protection, yield gain</w:t>
            </w:r>
          </w:p>
        </w:tc>
        <w:tc>
          <w:tcPr>
            <w:tcW w:w="2712" w:type="dxa"/>
            <w:tcMar>
              <w:top w:w="40" w:type="dxa"/>
              <w:left w:w="80" w:type="dxa"/>
              <w:bottom w:w="40" w:type="dxa"/>
              <w:right w:w="80" w:type="dxa"/>
            </w:tcMar>
            <w:vAlign w:val="center"/>
          </w:tcPr>
          <w:p w14:paraId="673746E9" w14:textId="77777777" w:rsidR="00A41DD1" w:rsidRPr="00BA595B" w:rsidRDefault="00A41DD1" w:rsidP="00D32CE1">
            <w:pPr>
              <w:pStyle w:val="OikoTables03Content"/>
            </w:pPr>
            <w:r>
              <w:t>Shortlisted — primary productive asset</w:t>
            </w:r>
          </w:p>
        </w:tc>
      </w:tr>
      <w:tr w:rsidR="00A41DD1" w:rsidRPr="00BA595B" w14:paraId="636863B4" w14:textId="77777777" w:rsidTr="00D32CE1">
        <w:trPr>
          <w:cantSplit/>
        </w:trPr>
        <w:tc>
          <w:tcPr>
            <w:tcW w:w="1500" w:type="dxa"/>
            <w:tcMar>
              <w:top w:w="40" w:type="dxa"/>
              <w:left w:w="80" w:type="dxa"/>
              <w:bottom w:w="40" w:type="dxa"/>
              <w:right w:w="80" w:type="dxa"/>
            </w:tcMar>
            <w:vAlign w:val="center"/>
          </w:tcPr>
          <w:p w14:paraId="2A3A5BF5" w14:textId="77777777" w:rsidR="00A41DD1" w:rsidRPr="00BA595B" w:rsidRDefault="00A41DD1" w:rsidP="00D32CE1">
            <w:pPr>
              <w:pStyle w:val="OikoTables03Content"/>
            </w:pPr>
            <w:r>
              <w:t>Irrigation</w:t>
            </w:r>
          </w:p>
        </w:tc>
        <w:tc>
          <w:tcPr>
            <w:tcW w:w="2711" w:type="dxa"/>
            <w:tcMar>
              <w:top w:w="40" w:type="dxa"/>
              <w:left w:w="80" w:type="dxa"/>
              <w:bottom w:w="40" w:type="dxa"/>
              <w:right w:w="80" w:type="dxa"/>
            </w:tcMar>
            <w:vAlign w:val="center"/>
          </w:tcPr>
          <w:p w14:paraId="1BE67FA0" w14:textId="77777777" w:rsidR="00A41DD1" w:rsidRPr="00BA595B" w:rsidRDefault="00A41DD1" w:rsidP="00D32CE1">
            <w:pPr>
              <w:pStyle w:val="OikoTables03Content"/>
            </w:pPr>
            <w:r>
              <w:t>Solar-powered drip (4.30); gravity-fed drip (4.23)</w:t>
            </w:r>
          </w:p>
        </w:tc>
        <w:tc>
          <w:tcPr>
            <w:tcW w:w="2711" w:type="dxa"/>
            <w:tcMar>
              <w:top w:w="40" w:type="dxa"/>
              <w:left w:w="80" w:type="dxa"/>
              <w:bottom w:w="40" w:type="dxa"/>
              <w:right w:w="80" w:type="dxa"/>
            </w:tcMar>
            <w:vAlign w:val="center"/>
          </w:tcPr>
          <w:p w14:paraId="74BAEABF" w14:textId="77777777" w:rsidR="00A41DD1" w:rsidRPr="00BA595B" w:rsidRDefault="00A41DD1" w:rsidP="00D32CE1">
            <w:pPr>
              <w:pStyle w:val="OikoTables03Content"/>
            </w:pPr>
            <w:r>
              <w:t xml:space="preserve">Water efficiency and </w:t>
            </w:r>
            <w:proofErr w:type="spellStart"/>
            <w:r>
              <w:t>pressurised</w:t>
            </w:r>
            <w:proofErr w:type="spellEnd"/>
            <w:r>
              <w:t xml:space="preserve"> supply</w:t>
            </w:r>
          </w:p>
        </w:tc>
        <w:tc>
          <w:tcPr>
            <w:tcW w:w="2712" w:type="dxa"/>
            <w:tcMar>
              <w:top w:w="40" w:type="dxa"/>
              <w:left w:w="80" w:type="dxa"/>
              <w:bottom w:w="40" w:type="dxa"/>
              <w:right w:w="80" w:type="dxa"/>
            </w:tcMar>
            <w:vAlign w:val="center"/>
          </w:tcPr>
          <w:p w14:paraId="41CCA87C" w14:textId="77777777" w:rsidR="00A41DD1" w:rsidRPr="00BA595B" w:rsidRDefault="00A41DD1" w:rsidP="00D32CE1">
            <w:pPr>
              <w:pStyle w:val="OikoTables03Content"/>
            </w:pPr>
            <w:r>
              <w:t>Shortlisted — enabling, paired with greenhouse and open field</w:t>
            </w:r>
          </w:p>
        </w:tc>
      </w:tr>
      <w:tr w:rsidR="00A41DD1" w:rsidRPr="00BA595B" w14:paraId="2767D11C" w14:textId="77777777" w:rsidTr="00D32CE1">
        <w:trPr>
          <w:cantSplit/>
        </w:trPr>
        <w:tc>
          <w:tcPr>
            <w:tcW w:w="1500" w:type="dxa"/>
            <w:tcMar>
              <w:top w:w="40" w:type="dxa"/>
              <w:left w:w="80" w:type="dxa"/>
              <w:bottom w:w="40" w:type="dxa"/>
              <w:right w:w="80" w:type="dxa"/>
            </w:tcMar>
            <w:vAlign w:val="center"/>
          </w:tcPr>
          <w:p w14:paraId="36C5D53F" w14:textId="77777777" w:rsidR="00A41DD1" w:rsidRPr="00BA595B" w:rsidRDefault="00A41DD1" w:rsidP="00D32CE1">
            <w:pPr>
              <w:pStyle w:val="OikoTables03Content"/>
            </w:pPr>
            <w:r>
              <w:t>Agroforestry</w:t>
            </w:r>
          </w:p>
        </w:tc>
        <w:tc>
          <w:tcPr>
            <w:tcW w:w="2711" w:type="dxa"/>
            <w:tcMar>
              <w:top w:w="40" w:type="dxa"/>
              <w:left w:w="80" w:type="dxa"/>
              <w:bottom w:w="40" w:type="dxa"/>
              <w:right w:w="80" w:type="dxa"/>
            </w:tcMar>
            <w:vAlign w:val="center"/>
          </w:tcPr>
          <w:p w14:paraId="5E929818" w14:textId="77777777" w:rsidR="00A41DD1" w:rsidRPr="00BA595B" w:rsidRDefault="00A41DD1" w:rsidP="00D32CE1">
            <w:pPr>
              <w:pStyle w:val="OikoTables03Content"/>
            </w:pPr>
            <w:r>
              <w:t xml:space="preserve">Windbreaks / shelterbelts (4.25); </w:t>
            </w:r>
            <w:proofErr w:type="spellStart"/>
            <w:r>
              <w:t>agro-silvo</w:t>
            </w:r>
            <w:proofErr w:type="spellEnd"/>
            <w:r>
              <w:t xml:space="preserve"> (4.35)</w:t>
            </w:r>
          </w:p>
        </w:tc>
        <w:tc>
          <w:tcPr>
            <w:tcW w:w="2711" w:type="dxa"/>
            <w:tcMar>
              <w:top w:w="40" w:type="dxa"/>
              <w:left w:w="80" w:type="dxa"/>
              <w:bottom w:w="40" w:type="dxa"/>
              <w:right w:w="80" w:type="dxa"/>
            </w:tcMar>
            <w:vAlign w:val="center"/>
          </w:tcPr>
          <w:p w14:paraId="38E1B220" w14:textId="77777777" w:rsidR="00A41DD1" w:rsidRPr="00BA595B" w:rsidRDefault="00A41DD1" w:rsidP="00D32CE1">
            <w:pPr>
              <w:pStyle w:val="OikoTables03Content"/>
            </w:pPr>
            <w:r>
              <w:t>Wind protection and resilience; higher-value integration</w:t>
            </w:r>
          </w:p>
        </w:tc>
        <w:tc>
          <w:tcPr>
            <w:tcW w:w="2712" w:type="dxa"/>
            <w:tcMar>
              <w:top w:w="40" w:type="dxa"/>
              <w:left w:w="80" w:type="dxa"/>
              <w:bottom w:w="40" w:type="dxa"/>
              <w:right w:w="80" w:type="dxa"/>
            </w:tcMar>
            <w:vAlign w:val="center"/>
          </w:tcPr>
          <w:p w14:paraId="457B548F" w14:textId="77777777" w:rsidR="00A41DD1" w:rsidRPr="00BA595B" w:rsidRDefault="00A41DD1" w:rsidP="00D32CE1">
            <w:pPr>
              <w:pStyle w:val="OikoTables03Content"/>
            </w:pPr>
            <w:r>
              <w:t xml:space="preserve">Both shortlisted — windbreaks foundational, </w:t>
            </w:r>
            <w:proofErr w:type="spellStart"/>
            <w:r>
              <w:t>agro-silvo</w:t>
            </w:r>
            <w:proofErr w:type="spellEnd"/>
            <w:r>
              <w:t xml:space="preserve"> second priority</w:t>
            </w:r>
          </w:p>
        </w:tc>
      </w:tr>
      <w:tr w:rsidR="00A41DD1" w:rsidRPr="00BA595B" w14:paraId="73C7653D" w14:textId="77777777" w:rsidTr="00D32CE1">
        <w:trPr>
          <w:cantSplit/>
        </w:trPr>
        <w:tc>
          <w:tcPr>
            <w:tcW w:w="1500" w:type="dxa"/>
            <w:tcMar>
              <w:top w:w="40" w:type="dxa"/>
              <w:left w:w="80" w:type="dxa"/>
              <w:bottom w:w="40" w:type="dxa"/>
              <w:right w:w="80" w:type="dxa"/>
            </w:tcMar>
            <w:vAlign w:val="center"/>
          </w:tcPr>
          <w:p w14:paraId="54CDECDF" w14:textId="77777777" w:rsidR="00A41DD1" w:rsidRPr="00BA595B" w:rsidRDefault="00A41DD1" w:rsidP="00D32CE1">
            <w:pPr>
              <w:pStyle w:val="OikoTables03Content"/>
            </w:pPr>
            <w:r>
              <w:t>Renewable energy</w:t>
            </w:r>
          </w:p>
        </w:tc>
        <w:tc>
          <w:tcPr>
            <w:tcW w:w="2711" w:type="dxa"/>
            <w:tcMar>
              <w:top w:w="40" w:type="dxa"/>
              <w:left w:w="80" w:type="dxa"/>
              <w:bottom w:w="40" w:type="dxa"/>
              <w:right w:w="80" w:type="dxa"/>
            </w:tcMar>
            <w:vAlign w:val="center"/>
          </w:tcPr>
          <w:p w14:paraId="7B050EB6" w14:textId="77777777" w:rsidR="00A41DD1" w:rsidRPr="00BA595B" w:rsidRDefault="00A41DD1" w:rsidP="00D32CE1">
            <w:pPr>
              <w:pStyle w:val="OikoTables03Content"/>
            </w:pPr>
            <w:r>
              <w:t>Solar PV (4.23)</w:t>
            </w:r>
          </w:p>
        </w:tc>
        <w:tc>
          <w:tcPr>
            <w:tcW w:w="2711" w:type="dxa"/>
            <w:tcMar>
              <w:top w:w="40" w:type="dxa"/>
              <w:left w:w="80" w:type="dxa"/>
              <w:bottom w:w="40" w:type="dxa"/>
              <w:right w:w="80" w:type="dxa"/>
            </w:tcMar>
            <w:vAlign w:val="center"/>
          </w:tcPr>
          <w:p w14:paraId="0C1244F2" w14:textId="77777777" w:rsidR="00A41DD1" w:rsidRPr="00BA595B" w:rsidRDefault="00A41DD1" w:rsidP="00D32CE1">
            <w:pPr>
              <w:pStyle w:val="OikoTables03Content"/>
            </w:pPr>
            <w:r>
              <w:t>Enabling layer for pumping, ventilation, monitoring</w:t>
            </w:r>
          </w:p>
        </w:tc>
        <w:tc>
          <w:tcPr>
            <w:tcW w:w="2712" w:type="dxa"/>
            <w:tcMar>
              <w:top w:w="40" w:type="dxa"/>
              <w:left w:w="80" w:type="dxa"/>
              <w:bottom w:w="40" w:type="dxa"/>
              <w:right w:w="80" w:type="dxa"/>
            </w:tcMar>
            <w:vAlign w:val="center"/>
          </w:tcPr>
          <w:p w14:paraId="33EBAFE3" w14:textId="77777777" w:rsidR="00A41DD1" w:rsidRPr="00BA595B" w:rsidRDefault="00A41DD1" w:rsidP="00D32CE1">
            <w:pPr>
              <w:pStyle w:val="OikoTables03Content"/>
            </w:pPr>
            <w:r>
              <w:t>Shortlisted — primary energy source</w:t>
            </w:r>
          </w:p>
        </w:tc>
      </w:tr>
    </w:tbl>
    <w:p w14:paraId="020F00A8" w14:textId="77777777" w:rsidR="00D32CE1" w:rsidRDefault="00D32CE1" w:rsidP="00D32CE1">
      <w:pPr>
        <w:pStyle w:val="Caption"/>
        <w:framePr w:wrap="notBeside"/>
      </w:pPr>
    </w:p>
    <w:p w14:paraId="4383C3D4" w14:textId="7D1AA3E8" w:rsidR="00A41DD1" w:rsidRDefault="00A41DD1" w:rsidP="00D32CE1">
      <w:pPr>
        <w:pStyle w:val="Caption"/>
        <w:framePr w:wrap="notBeside"/>
      </w:pPr>
      <w:r>
        <w:t>Table A1.9 Technologies not prioritised</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2470"/>
        <w:gridCol w:w="4100"/>
        <w:gridCol w:w="3064"/>
      </w:tblGrid>
      <w:tr w:rsidR="00A41DD1" w:rsidRPr="00BA595B" w14:paraId="50355E7B" w14:textId="77777777" w:rsidTr="00D32CE1">
        <w:trPr>
          <w:cantSplit/>
          <w:tblHeader/>
        </w:trPr>
        <w:tc>
          <w:tcPr>
            <w:tcW w:w="2470" w:type="dxa"/>
            <w:shd w:val="clear" w:color="auto" w:fill="E99E6D" w:themeFill="accent3"/>
            <w:tcMar>
              <w:top w:w="40" w:type="dxa"/>
              <w:left w:w="80" w:type="dxa"/>
              <w:bottom w:w="40" w:type="dxa"/>
              <w:right w:w="80" w:type="dxa"/>
            </w:tcMar>
            <w:vAlign w:val="center"/>
          </w:tcPr>
          <w:p w14:paraId="30FC80CC" w14:textId="77777777" w:rsidR="00A41DD1" w:rsidRPr="00BA595B" w:rsidRDefault="00A41DD1" w:rsidP="00D32CE1">
            <w:pPr>
              <w:pStyle w:val="OikoTables02"/>
            </w:pPr>
            <w:r>
              <w:t>Option</w:t>
            </w:r>
          </w:p>
        </w:tc>
        <w:tc>
          <w:tcPr>
            <w:tcW w:w="4100" w:type="dxa"/>
            <w:shd w:val="clear" w:color="auto" w:fill="E99E6D" w:themeFill="accent3"/>
            <w:tcMar>
              <w:top w:w="40" w:type="dxa"/>
              <w:left w:w="80" w:type="dxa"/>
              <w:bottom w:w="40" w:type="dxa"/>
              <w:right w:w="80" w:type="dxa"/>
            </w:tcMar>
            <w:vAlign w:val="center"/>
          </w:tcPr>
          <w:p w14:paraId="61E5D159" w14:textId="77777777" w:rsidR="00A41DD1" w:rsidRPr="00BA595B" w:rsidRDefault="00A41DD1" w:rsidP="00D32CE1">
            <w:pPr>
              <w:pStyle w:val="OikoTables02"/>
            </w:pPr>
            <w:r>
              <w:t>Principal reason for exclusion</w:t>
            </w:r>
          </w:p>
        </w:tc>
        <w:tc>
          <w:tcPr>
            <w:tcW w:w="3064" w:type="dxa"/>
            <w:shd w:val="clear" w:color="auto" w:fill="E99E6D" w:themeFill="accent3"/>
            <w:tcMar>
              <w:top w:w="40" w:type="dxa"/>
              <w:left w:w="80" w:type="dxa"/>
              <w:bottom w:w="40" w:type="dxa"/>
              <w:right w:w="80" w:type="dxa"/>
            </w:tcMar>
            <w:vAlign w:val="center"/>
          </w:tcPr>
          <w:p w14:paraId="489D28DC" w14:textId="77777777" w:rsidR="00A41DD1" w:rsidRPr="00BA595B" w:rsidRDefault="00A41DD1" w:rsidP="00D32CE1">
            <w:pPr>
              <w:pStyle w:val="OikoTables02"/>
            </w:pPr>
            <w:r>
              <w:t>Status</w:t>
            </w:r>
          </w:p>
        </w:tc>
      </w:tr>
      <w:tr w:rsidR="00A41DD1" w:rsidRPr="00BA595B" w14:paraId="16750C26" w14:textId="77777777" w:rsidTr="00D32CE1">
        <w:trPr>
          <w:cantSplit/>
        </w:trPr>
        <w:tc>
          <w:tcPr>
            <w:tcW w:w="2470" w:type="dxa"/>
            <w:tcMar>
              <w:top w:w="40" w:type="dxa"/>
              <w:left w:w="80" w:type="dxa"/>
              <w:bottom w:w="40" w:type="dxa"/>
              <w:right w:w="80" w:type="dxa"/>
            </w:tcMar>
            <w:vAlign w:val="center"/>
          </w:tcPr>
          <w:p w14:paraId="2A76775E" w14:textId="77777777" w:rsidR="00A41DD1" w:rsidRPr="00BA595B" w:rsidRDefault="00A41DD1" w:rsidP="00D32CE1">
            <w:pPr>
              <w:pStyle w:val="OikoTables03Content"/>
            </w:pPr>
            <w:proofErr w:type="spellStart"/>
            <w:r>
              <w:t>Silvopastoral</w:t>
            </w:r>
            <w:proofErr w:type="spellEnd"/>
            <w:r>
              <w:t xml:space="preserve"> systems</w:t>
            </w:r>
          </w:p>
        </w:tc>
        <w:tc>
          <w:tcPr>
            <w:tcW w:w="4100" w:type="dxa"/>
            <w:tcMar>
              <w:top w:w="40" w:type="dxa"/>
              <w:left w:w="80" w:type="dxa"/>
              <w:bottom w:w="40" w:type="dxa"/>
              <w:right w:w="80" w:type="dxa"/>
            </w:tcMar>
            <w:vAlign w:val="center"/>
          </w:tcPr>
          <w:p w14:paraId="1DCE0D18" w14:textId="77777777" w:rsidR="00A41DD1" w:rsidRPr="00BA595B" w:rsidRDefault="00A41DD1" w:rsidP="00D32CE1">
            <w:pPr>
              <w:pStyle w:val="OikoTables03Content"/>
            </w:pPr>
            <w:r>
              <w:t>Structurally incompatible with vegetable production; designed for livestock; open-grazing logic risks crops, young trees and infrastructure</w:t>
            </w:r>
          </w:p>
        </w:tc>
        <w:tc>
          <w:tcPr>
            <w:tcW w:w="3064" w:type="dxa"/>
            <w:tcMar>
              <w:top w:w="40" w:type="dxa"/>
              <w:left w:w="80" w:type="dxa"/>
              <w:bottom w:w="40" w:type="dxa"/>
              <w:right w:w="80" w:type="dxa"/>
            </w:tcMar>
            <w:vAlign w:val="center"/>
          </w:tcPr>
          <w:p w14:paraId="04D91130" w14:textId="77777777" w:rsidR="00A41DD1" w:rsidRPr="00BA595B" w:rsidRDefault="00A41DD1" w:rsidP="00D32CE1">
            <w:pPr>
              <w:pStyle w:val="OikoTables03Content"/>
            </w:pPr>
            <w:r>
              <w:t>Not carried forward</w:t>
            </w:r>
          </w:p>
        </w:tc>
      </w:tr>
      <w:tr w:rsidR="00A41DD1" w:rsidRPr="00BA595B" w14:paraId="33FC4D53" w14:textId="77777777" w:rsidTr="00D32CE1">
        <w:trPr>
          <w:cantSplit/>
        </w:trPr>
        <w:tc>
          <w:tcPr>
            <w:tcW w:w="2470" w:type="dxa"/>
            <w:tcMar>
              <w:top w:w="40" w:type="dxa"/>
              <w:left w:w="80" w:type="dxa"/>
              <w:bottom w:w="40" w:type="dxa"/>
              <w:right w:w="80" w:type="dxa"/>
            </w:tcMar>
            <w:vAlign w:val="center"/>
          </w:tcPr>
          <w:p w14:paraId="235FB9A4" w14:textId="77777777" w:rsidR="00A41DD1" w:rsidRPr="00BA595B" w:rsidRDefault="00A41DD1" w:rsidP="00D32CE1">
            <w:pPr>
              <w:pStyle w:val="OikoTables03Content"/>
            </w:pPr>
            <w:r>
              <w:t>Subsurface drip irrigation</w:t>
            </w:r>
          </w:p>
        </w:tc>
        <w:tc>
          <w:tcPr>
            <w:tcW w:w="4100" w:type="dxa"/>
            <w:tcMar>
              <w:top w:w="40" w:type="dxa"/>
              <w:left w:w="80" w:type="dxa"/>
              <w:bottom w:w="40" w:type="dxa"/>
              <w:right w:w="80" w:type="dxa"/>
            </w:tcMar>
            <w:vAlign w:val="center"/>
          </w:tcPr>
          <w:p w14:paraId="2A618605" w14:textId="77777777" w:rsidR="00A41DD1" w:rsidRPr="00BA595B" w:rsidRDefault="00A41DD1" w:rsidP="00D32CE1">
            <w:pPr>
              <w:pStyle w:val="OikoTables03Content"/>
            </w:pPr>
            <w:r>
              <w:t>Cost and poor fit with annual bed turnover</w:t>
            </w:r>
          </w:p>
        </w:tc>
        <w:tc>
          <w:tcPr>
            <w:tcW w:w="3064" w:type="dxa"/>
            <w:tcMar>
              <w:top w:w="40" w:type="dxa"/>
              <w:left w:w="80" w:type="dxa"/>
              <w:bottom w:w="40" w:type="dxa"/>
              <w:right w:w="80" w:type="dxa"/>
            </w:tcMar>
            <w:vAlign w:val="center"/>
          </w:tcPr>
          <w:p w14:paraId="7A5F458E" w14:textId="77777777" w:rsidR="00A41DD1" w:rsidRPr="00BA595B" w:rsidRDefault="00A41DD1" w:rsidP="00D32CE1">
            <w:pPr>
              <w:pStyle w:val="OikoTables03Content"/>
            </w:pPr>
            <w:r>
              <w:t>Not carried forward</w:t>
            </w:r>
          </w:p>
        </w:tc>
      </w:tr>
      <w:tr w:rsidR="00A41DD1" w:rsidRPr="00BA595B" w14:paraId="17CFBA4E" w14:textId="77777777" w:rsidTr="00D32CE1">
        <w:trPr>
          <w:cantSplit/>
        </w:trPr>
        <w:tc>
          <w:tcPr>
            <w:tcW w:w="2470" w:type="dxa"/>
            <w:tcMar>
              <w:top w:w="40" w:type="dxa"/>
              <w:left w:w="80" w:type="dxa"/>
              <w:bottom w:w="40" w:type="dxa"/>
              <w:right w:w="80" w:type="dxa"/>
            </w:tcMar>
            <w:vAlign w:val="center"/>
          </w:tcPr>
          <w:p w14:paraId="712F42FD" w14:textId="77777777" w:rsidR="00A41DD1" w:rsidRPr="00BA595B" w:rsidRDefault="00A41DD1" w:rsidP="00D32CE1">
            <w:pPr>
              <w:pStyle w:val="OikoTables03Content"/>
            </w:pPr>
            <w:r>
              <w:t>High-cost commercial greenhouses (Venlo, fully automated)</w:t>
            </w:r>
          </w:p>
        </w:tc>
        <w:tc>
          <w:tcPr>
            <w:tcW w:w="4100" w:type="dxa"/>
            <w:tcMar>
              <w:top w:w="40" w:type="dxa"/>
              <w:left w:w="80" w:type="dxa"/>
              <w:bottom w:w="40" w:type="dxa"/>
              <w:right w:w="80" w:type="dxa"/>
            </w:tcMar>
            <w:vAlign w:val="center"/>
          </w:tcPr>
          <w:p w14:paraId="3D29DBF2" w14:textId="77777777" w:rsidR="00A41DD1" w:rsidRPr="00BA595B" w:rsidRDefault="00A41DD1" w:rsidP="00D32CE1">
            <w:pPr>
              <w:pStyle w:val="OikoTables03Content"/>
            </w:pPr>
            <w:r>
              <w:t>Investment far beyond smallholder capacity; no matching market in the project provinces</w:t>
            </w:r>
          </w:p>
        </w:tc>
        <w:tc>
          <w:tcPr>
            <w:tcW w:w="3064" w:type="dxa"/>
            <w:tcMar>
              <w:top w:w="40" w:type="dxa"/>
              <w:left w:w="80" w:type="dxa"/>
              <w:bottom w:w="40" w:type="dxa"/>
              <w:right w:w="80" w:type="dxa"/>
            </w:tcMar>
            <w:vAlign w:val="center"/>
          </w:tcPr>
          <w:p w14:paraId="09E7AC75" w14:textId="77777777" w:rsidR="00A41DD1" w:rsidRPr="00BA595B" w:rsidRDefault="00A41DD1" w:rsidP="00D32CE1">
            <w:pPr>
              <w:pStyle w:val="OikoTables03Content"/>
            </w:pPr>
            <w:r>
              <w:t>May be revisited for specific cooperative / institutional installations</w:t>
            </w:r>
          </w:p>
        </w:tc>
      </w:tr>
    </w:tbl>
    <w:p w14:paraId="172B05D9" w14:textId="77777777" w:rsidR="00A41DD1" w:rsidRDefault="00A41DD1" w:rsidP="00D32CE1">
      <w:pPr>
        <w:pStyle w:val="OikoSectionHeading3"/>
      </w:pPr>
      <w:bookmarkStart w:id="178" w:name="_Toc233981381"/>
      <w:r>
        <w:t>A1.5 Technology suitability by farmer type (simplified matrix)</w:t>
      </w:r>
      <w:bookmarkEnd w:id="178"/>
    </w:p>
    <w:p w14:paraId="688C228E" w14:textId="77777777" w:rsidR="00A41DD1" w:rsidRDefault="00A41DD1" w:rsidP="00BA595B">
      <w:pPr>
        <w:spacing w:before="120" w:after="120" w:line="240" w:lineRule="auto"/>
        <w:contextualSpacing w:val="0"/>
      </w:pPr>
      <w:r>
        <w:rPr>
          <w:rFonts w:eastAsia="Times New Roman" w:cs="Times New Roman"/>
        </w:rPr>
        <w:t>Table A1.10 condenses the farmer typologies of the companion Technology Menu and Farmer Guidelines (D.1.4) into a simplified suitability matrix. It reads with the beneficiary tiers of Chapter 5: technology choice starts from the type of farmer and production system, and smallholders with limited capital are not steered toward high-cost, complex technologies unless a cooperative or public support model carries them.</w:t>
      </w:r>
    </w:p>
    <w:p w14:paraId="6316A1C9" w14:textId="77777777" w:rsidR="00A41DD1" w:rsidRDefault="00A41DD1" w:rsidP="00D32CE1">
      <w:pPr>
        <w:pStyle w:val="Caption"/>
        <w:framePr w:wrap="notBeside"/>
      </w:pPr>
      <w:r>
        <w:t>Table A1.10 Technology suitability by farmer / production type</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0" w:type="dxa"/>
          <w:right w:w="10" w:type="dxa"/>
        </w:tblCellMar>
        <w:tblLook w:val="04A0" w:firstRow="1" w:lastRow="0" w:firstColumn="1" w:lastColumn="0" w:noHBand="0" w:noVBand="1"/>
      </w:tblPr>
      <w:tblGrid>
        <w:gridCol w:w="1980"/>
        <w:gridCol w:w="1092"/>
        <w:gridCol w:w="937"/>
        <w:gridCol w:w="938"/>
        <w:gridCol w:w="937"/>
        <w:gridCol w:w="937"/>
        <w:gridCol w:w="938"/>
        <w:gridCol w:w="937"/>
        <w:gridCol w:w="938"/>
      </w:tblGrid>
      <w:tr w:rsidR="00BA595B" w:rsidRPr="00BA595B" w14:paraId="3892D1C4" w14:textId="77777777" w:rsidTr="007F0320">
        <w:trPr>
          <w:cantSplit/>
          <w:tblHeader/>
        </w:trPr>
        <w:tc>
          <w:tcPr>
            <w:tcW w:w="1980" w:type="dxa"/>
            <w:shd w:val="clear" w:color="auto" w:fill="E99E6D" w:themeFill="accent3"/>
            <w:tcMar>
              <w:top w:w="40" w:type="dxa"/>
              <w:left w:w="80" w:type="dxa"/>
              <w:bottom w:w="40" w:type="dxa"/>
              <w:right w:w="80" w:type="dxa"/>
            </w:tcMar>
            <w:vAlign w:val="center"/>
          </w:tcPr>
          <w:p w14:paraId="7649940D" w14:textId="77777777" w:rsidR="00A41DD1" w:rsidRPr="00BA595B" w:rsidRDefault="00A41DD1" w:rsidP="007F0320">
            <w:pPr>
              <w:pStyle w:val="OikoTables02"/>
            </w:pPr>
            <w:r>
              <w:t>Farmer / production type</w:t>
            </w:r>
          </w:p>
        </w:tc>
        <w:tc>
          <w:tcPr>
            <w:tcW w:w="1092" w:type="dxa"/>
            <w:shd w:val="clear" w:color="auto" w:fill="E99E6D" w:themeFill="accent3"/>
            <w:tcMar>
              <w:top w:w="40" w:type="dxa"/>
              <w:left w:w="80" w:type="dxa"/>
              <w:bottom w:w="40" w:type="dxa"/>
              <w:right w:w="80" w:type="dxa"/>
            </w:tcMar>
            <w:vAlign w:val="center"/>
          </w:tcPr>
          <w:p w14:paraId="7FC1B679" w14:textId="77777777" w:rsidR="00A41DD1" w:rsidRPr="00BA595B" w:rsidRDefault="00A41DD1" w:rsidP="007F0320">
            <w:pPr>
              <w:pStyle w:val="OikoTables02"/>
            </w:pPr>
            <w:r>
              <w:t>Drip irrigation</w:t>
            </w:r>
          </w:p>
        </w:tc>
        <w:tc>
          <w:tcPr>
            <w:tcW w:w="937" w:type="dxa"/>
            <w:shd w:val="clear" w:color="auto" w:fill="E99E6D" w:themeFill="accent3"/>
            <w:tcMar>
              <w:top w:w="40" w:type="dxa"/>
              <w:left w:w="80" w:type="dxa"/>
              <w:bottom w:w="40" w:type="dxa"/>
              <w:right w:w="80" w:type="dxa"/>
            </w:tcMar>
            <w:vAlign w:val="center"/>
          </w:tcPr>
          <w:p w14:paraId="4582349F" w14:textId="77777777" w:rsidR="00A41DD1" w:rsidRPr="00BA595B" w:rsidRDefault="00A41DD1" w:rsidP="007F0320">
            <w:pPr>
              <w:pStyle w:val="OikoTables02"/>
            </w:pPr>
            <w:r>
              <w:t>Water storage</w:t>
            </w:r>
          </w:p>
        </w:tc>
        <w:tc>
          <w:tcPr>
            <w:tcW w:w="938" w:type="dxa"/>
            <w:shd w:val="clear" w:color="auto" w:fill="E99E6D" w:themeFill="accent3"/>
            <w:tcMar>
              <w:top w:w="40" w:type="dxa"/>
              <w:left w:w="80" w:type="dxa"/>
              <w:bottom w:w="40" w:type="dxa"/>
              <w:right w:w="80" w:type="dxa"/>
            </w:tcMar>
            <w:vAlign w:val="center"/>
          </w:tcPr>
          <w:p w14:paraId="2F298A8F" w14:textId="77777777" w:rsidR="00A41DD1" w:rsidRPr="00BA595B" w:rsidRDefault="00A41DD1" w:rsidP="007F0320">
            <w:pPr>
              <w:pStyle w:val="OikoTables02"/>
            </w:pPr>
            <w:r>
              <w:t>Shared solar pump</w:t>
            </w:r>
          </w:p>
        </w:tc>
        <w:tc>
          <w:tcPr>
            <w:tcW w:w="937" w:type="dxa"/>
            <w:shd w:val="clear" w:color="auto" w:fill="E99E6D" w:themeFill="accent3"/>
            <w:tcMar>
              <w:top w:w="40" w:type="dxa"/>
              <w:left w:w="80" w:type="dxa"/>
              <w:bottom w:w="40" w:type="dxa"/>
              <w:right w:w="80" w:type="dxa"/>
            </w:tcMar>
            <w:vAlign w:val="center"/>
          </w:tcPr>
          <w:p w14:paraId="67B55EC6" w14:textId="77777777" w:rsidR="00A41DD1" w:rsidRPr="00BA595B" w:rsidRDefault="00A41DD1" w:rsidP="007F0320">
            <w:pPr>
              <w:pStyle w:val="OikoTables02"/>
            </w:pPr>
            <w:r>
              <w:t>Passive-solar greenhouse</w:t>
            </w:r>
          </w:p>
        </w:tc>
        <w:tc>
          <w:tcPr>
            <w:tcW w:w="937" w:type="dxa"/>
            <w:shd w:val="clear" w:color="auto" w:fill="E99E6D" w:themeFill="accent3"/>
            <w:tcMar>
              <w:top w:w="40" w:type="dxa"/>
              <w:left w:w="80" w:type="dxa"/>
              <w:bottom w:w="40" w:type="dxa"/>
              <w:right w:w="80" w:type="dxa"/>
            </w:tcMar>
            <w:vAlign w:val="center"/>
          </w:tcPr>
          <w:p w14:paraId="3401AF11" w14:textId="77777777" w:rsidR="00A41DD1" w:rsidRPr="00BA595B" w:rsidRDefault="00A41DD1" w:rsidP="007F0320">
            <w:pPr>
              <w:pStyle w:val="OikoTables02"/>
            </w:pPr>
            <w:r>
              <w:t>Seasonal / tunnel GH</w:t>
            </w:r>
          </w:p>
        </w:tc>
        <w:tc>
          <w:tcPr>
            <w:tcW w:w="938" w:type="dxa"/>
            <w:shd w:val="clear" w:color="auto" w:fill="E99E6D" w:themeFill="accent3"/>
            <w:tcMar>
              <w:top w:w="40" w:type="dxa"/>
              <w:left w:w="80" w:type="dxa"/>
              <w:bottom w:w="40" w:type="dxa"/>
              <w:right w:w="80" w:type="dxa"/>
            </w:tcMar>
            <w:vAlign w:val="center"/>
          </w:tcPr>
          <w:p w14:paraId="3FA5F08C" w14:textId="77777777" w:rsidR="00A41DD1" w:rsidRPr="00BA595B" w:rsidRDefault="00A41DD1" w:rsidP="007F0320">
            <w:pPr>
              <w:pStyle w:val="OikoTables02"/>
            </w:pPr>
            <w:r>
              <w:t>Shelterbelts / netting</w:t>
            </w:r>
          </w:p>
        </w:tc>
        <w:tc>
          <w:tcPr>
            <w:tcW w:w="937" w:type="dxa"/>
            <w:shd w:val="clear" w:color="auto" w:fill="E99E6D" w:themeFill="accent3"/>
            <w:tcMar>
              <w:top w:w="40" w:type="dxa"/>
              <w:left w:w="80" w:type="dxa"/>
              <w:bottom w:w="40" w:type="dxa"/>
              <w:right w:w="80" w:type="dxa"/>
            </w:tcMar>
            <w:vAlign w:val="center"/>
          </w:tcPr>
          <w:p w14:paraId="5C0A0EBD" w14:textId="77777777" w:rsidR="00A41DD1" w:rsidRPr="00BA595B" w:rsidRDefault="00A41DD1" w:rsidP="007F0320">
            <w:pPr>
              <w:pStyle w:val="OikoTables02"/>
            </w:pPr>
            <w:r>
              <w:t>Producer group / WUA</w:t>
            </w:r>
          </w:p>
        </w:tc>
        <w:tc>
          <w:tcPr>
            <w:tcW w:w="938" w:type="dxa"/>
            <w:shd w:val="clear" w:color="auto" w:fill="E99E6D" w:themeFill="accent3"/>
            <w:tcMar>
              <w:top w:w="40" w:type="dxa"/>
              <w:left w:w="80" w:type="dxa"/>
              <w:bottom w:w="40" w:type="dxa"/>
              <w:right w:w="80" w:type="dxa"/>
            </w:tcMar>
            <w:vAlign w:val="center"/>
          </w:tcPr>
          <w:p w14:paraId="08E44760" w14:textId="77777777" w:rsidR="00A41DD1" w:rsidRPr="00BA595B" w:rsidRDefault="00A41DD1" w:rsidP="007F0320">
            <w:pPr>
              <w:pStyle w:val="OikoTables02"/>
            </w:pPr>
            <w:r>
              <w:t>Index insurance</w:t>
            </w:r>
          </w:p>
        </w:tc>
      </w:tr>
      <w:tr w:rsidR="00A41DD1" w:rsidRPr="00BA595B" w14:paraId="550C8575" w14:textId="77777777" w:rsidTr="007F0320">
        <w:trPr>
          <w:cantSplit/>
        </w:trPr>
        <w:tc>
          <w:tcPr>
            <w:tcW w:w="1980" w:type="dxa"/>
            <w:tcMar>
              <w:top w:w="40" w:type="dxa"/>
              <w:left w:w="80" w:type="dxa"/>
              <w:bottom w:w="40" w:type="dxa"/>
              <w:right w:w="80" w:type="dxa"/>
            </w:tcMar>
            <w:vAlign w:val="center"/>
          </w:tcPr>
          <w:p w14:paraId="73862644" w14:textId="77777777" w:rsidR="00A41DD1" w:rsidRPr="00BA595B" w:rsidRDefault="00A41DD1" w:rsidP="007F0320">
            <w:pPr>
              <w:pStyle w:val="OikoTables03Content"/>
            </w:pPr>
            <w:r>
              <w:t>Household / very small vegetable farmer</w:t>
            </w:r>
          </w:p>
        </w:tc>
        <w:tc>
          <w:tcPr>
            <w:tcW w:w="1092" w:type="dxa"/>
            <w:tcMar>
              <w:top w:w="40" w:type="dxa"/>
              <w:left w:w="80" w:type="dxa"/>
              <w:bottom w:w="40" w:type="dxa"/>
              <w:right w:w="80" w:type="dxa"/>
            </w:tcMar>
            <w:vAlign w:val="center"/>
          </w:tcPr>
          <w:p w14:paraId="7C76E547"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7846C841"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4E7D625E"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3B339A9F"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45BFA3DF"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63FE813E"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35B1228F"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6787852A" w14:textId="77777777" w:rsidR="00A41DD1" w:rsidRPr="00BA595B" w:rsidRDefault="00A41DD1" w:rsidP="007F0320">
            <w:pPr>
              <w:pStyle w:val="OikoTables03Content"/>
              <w:jc w:val="center"/>
            </w:pPr>
            <w:r>
              <w:t>○</w:t>
            </w:r>
          </w:p>
        </w:tc>
      </w:tr>
      <w:tr w:rsidR="00A41DD1" w:rsidRPr="00BA595B" w14:paraId="6316263D" w14:textId="77777777" w:rsidTr="007F0320">
        <w:trPr>
          <w:cantSplit/>
        </w:trPr>
        <w:tc>
          <w:tcPr>
            <w:tcW w:w="1980" w:type="dxa"/>
            <w:tcMar>
              <w:top w:w="40" w:type="dxa"/>
              <w:left w:w="80" w:type="dxa"/>
              <w:bottom w:w="40" w:type="dxa"/>
              <w:right w:w="80" w:type="dxa"/>
            </w:tcMar>
            <w:vAlign w:val="center"/>
          </w:tcPr>
          <w:p w14:paraId="5C68B43E" w14:textId="77777777" w:rsidR="00A41DD1" w:rsidRPr="00BA595B" w:rsidRDefault="00A41DD1" w:rsidP="007F0320">
            <w:pPr>
              <w:pStyle w:val="OikoTables03Content"/>
            </w:pPr>
            <w:r>
              <w:t>Smallholder irrigated vegetable farmer</w:t>
            </w:r>
          </w:p>
        </w:tc>
        <w:tc>
          <w:tcPr>
            <w:tcW w:w="1092" w:type="dxa"/>
            <w:tcMar>
              <w:top w:w="40" w:type="dxa"/>
              <w:left w:w="80" w:type="dxa"/>
              <w:bottom w:w="40" w:type="dxa"/>
              <w:right w:w="80" w:type="dxa"/>
            </w:tcMar>
            <w:vAlign w:val="center"/>
          </w:tcPr>
          <w:p w14:paraId="37D78717"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62664BA7"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09713EC1"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588139F8"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7099C059"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55750DB1"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069B26C8"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092B7437" w14:textId="77777777" w:rsidR="00A41DD1" w:rsidRPr="00BA595B" w:rsidRDefault="00A41DD1" w:rsidP="007F0320">
            <w:pPr>
              <w:pStyle w:val="OikoTables03Content"/>
              <w:jc w:val="center"/>
            </w:pPr>
            <w:r>
              <w:t>○</w:t>
            </w:r>
          </w:p>
        </w:tc>
      </w:tr>
      <w:tr w:rsidR="00A41DD1" w:rsidRPr="00BA595B" w14:paraId="27C25868" w14:textId="77777777" w:rsidTr="007F0320">
        <w:trPr>
          <w:cantSplit/>
        </w:trPr>
        <w:tc>
          <w:tcPr>
            <w:tcW w:w="1980" w:type="dxa"/>
            <w:tcMar>
              <w:top w:w="40" w:type="dxa"/>
              <w:left w:w="80" w:type="dxa"/>
              <w:bottom w:w="40" w:type="dxa"/>
              <w:right w:w="80" w:type="dxa"/>
            </w:tcMar>
            <w:vAlign w:val="center"/>
          </w:tcPr>
          <w:p w14:paraId="63C5DE34" w14:textId="77777777" w:rsidR="00A41DD1" w:rsidRPr="00BA595B" w:rsidRDefault="00A41DD1" w:rsidP="007F0320">
            <w:pPr>
              <w:pStyle w:val="OikoTables03Content"/>
            </w:pPr>
            <w:r>
              <w:t>Greenhouse-assisted smallholder</w:t>
            </w:r>
          </w:p>
        </w:tc>
        <w:tc>
          <w:tcPr>
            <w:tcW w:w="1092" w:type="dxa"/>
            <w:tcMar>
              <w:top w:w="40" w:type="dxa"/>
              <w:left w:w="80" w:type="dxa"/>
              <w:bottom w:w="40" w:type="dxa"/>
              <w:right w:w="80" w:type="dxa"/>
            </w:tcMar>
            <w:vAlign w:val="center"/>
          </w:tcPr>
          <w:p w14:paraId="38EA6E3F"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14943C4F"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15DA58E0"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7490495C"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5E5B5345"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709659DA"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5301ED97"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0C049B31" w14:textId="77777777" w:rsidR="00A41DD1" w:rsidRPr="00BA595B" w:rsidRDefault="00A41DD1" w:rsidP="007F0320">
            <w:pPr>
              <w:pStyle w:val="OikoTables03Content"/>
              <w:jc w:val="center"/>
            </w:pPr>
            <w:r>
              <w:t>●</w:t>
            </w:r>
          </w:p>
        </w:tc>
      </w:tr>
      <w:tr w:rsidR="00A41DD1" w:rsidRPr="00BA595B" w14:paraId="5D5F2CF0" w14:textId="77777777" w:rsidTr="007F0320">
        <w:trPr>
          <w:cantSplit/>
        </w:trPr>
        <w:tc>
          <w:tcPr>
            <w:tcW w:w="1980" w:type="dxa"/>
            <w:tcMar>
              <w:top w:w="40" w:type="dxa"/>
              <w:left w:w="80" w:type="dxa"/>
              <w:bottom w:w="40" w:type="dxa"/>
              <w:right w:w="80" w:type="dxa"/>
            </w:tcMar>
            <w:vAlign w:val="center"/>
          </w:tcPr>
          <w:p w14:paraId="65C64AB2" w14:textId="77777777" w:rsidR="00A41DD1" w:rsidRPr="00BA595B" w:rsidRDefault="00A41DD1" w:rsidP="007F0320">
            <w:pPr>
              <w:pStyle w:val="OikoTables03Content"/>
            </w:pPr>
            <w:r>
              <w:t>Women-led / cooperative group</w:t>
            </w:r>
          </w:p>
        </w:tc>
        <w:tc>
          <w:tcPr>
            <w:tcW w:w="1092" w:type="dxa"/>
            <w:tcMar>
              <w:top w:w="40" w:type="dxa"/>
              <w:left w:w="80" w:type="dxa"/>
              <w:bottom w:w="40" w:type="dxa"/>
              <w:right w:w="80" w:type="dxa"/>
            </w:tcMar>
            <w:vAlign w:val="center"/>
          </w:tcPr>
          <w:p w14:paraId="032C825B"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5D91A1EB"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36FD8B71"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37DB3B14"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70763D9D"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03269797"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7A923087"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555C9F7C" w14:textId="77777777" w:rsidR="00A41DD1" w:rsidRPr="00BA595B" w:rsidRDefault="00A41DD1" w:rsidP="007F0320">
            <w:pPr>
              <w:pStyle w:val="OikoTables03Content"/>
              <w:jc w:val="center"/>
            </w:pPr>
            <w:r>
              <w:t>●</w:t>
            </w:r>
          </w:p>
        </w:tc>
      </w:tr>
      <w:tr w:rsidR="00A41DD1" w:rsidRPr="00BA595B" w14:paraId="15FA8A72" w14:textId="77777777" w:rsidTr="007F0320">
        <w:trPr>
          <w:cantSplit/>
        </w:trPr>
        <w:tc>
          <w:tcPr>
            <w:tcW w:w="1980" w:type="dxa"/>
            <w:tcMar>
              <w:top w:w="40" w:type="dxa"/>
              <w:left w:w="80" w:type="dxa"/>
              <w:bottom w:w="40" w:type="dxa"/>
              <w:right w:w="80" w:type="dxa"/>
            </w:tcMar>
            <w:vAlign w:val="center"/>
          </w:tcPr>
          <w:p w14:paraId="274BEBAD" w14:textId="77777777" w:rsidR="00A41DD1" w:rsidRPr="00BA595B" w:rsidRDefault="00A41DD1" w:rsidP="007F0320">
            <w:pPr>
              <w:pStyle w:val="OikoTables03Content"/>
            </w:pPr>
            <w:proofErr w:type="spellStart"/>
            <w:r>
              <w:t>Agropark</w:t>
            </w:r>
            <w:proofErr w:type="spellEnd"/>
            <w:r>
              <w:t xml:space="preserve"> / medium-scale producer</w:t>
            </w:r>
          </w:p>
        </w:tc>
        <w:tc>
          <w:tcPr>
            <w:tcW w:w="1092" w:type="dxa"/>
            <w:tcMar>
              <w:top w:w="40" w:type="dxa"/>
              <w:left w:w="80" w:type="dxa"/>
              <w:bottom w:w="40" w:type="dxa"/>
              <w:right w:w="80" w:type="dxa"/>
            </w:tcMar>
            <w:vAlign w:val="center"/>
          </w:tcPr>
          <w:p w14:paraId="269D0253"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706EDFA6"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6886D7AB"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180C9869"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363FAD17"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43E026FE"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0944BDBC"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2D2F9882" w14:textId="77777777" w:rsidR="00A41DD1" w:rsidRPr="00BA595B" w:rsidRDefault="00A41DD1" w:rsidP="007F0320">
            <w:pPr>
              <w:pStyle w:val="OikoTables03Content"/>
              <w:jc w:val="center"/>
            </w:pPr>
            <w:r>
              <w:t>●</w:t>
            </w:r>
          </w:p>
        </w:tc>
      </w:tr>
      <w:tr w:rsidR="00A41DD1" w:rsidRPr="00BA595B" w14:paraId="7FD4FAF8" w14:textId="77777777" w:rsidTr="007F0320">
        <w:trPr>
          <w:cantSplit/>
        </w:trPr>
        <w:tc>
          <w:tcPr>
            <w:tcW w:w="1980" w:type="dxa"/>
            <w:tcMar>
              <w:top w:w="40" w:type="dxa"/>
              <w:left w:w="80" w:type="dxa"/>
              <w:bottom w:w="40" w:type="dxa"/>
              <w:right w:w="80" w:type="dxa"/>
            </w:tcMar>
            <w:vAlign w:val="center"/>
          </w:tcPr>
          <w:p w14:paraId="479DFB60" w14:textId="77777777" w:rsidR="00A41DD1" w:rsidRPr="00BA595B" w:rsidRDefault="00A41DD1" w:rsidP="007F0320">
            <w:pPr>
              <w:pStyle w:val="OikoTables03Content"/>
            </w:pPr>
            <w:r>
              <w:t>Climate-stressed exposed site</w:t>
            </w:r>
          </w:p>
        </w:tc>
        <w:tc>
          <w:tcPr>
            <w:tcW w:w="1092" w:type="dxa"/>
            <w:tcMar>
              <w:top w:w="40" w:type="dxa"/>
              <w:left w:w="80" w:type="dxa"/>
              <w:bottom w:w="40" w:type="dxa"/>
              <w:right w:w="80" w:type="dxa"/>
            </w:tcMar>
            <w:vAlign w:val="center"/>
          </w:tcPr>
          <w:p w14:paraId="12C1620D"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1FDB4DD6"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3B45DEAA"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027BE406"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65E7597F"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77615A7E" w14:textId="77777777" w:rsidR="00A41DD1" w:rsidRPr="00BA595B" w:rsidRDefault="00A41DD1" w:rsidP="007F0320">
            <w:pPr>
              <w:pStyle w:val="OikoTables03Content"/>
              <w:jc w:val="center"/>
            </w:pPr>
            <w:r>
              <w:t>●</w:t>
            </w:r>
          </w:p>
        </w:tc>
        <w:tc>
          <w:tcPr>
            <w:tcW w:w="937" w:type="dxa"/>
            <w:tcMar>
              <w:top w:w="40" w:type="dxa"/>
              <w:left w:w="80" w:type="dxa"/>
              <w:bottom w:w="40" w:type="dxa"/>
              <w:right w:w="80" w:type="dxa"/>
            </w:tcMar>
            <w:vAlign w:val="center"/>
          </w:tcPr>
          <w:p w14:paraId="6CD98031" w14:textId="77777777" w:rsidR="00A41DD1" w:rsidRPr="00BA595B" w:rsidRDefault="00A41DD1" w:rsidP="007F0320">
            <w:pPr>
              <w:pStyle w:val="OikoTables03Content"/>
              <w:jc w:val="center"/>
            </w:pPr>
            <w:r>
              <w:t>○</w:t>
            </w:r>
          </w:p>
        </w:tc>
        <w:tc>
          <w:tcPr>
            <w:tcW w:w="938" w:type="dxa"/>
            <w:tcMar>
              <w:top w:w="40" w:type="dxa"/>
              <w:left w:w="80" w:type="dxa"/>
              <w:bottom w:w="40" w:type="dxa"/>
              <w:right w:w="80" w:type="dxa"/>
            </w:tcMar>
            <w:vAlign w:val="center"/>
          </w:tcPr>
          <w:p w14:paraId="6F17D1B5" w14:textId="77777777" w:rsidR="00A41DD1" w:rsidRPr="00BA595B" w:rsidRDefault="00A41DD1" w:rsidP="007F0320">
            <w:pPr>
              <w:pStyle w:val="OikoTables03Content"/>
              <w:jc w:val="center"/>
            </w:pPr>
            <w:r>
              <w:t>○</w:t>
            </w:r>
          </w:p>
        </w:tc>
      </w:tr>
    </w:tbl>
    <w:p w14:paraId="28AD03CA" w14:textId="77777777" w:rsidR="00A41DD1" w:rsidRDefault="00A41DD1" w:rsidP="00BA595B">
      <w:pPr>
        <w:spacing w:before="60" w:after="120" w:line="240" w:lineRule="auto"/>
        <w:contextualSpacing w:val="0"/>
      </w:pPr>
      <w:r>
        <w:rPr>
          <w:rFonts w:eastAsia="Times New Roman" w:cs="Times New Roman"/>
          <w:i/>
          <w:iCs/>
          <w:sz w:val="18"/>
          <w:szCs w:val="18"/>
        </w:rPr>
        <w:lastRenderedPageBreak/>
        <w:t xml:space="preserve">● = core / recommended component; ○ = optional or conditional (subject to water assessment, finance capacity or support model); – = not a priority. Solar pumps are recommended only after water-source assessment and preferably as shared assets of water-users' associations, cooperatives or </w:t>
      </w:r>
      <w:proofErr w:type="spellStart"/>
      <w:r>
        <w:rPr>
          <w:rFonts w:eastAsia="Times New Roman" w:cs="Times New Roman"/>
          <w:i/>
          <w:iCs/>
          <w:sz w:val="18"/>
          <w:szCs w:val="18"/>
        </w:rPr>
        <w:t>AgroParks</w:t>
      </w:r>
      <w:proofErr w:type="spellEnd"/>
      <w:r>
        <w:rPr>
          <w:rFonts w:eastAsia="Times New Roman" w:cs="Times New Roman"/>
          <w:i/>
          <w:iCs/>
          <w:sz w:val="18"/>
          <w:szCs w:val="18"/>
        </w:rPr>
        <w:t xml:space="preserve"> (D.1.4).</w:t>
      </w:r>
    </w:p>
    <w:p w14:paraId="1077346D" w14:textId="77777777" w:rsidR="00A41DD1" w:rsidRDefault="00A41DD1" w:rsidP="007F0320">
      <w:pPr>
        <w:pStyle w:val="OikoSectionHeading4"/>
      </w:pPr>
      <w:bookmarkStart w:id="179" w:name="_Toc233981382"/>
      <w:r>
        <w:t>A1.6 Correspondence between the Technology Menu packages and the CBA scenarios</w:t>
      </w:r>
      <w:bookmarkEnd w:id="179"/>
    </w:p>
    <w:p w14:paraId="4822FD7C" w14:textId="77777777" w:rsidR="00A41DD1" w:rsidRDefault="00A41DD1" w:rsidP="00BA595B">
      <w:pPr>
        <w:spacing w:before="120" w:after="120" w:line="240" w:lineRule="auto"/>
        <w:contextualSpacing w:val="0"/>
      </w:pPr>
      <w:r>
        <w:rPr>
          <w:rFonts w:eastAsia="Times New Roman" w:cs="Times New Roman"/>
        </w:rPr>
        <w:t>The Technology Menu (D.1.4) presents five farmer-facing entry packages; the cost-benefit analysis (Section 8.5 and Output 1.3) appraises six incremental scenarios. Table A1.11 maps the two so that extension materials, investment planning and the appraisal remain aligned.</w:t>
      </w:r>
    </w:p>
    <w:p w14:paraId="01634742" w14:textId="77777777" w:rsidR="00A41DD1" w:rsidRDefault="00A41DD1" w:rsidP="007F0320">
      <w:pPr>
        <w:pStyle w:val="Caption"/>
        <w:framePr w:wrap="notBeside"/>
      </w:pPr>
      <w:r>
        <w:t>Table A1.11 Technology Menu packages (D.1.4) mapped to CBA scenarios</w:t>
      </w:r>
    </w:p>
    <w:tbl>
      <w:tblPr>
        <w:tblW w:w="9634" w:type="dxa"/>
        <w:tblBorders>
          <w:top w:val="single" w:sz="4" w:space="0" w:color="BCBCBC" w:themeColor="background1"/>
          <w:bottom w:val="single" w:sz="4" w:space="0" w:color="BCBCBC" w:themeColor="background1"/>
          <w:insideH w:val="single" w:sz="4" w:space="0" w:color="BCBCBC" w:themeColor="background1"/>
        </w:tblBorders>
        <w:tblCellMar>
          <w:left w:w="10" w:type="dxa"/>
          <w:right w:w="10" w:type="dxa"/>
        </w:tblCellMar>
        <w:tblLook w:val="04A0" w:firstRow="1" w:lastRow="0" w:firstColumn="1" w:lastColumn="0" w:noHBand="0" w:noVBand="1"/>
      </w:tblPr>
      <w:tblGrid>
        <w:gridCol w:w="2170"/>
        <w:gridCol w:w="2900"/>
        <w:gridCol w:w="1500"/>
        <w:gridCol w:w="3064"/>
      </w:tblGrid>
      <w:tr w:rsidR="00A41DD1" w:rsidRPr="00BA595B" w14:paraId="19904A34" w14:textId="77777777" w:rsidTr="00046E43">
        <w:trPr>
          <w:cantSplit/>
          <w:tblHeader/>
        </w:trPr>
        <w:tc>
          <w:tcPr>
            <w:tcW w:w="2170" w:type="dxa"/>
            <w:shd w:val="clear" w:color="auto" w:fill="E99E6D" w:themeFill="accent3"/>
            <w:tcMar>
              <w:top w:w="40" w:type="dxa"/>
              <w:left w:w="80" w:type="dxa"/>
              <w:bottom w:w="40" w:type="dxa"/>
              <w:right w:w="80" w:type="dxa"/>
            </w:tcMar>
            <w:vAlign w:val="center"/>
          </w:tcPr>
          <w:p w14:paraId="58B14DD9" w14:textId="77777777" w:rsidR="00A41DD1" w:rsidRPr="00AB2EB4" w:rsidRDefault="00A41DD1" w:rsidP="00046E43">
            <w:pPr>
              <w:pStyle w:val="OikoTables03Content"/>
              <w:rPr>
                <w:b/>
                <w:bCs/>
              </w:rPr>
            </w:pPr>
            <w:r w:rsidRPr="00AB2EB4">
              <w:rPr>
                <w:b/>
                <w:bCs/>
              </w:rPr>
              <w:t>Menu package</w:t>
            </w:r>
          </w:p>
        </w:tc>
        <w:tc>
          <w:tcPr>
            <w:tcW w:w="2900" w:type="dxa"/>
            <w:shd w:val="clear" w:color="auto" w:fill="E99E6D" w:themeFill="accent3"/>
            <w:tcMar>
              <w:top w:w="40" w:type="dxa"/>
              <w:left w:w="80" w:type="dxa"/>
              <w:bottom w:w="40" w:type="dxa"/>
              <w:right w:w="80" w:type="dxa"/>
            </w:tcMar>
            <w:vAlign w:val="center"/>
          </w:tcPr>
          <w:p w14:paraId="25045161" w14:textId="77777777" w:rsidR="00A41DD1" w:rsidRPr="00AB2EB4" w:rsidRDefault="00A41DD1" w:rsidP="00046E43">
            <w:pPr>
              <w:pStyle w:val="OikoTables03Content"/>
              <w:rPr>
                <w:b/>
                <w:bCs/>
              </w:rPr>
            </w:pPr>
            <w:r w:rsidRPr="00AB2EB4">
              <w:rPr>
                <w:b/>
                <w:bCs/>
              </w:rPr>
              <w:t>Components</w:t>
            </w:r>
          </w:p>
        </w:tc>
        <w:tc>
          <w:tcPr>
            <w:tcW w:w="1500" w:type="dxa"/>
            <w:shd w:val="clear" w:color="auto" w:fill="E99E6D" w:themeFill="accent3"/>
            <w:tcMar>
              <w:top w:w="40" w:type="dxa"/>
              <w:left w:w="80" w:type="dxa"/>
              <w:bottom w:w="40" w:type="dxa"/>
              <w:right w:w="80" w:type="dxa"/>
            </w:tcMar>
            <w:vAlign w:val="center"/>
          </w:tcPr>
          <w:p w14:paraId="31B2C97C" w14:textId="77777777" w:rsidR="00A41DD1" w:rsidRPr="00AB2EB4" w:rsidRDefault="00A41DD1" w:rsidP="00046E43">
            <w:pPr>
              <w:pStyle w:val="OikoTables03Content"/>
              <w:rPr>
                <w:b/>
                <w:bCs/>
              </w:rPr>
            </w:pPr>
            <w:r w:rsidRPr="00AB2EB4">
              <w:rPr>
                <w:b/>
                <w:bCs/>
              </w:rPr>
              <w:t>Closest CBA scenario</w:t>
            </w:r>
          </w:p>
        </w:tc>
        <w:tc>
          <w:tcPr>
            <w:tcW w:w="3064" w:type="dxa"/>
            <w:shd w:val="clear" w:color="auto" w:fill="E99E6D" w:themeFill="accent3"/>
            <w:tcMar>
              <w:top w:w="40" w:type="dxa"/>
              <w:left w:w="80" w:type="dxa"/>
              <w:bottom w:w="40" w:type="dxa"/>
              <w:right w:w="80" w:type="dxa"/>
            </w:tcMar>
            <w:vAlign w:val="center"/>
          </w:tcPr>
          <w:p w14:paraId="32E86C52" w14:textId="77777777" w:rsidR="00A41DD1" w:rsidRPr="00AB2EB4" w:rsidRDefault="00A41DD1" w:rsidP="00046E43">
            <w:pPr>
              <w:pStyle w:val="OikoTables03Content"/>
              <w:rPr>
                <w:b/>
                <w:bCs/>
              </w:rPr>
            </w:pPr>
            <w:r w:rsidRPr="00AB2EB4">
              <w:rPr>
                <w:b/>
                <w:bCs/>
              </w:rPr>
              <w:t>Alignment note</w:t>
            </w:r>
          </w:p>
        </w:tc>
      </w:tr>
      <w:tr w:rsidR="00A41DD1" w:rsidRPr="00BA595B" w14:paraId="0C6DF9D1" w14:textId="77777777" w:rsidTr="00046E43">
        <w:trPr>
          <w:cantSplit/>
        </w:trPr>
        <w:tc>
          <w:tcPr>
            <w:tcW w:w="2170" w:type="dxa"/>
            <w:tcMar>
              <w:top w:w="40" w:type="dxa"/>
              <w:left w:w="80" w:type="dxa"/>
              <w:bottom w:w="40" w:type="dxa"/>
              <w:right w:w="80" w:type="dxa"/>
            </w:tcMar>
            <w:vAlign w:val="center"/>
          </w:tcPr>
          <w:p w14:paraId="4F7B5A26" w14:textId="77777777" w:rsidR="00A41DD1" w:rsidRPr="00BA595B" w:rsidRDefault="00A41DD1" w:rsidP="00046E43">
            <w:pPr>
              <w:pStyle w:val="OikoTables03Content"/>
            </w:pPr>
            <w:r>
              <w:t>A — Basic water-saving package</w:t>
            </w:r>
          </w:p>
        </w:tc>
        <w:tc>
          <w:tcPr>
            <w:tcW w:w="2900" w:type="dxa"/>
            <w:tcMar>
              <w:top w:w="40" w:type="dxa"/>
              <w:left w:w="80" w:type="dxa"/>
              <w:bottom w:w="40" w:type="dxa"/>
              <w:right w:w="80" w:type="dxa"/>
            </w:tcMar>
            <w:vAlign w:val="center"/>
          </w:tcPr>
          <w:p w14:paraId="4A3E328E" w14:textId="77777777" w:rsidR="00A41DD1" w:rsidRPr="00BA595B" w:rsidRDefault="00A41DD1" w:rsidP="00046E43">
            <w:pPr>
              <w:pStyle w:val="OikoTables03Content"/>
            </w:pPr>
            <w:r>
              <w:t>Small drip kit, simple storage, mulching, irrigation scheduling, basic crop records</w:t>
            </w:r>
          </w:p>
        </w:tc>
        <w:tc>
          <w:tcPr>
            <w:tcW w:w="1500" w:type="dxa"/>
            <w:tcMar>
              <w:top w:w="40" w:type="dxa"/>
              <w:left w:w="80" w:type="dxa"/>
              <w:bottom w:w="40" w:type="dxa"/>
              <w:right w:w="80" w:type="dxa"/>
            </w:tcMar>
            <w:vAlign w:val="center"/>
          </w:tcPr>
          <w:p w14:paraId="4F2647C1" w14:textId="77777777" w:rsidR="00A41DD1" w:rsidRPr="00BA595B" w:rsidRDefault="00A41DD1" w:rsidP="00046E43">
            <w:pPr>
              <w:pStyle w:val="OikoTables03Content"/>
            </w:pPr>
            <w:r>
              <w:t>Entry step toward S1</w:t>
            </w:r>
          </w:p>
        </w:tc>
        <w:tc>
          <w:tcPr>
            <w:tcW w:w="3064" w:type="dxa"/>
            <w:tcMar>
              <w:top w:w="40" w:type="dxa"/>
              <w:left w:w="80" w:type="dxa"/>
              <w:bottom w:w="40" w:type="dxa"/>
              <w:right w:w="80" w:type="dxa"/>
            </w:tcMar>
            <w:vAlign w:val="center"/>
          </w:tcPr>
          <w:p w14:paraId="0A9B8C9C" w14:textId="77777777" w:rsidR="00A41DD1" w:rsidRPr="00BA595B" w:rsidRDefault="00A41DD1" w:rsidP="00046E43">
            <w:pPr>
              <w:pStyle w:val="OikoTables03Content"/>
            </w:pPr>
            <w:r>
              <w:t>Household entry level, below the shared-solar configuration appraised as S1</w:t>
            </w:r>
          </w:p>
        </w:tc>
      </w:tr>
      <w:tr w:rsidR="00A41DD1" w:rsidRPr="00BA595B" w14:paraId="5367BAE5" w14:textId="77777777" w:rsidTr="00046E43">
        <w:trPr>
          <w:cantSplit/>
        </w:trPr>
        <w:tc>
          <w:tcPr>
            <w:tcW w:w="2170" w:type="dxa"/>
            <w:tcMar>
              <w:top w:w="40" w:type="dxa"/>
              <w:left w:w="80" w:type="dxa"/>
              <w:bottom w:w="40" w:type="dxa"/>
              <w:right w:w="80" w:type="dxa"/>
            </w:tcMar>
            <w:vAlign w:val="center"/>
          </w:tcPr>
          <w:p w14:paraId="721582CA" w14:textId="77777777" w:rsidR="00A41DD1" w:rsidRPr="00BA595B" w:rsidRDefault="00A41DD1" w:rsidP="00046E43">
            <w:pPr>
              <w:pStyle w:val="OikoTables03Content"/>
            </w:pPr>
            <w:r>
              <w:t>B — Protected production package</w:t>
            </w:r>
          </w:p>
        </w:tc>
        <w:tc>
          <w:tcPr>
            <w:tcW w:w="2900" w:type="dxa"/>
            <w:tcMar>
              <w:top w:w="40" w:type="dxa"/>
              <w:left w:w="80" w:type="dxa"/>
              <w:bottom w:w="40" w:type="dxa"/>
              <w:right w:w="80" w:type="dxa"/>
            </w:tcMar>
            <w:vAlign w:val="center"/>
          </w:tcPr>
          <w:p w14:paraId="3E47849B" w14:textId="77777777" w:rsidR="00A41DD1" w:rsidRPr="00BA595B" w:rsidRDefault="00A41DD1" w:rsidP="00046E43">
            <w:pPr>
              <w:pStyle w:val="OikoTables03Content"/>
            </w:pPr>
            <w:r>
              <w:t>Seasonal or passive-solar greenhouse, drip irrigation, ventilation, crop calendar, pest monitoring</w:t>
            </w:r>
          </w:p>
        </w:tc>
        <w:tc>
          <w:tcPr>
            <w:tcW w:w="1500" w:type="dxa"/>
            <w:tcMar>
              <w:top w:w="40" w:type="dxa"/>
              <w:left w:w="80" w:type="dxa"/>
              <w:bottom w:w="40" w:type="dxa"/>
              <w:right w:w="80" w:type="dxa"/>
            </w:tcMar>
            <w:vAlign w:val="center"/>
          </w:tcPr>
          <w:p w14:paraId="58B706A6" w14:textId="77777777" w:rsidR="00A41DD1" w:rsidRPr="00BA595B" w:rsidRDefault="00A41DD1" w:rsidP="00046E43">
            <w:pPr>
              <w:pStyle w:val="OikoTables03Content"/>
            </w:pPr>
            <w:r>
              <w:t>S2</w:t>
            </w:r>
          </w:p>
        </w:tc>
        <w:tc>
          <w:tcPr>
            <w:tcW w:w="3064" w:type="dxa"/>
            <w:tcMar>
              <w:top w:w="40" w:type="dxa"/>
              <w:left w:w="80" w:type="dxa"/>
              <w:bottom w:w="40" w:type="dxa"/>
              <w:right w:w="80" w:type="dxa"/>
            </w:tcMar>
            <w:vAlign w:val="center"/>
          </w:tcPr>
          <w:p w14:paraId="0086EE11" w14:textId="77777777" w:rsidR="00A41DD1" w:rsidRPr="00BA595B" w:rsidRDefault="00A41DD1" w:rsidP="00046E43">
            <w:pPr>
              <w:pStyle w:val="OikoTables03Content"/>
            </w:pPr>
            <w:r>
              <w:t>Greenhouse-anchored package; the CBA appraises it with the shared solar-drip supply</w:t>
            </w:r>
          </w:p>
        </w:tc>
      </w:tr>
      <w:tr w:rsidR="00A41DD1" w:rsidRPr="00BA595B" w14:paraId="60D9FF3B" w14:textId="77777777" w:rsidTr="00046E43">
        <w:trPr>
          <w:cantSplit/>
        </w:trPr>
        <w:tc>
          <w:tcPr>
            <w:tcW w:w="2170" w:type="dxa"/>
            <w:tcMar>
              <w:top w:w="40" w:type="dxa"/>
              <w:left w:w="80" w:type="dxa"/>
              <w:bottom w:w="40" w:type="dxa"/>
              <w:right w:w="80" w:type="dxa"/>
            </w:tcMar>
            <w:vAlign w:val="center"/>
          </w:tcPr>
          <w:p w14:paraId="4D79D04A" w14:textId="77777777" w:rsidR="00A41DD1" w:rsidRPr="00BA595B" w:rsidRDefault="00A41DD1" w:rsidP="00046E43">
            <w:pPr>
              <w:pStyle w:val="OikoTables03Content"/>
            </w:pPr>
            <w:r>
              <w:t>C — Solar irrigation + drip package</w:t>
            </w:r>
          </w:p>
        </w:tc>
        <w:tc>
          <w:tcPr>
            <w:tcW w:w="2900" w:type="dxa"/>
            <w:tcMar>
              <w:top w:w="40" w:type="dxa"/>
              <w:left w:w="80" w:type="dxa"/>
              <w:bottom w:w="40" w:type="dxa"/>
              <w:right w:w="80" w:type="dxa"/>
            </w:tcMar>
            <w:vAlign w:val="center"/>
          </w:tcPr>
          <w:p w14:paraId="553877CE" w14:textId="77777777" w:rsidR="00A41DD1" w:rsidRPr="00BA595B" w:rsidRDefault="00A41DD1" w:rsidP="00046E43">
            <w:pPr>
              <w:pStyle w:val="OikoTables03Content"/>
            </w:pPr>
            <w:r>
              <w:t>Solar pump, controller, storage tank, water meter, drip system, pump-hour records</w:t>
            </w:r>
          </w:p>
        </w:tc>
        <w:tc>
          <w:tcPr>
            <w:tcW w:w="1500" w:type="dxa"/>
            <w:tcMar>
              <w:top w:w="40" w:type="dxa"/>
              <w:left w:w="80" w:type="dxa"/>
              <w:bottom w:w="40" w:type="dxa"/>
              <w:right w:w="80" w:type="dxa"/>
            </w:tcMar>
            <w:vAlign w:val="center"/>
          </w:tcPr>
          <w:p w14:paraId="7258FA44" w14:textId="77777777" w:rsidR="00A41DD1" w:rsidRPr="00BA595B" w:rsidRDefault="00A41DD1" w:rsidP="00046E43">
            <w:pPr>
              <w:pStyle w:val="OikoTables03Content"/>
            </w:pPr>
            <w:r>
              <w:t>S1</w:t>
            </w:r>
          </w:p>
        </w:tc>
        <w:tc>
          <w:tcPr>
            <w:tcW w:w="3064" w:type="dxa"/>
            <w:tcMar>
              <w:top w:w="40" w:type="dxa"/>
              <w:left w:w="80" w:type="dxa"/>
              <w:bottom w:w="40" w:type="dxa"/>
              <w:right w:w="80" w:type="dxa"/>
            </w:tcMar>
            <w:vAlign w:val="center"/>
          </w:tcPr>
          <w:p w14:paraId="5A85FA23" w14:textId="77777777" w:rsidR="00A41DD1" w:rsidRPr="00BA595B" w:rsidRDefault="00A41DD1" w:rsidP="00046E43">
            <w:pPr>
              <w:pStyle w:val="OikoTables03Content"/>
            </w:pPr>
            <w:r>
              <w:t>Identical scope; subject to the water-appraisal safeguard before installation</w:t>
            </w:r>
          </w:p>
        </w:tc>
      </w:tr>
      <w:tr w:rsidR="00A41DD1" w:rsidRPr="00BA595B" w14:paraId="181E84A6" w14:textId="77777777" w:rsidTr="00046E43">
        <w:trPr>
          <w:cantSplit/>
        </w:trPr>
        <w:tc>
          <w:tcPr>
            <w:tcW w:w="2170" w:type="dxa"/>
            <w:tcMar>
              <w:top w:w="40" w:type="dxa"/>
              <w:left w:w="80" w:type="dxa"/>
              <w:bottom w:w="40" w:type="dxa"/>
              <w:right w:w="80" w:type="dxa"/>
            </w:tcMar>
            <w:vAlign w:val="center"/>
          </w:tcPr>
          <w:p w14:paraId="26217791" w14:textId="77777777" w:rsidR="00A41DD1" w:rsidRPr="00BA595B" w:rsidRDefault="00A41DD1" w:rsidP="00046E43">
            <w:pPr>
              <w:pStyle w:val="OikoTables03Content"/>
            </w:pPr>
            <w:r>
              <w:t>D — Cooperative resilience package</w:t>
            </w:r>
          </w:p>
        </w:tc>
        <w:tc>
          <w:tcPr>
            <w:tcW w:w="2900" w:type="dxa"/>
            <w:tcMar>
              <w:top w:w="40" w:type="dxa"/>
              <w:left w:w="80" w:type="dxa"/>
              <w:bottom w:w="40" w:type="dxa"/>
              <w:right w:w="80" w:type="dxa"/>
            </w:tcMar>
            <w:vAlign w:val="center"/>
          </w:tcPr>
          <w:p w14:paraId="6CF4B630" w14:textId="77777777" w:rsidR="00A41DD1" w:rsidRPr="00BA595B" w:rsidRDefault="00A41DD1" w:rsidP="00046E43">
            <w:pPr>
              <w:pStyle w:val="OikoTables03Content"/>
            </w:pPr>
            <w:r>
              <w:t>Shared solar pump and storage, drip network, greenhouse cluster, producer-group management, maintenance fund</w:t>
            </w:r>
          </w:p>
        </w:tc>
        <w:tc>
          <w:tcPr>
            <w:tcW w:w="1500" w:type="dxa"/>
            <w:tcMar>
              <w:top w:w="40" w:type="dxa"/>
              <w:left w:w="80" w:type="dxa"/>
              <w:bottom w:w="40" w:type="dxa"/>
              <w:right w:w="80" w:type="dxa"/>
            </w:tcMar>
            <w:vAlign w:val="center"/>
          </w:tcPr>
          <w:p w14:paraId="02FE3857" w14:textId="77777777" w:rsidR="00A41DD1" w:rsidRPr="00BA595B" w:rsidRDefault="00A41DD1" w:rsidP="00046E43">
            <w:pPr>
              <w:pStyle w:val="OikoTables03Content"/>
            </w:pPr>
            <w:r>
              <w:t>S4 (cluster level)</w:t>
            </w:r>
          </w:p>
        </w:tc>
        <w:tc>
          <w:tcPr>
            <w:tcW w:w="3064" w:type="dxa"/>
            <w:tcMar>
              <w:top w:w="40" w:type="dxa"/>
              <w:left w:w="80" w:type="dxa"/>
              <w:bottom w:w="40" w:type="dxa"/>
              <w:right w:w="80" w:type="dxa"/>
            </w:tcMar>
            <w:vAlign w:val="center"/>
          </w:tcPr>
          <w:p w14:paraId="6DC42078" w14:textId="77777777" w:rsidR="00A41DD1" w:rsidRPr="00BA595B" w:rsidRDefault="00A41DD1" w:rsidP="00046E43">
            <w:pPr>
              <w:pStyle w:val="OikoTables03Content"/>
            </w:pPr>
            <w:r>
              <w:t>Corresponds to the full integrated model aggregated to the 15–20-household water-users' association</w:t>
            </w:r>
          </w:p>
        </w:tc>
      </w:tr>
      <w:tr w:rsidR="00A41DD1" w:rsidRPr="00BA595B" w14:paraId="72D867E3" w14:textId="77777777" w:rsidTr="00046E43">
        <w:trPr>
          <w:cantSplit/>
        </w:trPr>
        <w:tc>
          <w:tcPr>
            <w:tcW w:w="2170" w:type="dxa"/>
            <w:tcMar>
              <w:top w:w="40" w:type="dxa"/>
              <w:left w:w="80" w:type="dxa"/>
              <w:bottom w:w="40" w:type="dxa"/>
              <w:right w:w="80" w:type="dxa"/>
            </w:tcMar>
            <w:vAlign w:val="center"/>
          </w:tcPr>
          <w:p w14:paraId="65D391D2" w14:textId="77777777" w:rsidR="00A41DD1" w:rsidRPr="00BA595B" w:rsidRDefault="00A41DD1" w:rsidP="00046E43">
            <w:pPr>
              <w:pStyle w:val="OikoTables03Content"/>
            </w:pPr>
            <w:r>
              <w:t xml:space="preserve">E — </w:t>
            </w:r>
            <w:proofErr w:type="spellStart"/>
            <w:r>
              <w:t>EbA</w:t>
            </w:r>
            <w:proofErr w:type="spellEnd"/>
            <w:r>
              <w:t xml:space="preserve"> landscape package</w:t>
            </w:r>
          </w:p>
        </w:tc>
        <w:tc>
          <w:tcPr>
            <w:tcW w:w="2900" w:type="dxa"/>
            <w:tcMar>
              <w:top w:w="40" w:type="dxa"/>
              <w:left w:w="80" w:type="dxa"/>
              <w:bottom w:w="40" w:type="dxa"/>
              <w:right w:w="80" w:type="dxa"/>
            </w:tcMar>
            <w:vAlign w:val="center"/>
          </w:tcPr>
          <w:p w14:paraId="008E0401" w14:textId="77777777" w:rsidR="00A41DD1" w:rsidRPr="00BA595B" w:rsidRDefault="00A41DD1" w:rsidP="00046E43">
            <w:pPr>
              <w:pStyle w:val="OikoTables03Content"/>
            </w:pPr>
            <w:proofErr w:type="gramStart"/>
            <w:r>
              <w:t>Shelterbelts</w:t>
            </w:r>
            <w:proofErr w:type="gramEnd"/>
            <w:r>
              <w:t>, living fences, windbreak nets, soil-moisture practices, establishment irrigation</w:t>
            </w:r>
          </w:p>
        </w:tc>
        <w:tc>
          <w:tcPr>
            <w:tcW w:w="1500" w:type="dxa"/>
            <w:tcMar>
              <w:top w:w="40" w:type="dxa"/>
              <w:left w:w="80" w:type="dxa"/>
              <w:bottom w:w="40" w:type="dxa"/>
              <w:right w:w="80" w:type="dxa"/>
            </w:tcMar>
            <w:vAlign w:val="center"/>
          </w:tcPr>
          <w:p w14:paraId="633C3E41" w14:textId="77777777" w:rsidR="00A41DD1" w:rsidRPr="00BA595B" w:rsidRDefault="00A41DD1" w:rsidP="00046E43">
            <w:pPr>
              <w:pStyle w:val="OikoTables03Content"/>
            </w:pPr>
            <w:r>
              <w:t>S3</w:t>
            </w:r>
          </w:p>
        </w:tc>
        <w:tc>
          <w:tcPr>
            <w:tcW w:w="3064" w:type="dxa"/>
            <w:tcMar>
              <w:top w:w="40" w:type="dxa"/>
              <w:left w:w="80" w:type="dxa"/>
              <w:bottom w:w="40" w:type="dxa"/>
              <w:right w:w="80" w:type="dxa"/>
            </w:tcMar>
            <w:vAlign w:val="center"/>
          </w:tcPr>
          <w:p w14:paraId="192D1DAE" w14:textId="77777777" w:rsidR="00A41DD1" w:rsidRPr="00BA595B" w:rsidRDefault="00A41DD1" w:rsidP="00046E43">
            <w:pPr>
              <w:pStyle w:val="OikoTables03Content"/>
            </w:pPr>
            <w:r>
              <w:t>Ecosystem-based adaptation layer; appraised with the shared solar-drip supply as S3</w:t>
            </w:r>
          </w:p>
        </w:tc>
      </w:tr>
    </w:tbl>
    <w:p w14:paraId="73165AD6" w14:textId="77777777" w:rsidR="00A41DD1" w:rsidRDefault="00A41DD1" w:rsidP="00BA595B">
      <w:pPr>
        <w:spacing w:before="60" w:after="120" w:line="240" w:lineRule="auto"/>
        <w:contextualSpacing w:val="0"/>
      </w:pPr>
      <w:r>
        <w:rPr>
          <w:rFonts w:eastAsia="Times New Roman" w:cs="Times New Roman"/>
          <w:i/>
          <w:iCs/>
          <w:sz w:val="18"/>
          <w:szCs w:val="18"/>
        </w:rPr>
        <w:t>The insurance-only scenario (S5) has no counterpart package in the Technology Menu: it is an analytical reference case in the CBA, not a recommended farmer package.</w:t>
      </w:r>
    </w:p>
    <w:p w14:paraId="705F6C75" w14:textId="77777777" w:rsidR="00B949C3" w:rsidRPr="00E35798" w:rsidRDefault="00B949C3" w:rsidP="00EB489E"/>
    <w:p w14:paraId="3D457A74" w14:textId="0DE0B9B6" w:rsidR="00B949C3" w:rsidRDefault="00B949C3" w:rsidP="00BA595B">
      <w:pPr>
        <w:spacing w:after="120" w:line="240" w:lineRule="auto"/>
        <w:contextualSpacing w:val="0"/>
        <w:jc w:val="left"/>
      </w:pPr>
      <w:r>
        <w:br w:type="page"/>
      </w:r>
    </w:p>
    <w:p w14:paraId="3B56F630" w14:textId="3A299E0D" w:rsidR="00BA595B" w:rsidRDefault="00BA595B" w:rsidP="00BA595B">
      <w:pPr>
        <w:pStyle w:val="OikoSectionHeading1"/>
        <w:spacing w:line="240" w:lineRule="auto"/>
        <w:contextualSpacing w:val="0"/>
      </w:pPr>
      <w:bookmarkStart w:id="180" w:name="_Toc233981383"/>
      <w:r>
        <w:lastRenderedPageBreak/>
        <w:t>Annex 2: SWOT analysis of greenhouse vegetable production</w:t>
      </w:r>
      <w:bookmarkEnd w:id="180"/>
    </w:p>
    <w:p w14:paraId="122F73EB" w14:textId="77777777" w:rsidR="00BA595B" w:rsidRDefault="00BA595B" w:rsidP="00BA595B">
      <w:pPr>
        <w:pStyle w:val="BodyText"/>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515"/>
        <w:gridCol w:w="4515"/>
      </w:tblGrid>
      <w:tr w:rsidR="00BA595B" w:rsidRPr="00765137" w14:paraId="29333EC8" w14:textId="77777777" w:rsidTr="00046E43">
        <w:trPr>
          <w:trHeight w:val="285"/>
        </w:trPr>
        <w:tc>
          <w:tcPr>
            <w:tcW w:w="4515" w:type="dxa"/>
            <w:tcBorders>
              <w:top w:val="single" w:sz="6" w:space="0" w:color="auto"/>
              <w:left w:val="single" w:sz="6" w:space="0" w:color="auto"/>
            </w:tcBorders>
            <w:shd w:val="clear" w:color="auto" w:fill="CAE9D7" w:themeFill="accent6" w:themeFillTint="66"/>
            <w:tcMar>
              <w:left w:w="105" w:type="dxa"/>
              <w:right w:w="105" w:type="dxa"/>
            </w:tcMar>
          </w:tcPr>
          <w:p w14:paraId="417EC81A" w14:textId="77777777" w:rsidR="00BA595B" w:rsidRPr="00765137" w:rsidRDefault="00BA595B" w:rsidP="00046E43">
            <w:pPr>
              <w:pStyle w:val="OikoTables02"/>
              <w:rPr>
                <w:lang w:val="de-DE"/>
              </w:rPr>
            </w:pPr>
            <w:r>
              <w:t>Strength</w:t>
            </w:r>
          </w:p>
        </w:tc>
        <w:tc>
          <w:tcPr>
            <w:tcW w:w="4515" w:type="dxa"/>
            <w:tcBorders>
              <w:top w:val="single" w:sz="6" w:space="0" w:color="auto"/>
              <w:right w:val="single" w:sz="6" w:space="0" w:color="auto"/>
            </w:tcBorders>
            <w:shd w:val="clear" w:color="auto" w:fill="F6D7C4" w:themeFill="accent3" w:themeFillTint="66"/>
            <w:tcMar>
              <w:left w:w="105" w:type="dxa"/>
              <w:right w:w="105" w:type="dxa"/>
            </w:tcMar>
          </w:tcPr>
          <w:p w14:paraId="37CF5D18" w14:textId="77777777" w:rsidR="00BA595B" w:rsidRPr="00765137" w:rsidRDefault="00BA595B" w:rsidP="00046E43">
            <w:pPr>
              <w:pStyle w:val="OikoTables02"/>
              <w:rPr>
                <w:lang w:val="de-DE"/>
              </w:rPr>
            </w:pPr>
            <w:r>
              <w:t>Weaknesses</w:t>
            </w:r>
          </w:p>
        </w:tc>
      </w:tr>
      <w:tr w:rsidR="00BA595B" w:rsidRPr="00765137" w14:paraId="5B8BDB02" w14:textId="77777777" w:rsidTr="004458B3">
        <w:trPr>
          <w:trHeight w:val="285"/>
        </w:trPr>
        <w:tc>
          <w:tcPr>
            <w:tcW w:w="4515" w:type="dxa"/>
            <w:tcBorders>
              <w:left w:val="single" w:sz="6" w:space="0" w:color="auto"/>
            </w:tcBorders>
            <w:tcMar>
              <w:left w:w="105" w:type="dxa"/>
              <w:right w:w="105" w:type="dxa"/>
            </w:tcMar>
          </w:tcPr>
          <w:p w14:paraId="2DFC4910" w14:textId="77777777" w:rsidR="00BA595B" w:rsidRPr="00765137" w:rsidRDefault="00BA595B" w:rsidP="00046E43">
            <w:pPr>
              <w:pStyle w:val="OikoTables11"/>
              <w:numPr>
                <w:ilvl w:val="0"/>
                <w:numId w:val="46"/>
              </w:numPr>
            </w:pPr>
            <w:r>
              <w:t>Consistent demand for fresh, locally grown produce</w:t>
            </w:r>
          </w:p>
          <w:p w14:paraId="428BAC73" w14:textId="77777777" w:rsidR="00BA595B" w:rsidRPr="00765137" w:rsidRDefault="00BA595B" w:rsidP="00046E43">
            <w:pPr>
              <w:pStyle w:val="OikoTables11"/>
              <w:numPr>
                <w:ilvl w:val="0"/>
                <w:numId w:val="46"/>
              </w:numPr>
            </w:pPr>
            <w:r>
              <w:t xml:space="preserve">Maximizes output per square </w:t>
            </w:r>
            <w:proofErr w:type="spellStart"/>
            <w:r>
              <w:t>metre</w:t>
            </w:r>
            <w:proofErr w:type="spellEnd"/>
            <w:r>
              <w:t xml:space="preserve"> compared to traditional open-field farming</w:t>
            </w:r>
          </w:p>
          <w:p w14:paraId="0363961E" w14:textId="77777777" w:rsidR="00BA595B" w:rsidRPr="00765137" w:rsidRDefault="00BA595B" w:rsidP="00046E43">
            <w:pPr>
              <w:pStyle w:val="OikoTables11"/>
              <w:numPr>
                <w:ilvl w:val="0"/>
                <w:numId w:val="46"/>
              </w:numPr>
            </w:pPr>
            <w:r>
              <w:t>Ability to regulate temperature, humidity, and light, allowing for year-round cultivation and protection against adverse weather conditions</w:t>
            </w:r>
          </w:p>
          <w:p w14:paraId="1E82A450" w14:textId="77777777" w:rsidR="00BA595B" w:rsidRPr="00765137" w:rsidRDefault="00BA595B" w:rsidP="00046E43">
            <w:pPr>
              <w:pStyle w:val="OikoTables11"/>
              <w:numPr>
                <w:ilvl w:val="0"/>
                <w:numId w:val="46"/>
              </w:numPr>
            </w:pPr>
            <w:r>
              <w:t>Diverse crop options to cater different consumer preferences</w:t>
            </w:r>
          </w:p>
          <w:p w14:paraId="14E6595F" w14:textId="77777777" w:rsidR="00BA595B" w:rsidRPr="00765137" w:rsidRDefault="00BA595B" w:rsidP="00046E43">
            <w:pPr>
              <w:pStyle w:val="OikoTables11"/>
              <w:numPr>
                <w:ilvl w:val="0"/>
                <w:numId w:val="46"/>
              </w:numPr>
            </w:pPr>
            <w:r>
              <w:t>Growing conditions lead to uniform product sizes, appearance, and flavor profiles</w:t>
            </w:r>
          </w:p>
          <w:p w14:paraId="63FF4FDA" w14:textId="77777777" w:rsidR="00BA595B" w:rsidRPr="00765137" w:rsidRDefault="00BA595B" w:rsidP="00046E43">
            <w:pPr>
              <w:pStyle w:val="OikoTables11"/>
              <w:numPr>
                <w:ilvl w:val="0"/>
                <w:numId w:val="46"/>
              </w:numPr>
            </w:pPr>
            <w:r>
              <w:t xml:space="preserve">Fits very well into local small-scale farming environments in a backyard setting </w:t>
            </w:r>
          </w:p>
        </w:tc>
        <w:tc>
          <w:tcPr>
            <w:tcW w:w="4515" w:type="dxa"/>
            <w:tcBorders>
              <w:right w:val="single" w:sz="6" w:space="0" w:color="auto"/>
            </w:tcBorders>
            <w:tcMar>
              <w:left w:w="105" w:type="dxa"/>
              <w:right w:w="105" w:type="dxa"/>
            </w:tcMar>
          </w:tcPr>
          <w:p w14:paraId="54A73CD4" w14:textId="77777777" w:rsidR="00BA595B" w:rsidRPr="00765137" w:rsidRDefault="00BA595B" w:rsidP="00046E43">
            <w:pPr>
              <w:pStyle w:val="OikoTables08"/>
            </w:pPr>
            <w:r>
              <w:t>Requires skilled labor and agronomic expertise to manage advanced (automated) systems and respond quickly to technical or biological issues</w:t>
            </w:r>
          </w:p>
          <w:p w14:paraId="2ED57AAA" w14:textId="77777777" w:rsidR="00BA595B" w:rsidRPr="00765137" w:rsidRDefault="00BA595B" w:rsidP="00046E43">
            <w:pPr>
              <w:pStyle w:val="OikoTables08"/>
            </w:pPr>
            <w:r>
              <w:t>Substantial initial costs are required for greenhouse structures, climate controls, and supplemental heating/lighting</w:t>
            </w:r>
          </w:p>
          <w:p w14:paraId="4ECFA9F1" w14:textId="77777777" w:rsidR="00BA595B" w:rsidRPr="00765137" w:rsidRDefault="00BA595B" w:rsidP="00046E43">
            <w:pPr>
              <w:pStyle w:val="OikoTables08"/>
            </w:pPr>
            <w:r>
              <w:t>Maintenance &amp; Breakdowns: Heavy reliance on machinery means that equipment failures can severely impact or destroy crop cycles</w:t>
            </w:r>
          </w:p>
          <w:p w14:paraId="0FB768C2" w14:textId="77777777" w:rsidR="00BA595B" w:rsidRPr="00765137" w:rsidRDefault="00BA595B" w:rsidP="00046E43">
            <w:pPr>
              <w:pStyle w:val="OikoTables08"/>
              <w:rPr>
                <w:lang w:val="de-DE"/>
              </w:rPr>
            </w:pPr>
            <w:r>
              <w:t>Crops susceptible to pests &amp; diseases</w:t>
            </w:r>
          </w:p>
          <w:p w14:paraId="0A3A84AA" w14:textId="77777777" w:rsidR="00BA595B" w:rsidRPr="00765137" w:rsidRDefault="00BA595B" w:rsidP="00046E43">
            <w:pPr>
              <w:pStyle w:val="OikoTables08"/>
            </w:pPr>
            <w:r>
              <w:t>Significant operating ongoing costs, maintenance, weeding, labor</w:t>
            </w:r>
          </w:p>
          <w:p w14:paraId="02002B5A" w14:textId="77777777" w:rsidR="00BA595B" w:rsidRPr="00765137" w:rsidRDefault="00BA595B" w:rsidP="00046E43">
            <w:pPr>
              <w:pStyle w:val="OikoTables03Content"/>
              <w:rPr>
                <w:rFonts w:eastAsia="Times New Roman" w:cs="Times New Roman"/>
              </w:rPr>
            </w:pPr>
          </w:p>
        </w:tc>
      </w:tr>
      <w:tr w:rsidR="00BA595B" w:rsidRPr="00765137" w14:paraId="3EA14C1F" w14:textId="77777777" w:rsidTr="00046E43">
        <w:trPr>
          <w:trHeight w:val="285"/>
        </w:trPr>
        <w:tc>
          <w:tcPr>
            <w:tcW w:w="4515" w:type="dxa"/>
            <w:tcBorders>
              <w:left w:val="single" w:sz="6" w:space="0" w:color="auto"/>
            </w:tcBorders>
            <w:shd w:val="clear" w:color="auto" w:fill="CAE9D7" w:themeFill="accent6" w:themeFillTint="66"/>
            <w:tcMar>
              <w:left w:w="105" w:type="dxa"/>
              <w:right w:w="105" w:type="dxa"/>
            </w:tcMar>
          </w:tcPr>
          <w:p w14:paraId="0F090E6F" w14:textId="77777777" w:rsidR="00BA595B" w:rsidRPr="00046E43" w:rsidRDefault="00BA595B" w:rsidP="00046E43">
            <w:pPr>
              <w:pStyle w:val="OikoTables02"/>
            </w:pPr>
            <w:r>
              <w:t>Opportunities</w:t>
            </w:r>
          </w:p>
        </w:tc>
        <w:tc>
          <w:tcPr>
            <w:tcW w:w="4515" w:type="dxa"/>
            <w:tcBorders>
              <w:right w:val="single" w:sz="6" w:space="0" w:color="auto"/>
            </w:tcBorders>
            <w:shd w:val="clear" w:color="auto" w:fill="F6D7C4" w:themeFill="accent3" w:themeFillTint="66"/>
            <w:tcMar>
              <w:left w:w="105" w:type="dxa"/>
              <w:right w:w="105" w:type="dxa"/>
            </w:tcMar>
          </w:tcPr>
          <w:p w14:paraId="697B6A13" w14:textId="77777777" w:rsidR="00BA595B" w:rsidRPr="00046E43" w:rsidRDefault="00BA595B" w:rsidP="00046E43">
            <w:pPr>
              <w:pStyle w:val="OikoTables02"/>
            </w:pPr>
            <w:r>
              <w:t>Threats</w:t>
            </w:r>
          </w:p>
        </w:tc>
      </w:tr>
      <w:tr w:rsidR="00BA595B" w:rsidRPr="00765137" w14:paraId="4E7D09E5" w14:textId="77777777" w:rsidTr="004458B3">
        <w:trPr>
          <w:trHeight w:val="285"/>
        </w:trPr>
        <w:tc>
          <w:tcPr>
            <w:tcW w:w="4515" w:type="dxa"/>
            <w:tcBorders>
              <w:left w:val="single" w:sz="6" w:space="0" w:color="auto"/>
            </w:tcBorders>
            <w:tcMar>
              <w:left w:w="105" w:type="dxa"/>
              <w:right w:w="105" w:type="dxa"/>
            </w:tcMar>
          </w:tcPr>
          <w:p w14:paraId="4CF20658" w14:textId="77777777" w:rsidR="00BA595B" w:rsidRPr="00046E43" w:rsidRDefault="00BA595B" w:rsidP="00046E43">
            <w:pPr>
              <w:pStyle w:val="OikoTables11"/>
              <w:numPr>
                <w:ilvl w:val="0"/>
                <w:numId w:val="46"/>
              </w:numPr>
            </w:pPr>
            <w:r w:rsidRPr="00046E43">
              <w:t>Local Market Proximity, for the growers and consumers for fresh produce</w:t>
            </w:r>
          </w:p>
          <w:p w14:paraId="7BEA49F0" w14:textId="77777777" w:rsidR="00BA595B" w:rsidRPr="00046E43" w:rsidRDefault="00BA595B" w:rsidP="00046E43">
            <w:pPr>
              <w:pStyle w:val="OikoTables11"/>
              <w:numPr>
                <w:ilvl w:val="0"/>
                <w:numId w:val="46"/>
              </w:numPr>
            </w:pPr>
            <w:r w:rsidRPr="00046E43">
              <w:t>Expanding into high-value, niche crops like specialty microgreens, or other vegetables to diversify revenue options</w:t>
            </w:r>
          </w:p>
          <w:p w14:paraId="66237292" w14:textId="77777777" w:rsidR="00BA595B" w:rsidRPr="00046E43" w:rsidRDefault="00BA595B" w:rsidP="00046E43">
            <w:pPr>
              <w:pStyle w:val="OikoTables11"/>
              <w:numPr>
                <w:ilvl w:val="0"/>
                <w:numId w:val="46"/>
              </w:numPr>
            </w:pPr>
            <w:r w:rsidRPr="00046E43">
              <w:t xml:space="preserve">Potential government support through the utilization of </w:t>
            </w:r>
            <w:proofErr w:type="spellStart"/>
            <w:r w:rsidRPr="00046E43">
              <w:t>Agroparc</w:t>
            </w:r>
            <w:proofErr w:type="spellEnd"/>
            <w:r w:rsidRPr="00046E43">
              <w:t xml:space="preserve"> structures</w:t>
            </w:r>
          </w:p>
          <w:p w14:paraId="78EF4AF0" w14:textId="77777777" w:rsidR="00BA595B" w:rsidRPr="00046E43" w:rsidRDefault="00BA595B" w:rsidP="00046E43">
            <w:pPr>
              <w:pStyle w:val="OikoTables11"/>
              <w:numPr>
                <w:ilvl w:val="0"/>
                <w:numId w:val="46"/>
              </w:numPr>
            </w:pPr>
            <w:r w:rsidRPr="00046E43">
              <w:t>Establishment and utilization of various agricultural extensions services/Vegetable Producer Association</w:t>
            </w:r>
          </w:p>
          <w:p w14:paraId="0F1ADBB7" w14:textId="77777777" w:rsidR="00BA595B" w:rsidRPr="00046E43" w:rsidRDefault="00BA595B" w:rsidP="00046E43">
            <w:pPr>
              <w:pStyle w:val="OikoTables11"/>
              <w:numPr>
                <w:ilvl w:val="0"/>
                <w:numId w:val="46"/>
              </w:numPr>
            </w:pPr>
            <w:r w:rsidRPr="00046E43">
              <w:t>Not limited to vegetable production; expansion into fruit and forestry tree propagation is possible</w:t>
            </w:r>
          </w:p>
          <w:p w14:paraId="146BBF25" w14:textId="77777777" w:rsidR="00BA595B" w:rsidRPr="00046E43" w:rsidRDefault="00BA595B" w:rsidP="00046E43">
            <w:pPr>
              <w:pStyle w:val="OikoTables11"/>
              <w:numPr>
                <w:ilvl w:val="0"/>
                <w:numId w:val="46"/>
              </w:numPr>
            </w:pPr>
            <w:r w:rsidRPr="00046E43">
              <w:t xml:space="preserve">Year around vegetable production </w:t>
            </w:r>
            <w:proofErr w:type="gramStart"/>
            <w:r w:rsidRPr="00046E43">
              <w:t>possible</w:t>
            </w:r>
            <w:proofErr w:type="gramEnd"/>
            <w:r w:rsidRPr="00046E43">
              <w:t xml:space="preserve"> by help of passive solar greenhouses, and/or double/</w:t>
            </w:r>
            <w:proofErr w:type="spellStart"/>
            <w:proofErr w:type="gramStart"/>
            <w:r w:rsidRPr="00046E43">
              <w:t>tripple</w:t>
            </w:r>
            <w:proofErr w:type="spellEnd"/>
            <w:r w:rsidRPr="00046E43">
              <w:t xml:space="preserve"> film</w:t>
            </w:r>
            <w:proofErr w:type="gramEnd"/>
            <w:r w:rsidRPr="00046E43">
              <w:t xml:space="preserve"> layer greenhouses (additional heating options may be required)</w:t>
            </w:r>
          </w:p>
          <w:p w14:paraId="0490A2BF" w14:textId="77777777" w:rsidR="00BA595B" w:rsidRPr="00765137" w:rsidRDefault="00BA595B" w:rsidP="00046E43">
            <w:pPr>
              <w:pStyle w:val="OikoTables03Content"/>
              <w:rPr>
                <w:rFonts w:eastAsia="Times New Roman" w:cs="Times New Roman"/>
              </w:rPr>
            </w:pPr>
          </w:p>
        </w:tc>
        <w:tc>
          <w:tcPr>
            <w:tcW w:w="4515" w:type="dxa"/>
            <w:tcBorders>
              <w:right w:val="single" w:sz="6" w:space="0" w:color="auto"/>
            </w:tcBorders>
            <w:tcMar>
              <w:left w:w="105" w:type="dxa"/>
              <w:right w:w="105" w:type="dxa"/>
            </w:tcMar>
          </w:tcPr>
          <w:p w14:paraId="3BC0249F" w14:textId="77777777" w:rsidR="00BA595B" w:rsidRPr="00ED71A8" w:rsidRDefault="00BA595B" w:rsidP="00ED71A8">
            <w:pPr>
              <w:pStyle w:val="OikoTables08"/>
            </w:pPr>
            <w:r w:rsidRPr="00ED71A8">
              <w:t>Intense Competition, e.g. from imported produce grown in regions with lower labor and heating costs, or from emerging localized systems like large scale vegetable farms or vertical farms</w:t>
            </w:r>
          </w:p>
          <w:p w14:paraId="5549BA2F" w14:textId="77777777" w:rsidR="00BA595B" w:rsidRPr="00ED71A8" w:rsidRDefault="00BA595B" w:rsidP="00ED71A8">
            <w:pPr>
              <w:pStyle w:val="OikoTables08"/>
            </w:pPr>
            <w:r w:rsidRPr="00ED71A8">
              <w:t>Supply Chain Disruptions, delays or rising costs for essential inputs such as seeds, fertilizers, packaging, and replacement equipment</w:t>
            </w:r>
          </w:p>
          <w:p w14:paraId="08786F6D" w14:textId="77777777" w:rsidR="00BA595B" w:rsidRPr="00ED71A8" w:rsidRDefault="00BA595B" w:rsidP="00ED71A8">
            <w:pPr>
              <w:pStyle w:val="OikoTables08"/>
            </w:pPr>
            <w:r w:rsidRPr="00ED71A8">
              <w:t>Market Saturation, i.e. rapid expansion of greenhouse operations in certain regions may lead to downward pressure on wholesale vegetable prices</w:t>
            </w:r>
          </w:p>
          <w:p w14:paraId="0F574D9E" w14:textId="77777777" w:rsidR="00BA595B" w:rsidRPr="00ED71A8" w:rsidRDefault="00BA595B" w:rsidP="00ED71A8">
            <w:pPr>
              <w:pStyle w:val="OikoTables08"/>
            </w:pPr>
            <w:r w:rsidRPr="00ED71A8">
              <w:t>Insufficient and inadequate storage facilities can lead to the spoilage of products</w:t>
            </w:r>
          </w:p>
          <w:p w14:paraId="23494F89" w14:textId="77777777" w:rsidR="00BA595B" w:rsidRPr="00765137" w:rsidRDefault="00BA595B" w:rsidP="00ED71A8">
            <w:pPr>
              <w:pStyle w:val="OikoTables08"/>
              <w:rPr>
                <w:rFonts w:eastAsia="Times New Roman" w:cs="Times New Roman"/>
              </w:rPr>
            </w:pPr>
            <w:r w:rsidRPr="00ED71A8">
              <w:t>Extreme weather conditions require additional heating costs for a few days (affordable alternatives are mentioned in the report)</w:t>
            </w:r>
            <w:r>
              <w:rPr>
                <w:rFonts w:eastAsia="Times New Roman" w:cs="Times New Roman"/>
              </w:rPr>
              <w:t xml:space="preserve"> </w:t>
            </w:r>
          </w:p>
        </w:tc>
      </w:tr>
    </w:tbl>
    <w:p w14:paraId="2DF168D7" w14:textId="77777777" w:rsidR="00BA595B" w:rsidRPr="001852F2" w:rsidRDefault="00BA595B" w:rsidP="00BA595B">
      <w:pPr>
        <w:spacing w:after="120" w:line="240" w:lineRule="auto"/>
        <w:contextualSpacing w:val="0"/>
        <w:rPr>
          <w:rFonts w:eastAsia="Times New Roman" w:cs="Times New Roman"/>
          <w:color w:val="000000"/>
          <w:lang w:val="en-US"/>
        </w:rPr>
      </w:pPr>
    </w:p>
    <w:p w14:paraId="214FC0FF" w14:textId="77777777" w:rsidR="00BA595B" w:rsidRPr="001852F2" w:rsidRDefault="00BA595B" w:rsidP="00BA595B">
      <w:pPr>
        <w:spacing w:after="120" w:line="240" w:lineRule="auto"/>
        <w:contextualSpacing w:val="0"/>
        <w:rPr>
          <w:rFonts w:eastAsia="Times New Roman" w:cs="Times New Roman"/>
          <w:color w:val="000000"/>
          <w:lang w:val="en-US"/>
        </w:rPr>
      </w:pPr>
    </w:p>
    <w:p w14:paraId="0141218F" w14:textId="7D17A683" w:rsidR="00BA595B" w:rsidRPr="00BA595B" w:rsidRDefault="00BA595B" w:rsidP="00D16E24">
      <w:pPr>
        <w:spacing w:after="120" w:line="240" w:lineRule="auto"/>
        <w:contextualSpacing w:val="0"/>
        <w:jc w:val="left"/>
        <w:rPr>
          <w:lang w:val="en-US"/>
        </w:rPr>
      </w:pPr>
    </w:p>
    <w:p w14:paraId="0F5BDB91" w14:textId="1CE567BE" w:rsidR="00BA595B" w:rsidRDefault="00BA595B" w:rsidP="00D16E24">
      <w:pPr>
        <w:spacing w:after="120" w:line="240" w:lineRule="auto"/>
        <w:contextualSpacing w:val="0"/>
        <w:jc w:val="left"/>
      </w:pPr>
    </w:p>
    <w:p w14:paraId="27C99E9F" w14:textId="6C1BDF00" w:rsidR="00BA595B" w:rsidRDefault="00BA595B" w:rsidP="00D16E24">
      <w:pPr>
        <w:spacing w:after="120" w:line="240" w:lineRule="auto"/>
        <w:contextualSpacing w:val="0"/>
        <w:jc w:val="left"/>
      </w:pPr>
    </w:p>
    <w:p w14:paraId="1AACF363" w14:textId="77777777" w:rsidR="00ED71A8" w:rsidRDefault="00ED71A8">
      <w:pPr>
        <w:spacing w:after="160" w:line="259" w:lineRule="auto"/>
        <w:contextualSpacing w:val="0"/>
        <w:jc w:val="left"/>
        <w:rPr>
          <w:rFonts w:eastAsiaTheme="majorEastAsia" w:cstheme="majorBidi"/>
          <w:color w:val="DD6B22" w:themeColor="accent3" w:themeShade="BF"/>
          <w:sz w:val="52"/>
          <w:szCs w:val="32"/>
        </w:rPr>
      </w:pPr>
      <w:r>
        <w:br w:type="page"/>
      </w:r>
    </w:p>
    <w:p w14:paraId="32CCB89F" w14:textId="706CD825" w:rsidR="00765137" w:rsidRDefault="00765137" w:rsidP="00006770">
      <w:pPr>
        <w:pStyle w:val="OikoSectionHeading1"/>
        <w:spacing w:line="240" w:lineRule="auto"/>
        <w:contextualSpacing w:val="0"/>
      </w:pPr>
      <w:bookmarkStart w:id="181" w:name="_Toc233981384"/>
      <w:r>
        <w:lastRenderedPageBreak/>
        <w:t>Annex 3: Mongolian classification of greenhouses</w:t>
      </w:r>
      <w:r>
        <w:rPr>
          <w:rStyle w:val="FootnoteReference"/>
        </w:rPr>
        <w:footnoteReference w:id="14"/>
      </w:r>
      <w:bookmarkEnd w:id="181"/>
    </w:p>
    <w:p w14:paraId="2BCCDD6E" w14:textId="77777777" w:rsidR="00006770" w:rsidRDefault="00006770" w:rsidP="00765137">
      <w:pPr>
        <w:spacing w:after="120" w:line="240" w:lineRule="auto"/>
        <w:contextualSpacing w:val="0"/>
        <w:jc w:val="center"/>
        <w:rPr>
          <w:rFonts w:ascii="Arial" w:hAnsi="Arial" w:cs="Arial"/>
          <w:i/>
          <w:iCs/>
        </w:rPr>
      </w:pPr>
    </w:p>
    <w:p w14:paraId="4961B8EB" w14:textId="15F32486" w:rsidR="00765137" w:rsidRPr="00E35798" w:rsidRDefault="00765137" w:rsidP="00765137">
      <w:pPr>
        <w:spacing w:after="120" w:line="240" w:lineRule="auto"/>
        <w:contextualSpacing w:val="0"/>
        <w:jc w:val="center"/>
        <w:rPr>
          <w:rFonts w:ascii="Arial" w:hAnsi="Arial" w:cs="Arial"/>
          <w:i/>
          <w:iCs/>
        </w:rPr>
      </w:pPr>
      <w:r>
        <w:rPr>
          <w:rFonts w:ascii="Arial" w:hAnsi="Arial" w:cs="Arial"/>
          <w:i/>
          <w:iCs/>
          <w:noProof/>
        </w:rPr>
        <mc:AlternateContent>
          <mc:Choice Requires="wpg">
            <w:drawing>
              <wp:inline distT="0" distB="0" distL="0" distR="0" wp14:anchorId="5770F85A" wp14:editId="16DCC5D6">
                <wp:extent cx="5737632" cy="1287145"/>
                <wp:effectExtent l="0" t="0" r="0" b="8255"/>
                <wp:docPr id="51080462" name="Group 7"/>
                <wp:cNvGraphicFramePr/>
                <a:graphic xmlns:a="http://schemas.openxmlformats.org/drawingml/2006/main">
                  <a:graphicData uri="http://schemas.microsoft.com/office/word/2010/wordprocessingGroup">
                    <wpg:wgp>
                      <wpg:cNvGrpSpPr/>
                      <wpg:grpSpPr>
                        <a:xfrm>
                          <a:off x="0" y="0"/>
                          <a:ext cx="5737632" cy="1287145"/>
                          <a:chOff x="0" y="0"/>
                          <a:chExt cx="5737632" cy="1287145"/>
                        </a:xfrm>
                      </wpg:grpSpPr>
                      <pic:pic xmlns:pic="http://schemas.openxmlformats.org/drawingml/2006/picture">
                        <pic:nvPicPr>
                          <pic:cNvPr id="984328252" name="Picture 14"/>
                          <pic:cNvPicPr>
                            <a:picLocks noChangeAspect="1"/>
                          </pic:cNvPicPr>
                        </pic:nvPicPr>
                        <pic:blipFill rotWithShape="1">
                          <a:blip r:embed="rId96" cstate="print">
                            <a:extLst>
                              <a:ext uri="{28A0092B-C50C-407E-A947-70E740481C1C}">
                                <a14:useLocalDpi xmlns:a14="http://schemas.microsoft.com/office/drawing/2010/main" val="0"/>
                              </a:ext>
                            </a:extLst>
                          </a:blip>
                          <a:srcRect b="4829"/>
                          <a:stretch/>
                        </pic:blipFill>
                        <pic:spPr bwMode="auto">
                          <a:xfrm>
                            <a:off x="0" y="0"/>
                            <a:ext cx="2746375" cy="12871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45261258" name="Picture 2084236349"/>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2977287" y="0"/>
                            <a:ext cx="2760345" cy="1216025"/>
                          </a:xfrm>
                          <a:prstGeom prst="rect">
                            <a:avLst/>
                          </a:prstGeom>
                          <a:noFill/>
                          <a:ln>
                            <a:noFill/>
                          </a:ln>
                        </pic:spPr>
                      </pic:pic>
                    </wpg:wgp>
                  </a:graphicData>
                </a:graphic>
              </wp:inline>
            </w:drawing>
          </mc:Choice>
          <mc:Fallback xmlns:a="http://schemas.openxmlformats.org/drawingml/2006/main" xmlns:pic="http://schemas.openxmlformats.org/drawingml/2006/picture" xmlns:a14="http://schemas.microsoft.com/office/drawing/2010/main" xmlns:a16="http://schemas.microsoft.com/office/drawing/2014/main" xmlns:asvg="http://schemas.microsoft.com/office/drawing/2016/SVG/main">
            <w:pict w14:anchorId="48874142">
              <v:group id="Group 7" style="width:451.8pt;height:101.35pt;mso-position-horizontal-relative:char;mso-position-vertical-relative:line" coordsize="57376,12871" o:spid="_x0000_s1026" w14:anchorId="2EFD21EF"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MZMuBzQIAAA0IAAAOAAAAZHJzL2Uyb0RvYy54bWzUVVtvmzAUfp+0/2Dx 3gKGAEVNqmldq0m7ROumPTvGgFWwLdsJ6b/fsaG0aSa1qrZJewjx5fhcvu/z8fnFvu/QjmnDpVgG 8WkUICaorLholsGP71cnRYCMJaIinRRsGdwxE1ys3r45H1TJsGxlVzGNwIkw5aCWQWutKsPQ0Jb1 xJxKxQRs1lL3xMJUN2GlyQDe+y7EUZSFg9SV0pIyY2D1ctwMVt5/XTNqv9a1YRZ1ywBys/6r/Xfj vuHqnJSNJqrldEqDvCKLnnABQWdXl8QStNX8yFXPqZZG1vaUyj6Udc0p8zVANXH0pJprLbfK19KU Q6NmmADaJzi92i39sltrxKtlsIijIkozHCBBemDKB0e5Q2hQTQmG11rdqLWeFppx5ore17p3/1AO 2nts72Zs2d4iCouLPMmzBLxT2ItxkcfpYkSftkDR0TnafnjmZHgfOHT5zekoTkv4TWDB6Ais50UF p+xWs2By0r/IR0/07VadAK+KWL7hHbd3XqPAoEtK7NacrvU4ecD9rEgTXODFDDxYueAoTh0+7qQz Ho8SV9onSW8NEvJ9S0TD3hkFKgdMnXV4aO6nB3E3HVdXvOuQlvYnt+1NSxSQHXvxus2pZLgiTyT2 G9RG+V5Kuu2ZsON91KyD6qUwLVcmQLpk/YaBvPTHKgbyoRdYiKc0F3ak32j6DQpAcB3TAp9Ni1Yz S9v7iu6zHuEwIEK0GT7LCjyRrZU++ZeIEOdpluSLIxHOUgJ8tbHXTPbIDSBtSM27J7tPxrp8Hkyc 5IV0aMI6KTtxsACGbsVT4DKehkDQWAUM/huNYrisOIvxArr52B3Wk0hxVKQ4yZLUE3eovj8mVofr X9YmPhCj59OMGnTBa+DYiXTkf97w3L5Cm/gsz6EDBui4TeI8ixLojFObjLMI+zb5rxXqeyq8OV7w 0/voHrXHcxg/fsVXvwAAAP//AwBQSwMECgAAAAAAAAAhAFoKW9ORJQAAkSUAABQAAABkcnMvbWVk aWEvaW1hZ2UxLnBuZ4lQTkcNChoKAAAADUlIRFIAAAKVAAABRQgDAAAAilnmJwAAAAFzUkdCAK7O HOkAAAAEZ0FNQQAAsY8L/GEFAAAC5VBMVEX////7+/vv7+/09PT+/v7q6uqZmZk/Pz9YWFjAwMDx 8fHExMTBwcHu7u7a2tq9vb3f39+5ublmZmZkZGS0tLSRkZFSUlJxcXHKysrt7e2bm5tra2tGRkZE RESTk5Pj4+P8/PzW1tZ+fn5LS0sqKirp6ek4ODioqKjm5uaPj49DQ0N4eHjn5+eFhYVBQUGpqanR 0dHS0tKysrJPT088PDx3d3fh4eGCgoJNTU05OTlISEicnJyGhoYyMjJTU1Py8vL9/f3Y2NhJSUkd HR24uLgXFxdAQEDOzs729vbQ0NAVFRXl5eXw8PAODg4wMDCampr19fWlpaWKioozMzOqqqr6+vqn p6dpaWnNzc1sbGwnJydMTEzFxcXb29tbW1soKChaWlrX19eEhIQlJSVCQkKurq5vb299fX2WlpbV 1dXZ2dmkpKRlZWVKSkp2dnbe3t6goKDMzMzJycl8fHxFRUVqampiYmL5+fl1dXXU1NRWVlaioqJt bW2/v7+7u7tcXFywsLCNjY03NzfGxsZRUVFHR0dUVFQuLi7Hx8fo6OiDg4MvLy+srKw0NDQmJiZZ WVni4uItLS0YGBhzc3P4+PgNDQ1hYWHr6+uBgYEpKSlfX18ZGRkTExOOjo7k5ORVVVWjo6M9PT33 9/eenp46OjrLy8tubm4+Pj5dXV2mpqZnZ2e1tbVjY2NgYGCvr697e3vz8/Pg4OCrq6uXl5c7OzvI yMghISGIiIgxMTGMjIzs7Ow2NjYeHh55eXkjIyO8vLydnZ1OTk4iIiJeXl7Dw8NwcHDc3Nx/f3+2 trZ6enrd3d2VlZVycnKfn5+QkJCLi4tXV1eSkpLPz890dHQREREQEBAsLCwDAwOhoaGJiYmAgICt ra1QUFCUlJQ1NTUkJCQbGxuzs7PT09OxsbG3t7e+vr7CwsK6urogICAfHx8SEhKHh4doaGgMDAwr KysICAgCAgKYmJgGBgYFBQUWFhYcHBwaGhqlmbXUAAAACXBIWXMAACHVAAAh1QEEnLSdAAAiNUlE QVR4Xu3deVwUx7o38B4ZBXFHRUWUUUQREVFcUBMdjVEMHMUFlaBEDe5bVARBFBfAJUbMkeOWAIoL GBExITFCSEJccQvqPb7GGBN3c+M97/Uu79/vh2Vg+pnuqp6Zrp4Cn+8/DM8kOFPz6+6q6uoeQUAI IYQQQgghhBBCCCGEECd0jZxgCSGH0jdu4uzS1BWW3wyuzZq3gLU3U8tWrWHJkdq4tW3X3r1DRx18 ouHr5NHZs4tbVy9Yf9MYujXp7t2jPSw7jk+Hnr18BaFlb78+8KmGzr9vQEC/wP4DggYOGgyfe5O0 HBI8dNjwpm/xk8qmb48Yaax8oBs1+p0x8NkGrfO7Y8c5GQVBHzI++L0RofDpN0RY3x5/mzDRNdwg TOIllYMnT5kaUfvbtLenjzeInm+o9J1mRL4fNbOuMCv6g9nNfc3/kzdA+OA5c6d8GNN1ZPWvnKTS Z17M/EDzgu+CYQsXmRcaqMVLli5b3k1cW9E32P2jlW9O33rkqkmrY6PWLKzbFLlIpXF83Ox58eJa fLO1ngsb+JjUmNB9WOK6OZYHhcFTk7p0WF936GjINixIDkieuLF1VeetBhep3LS5va8eFoWRW1JS Ay3LDcestK1rtm2H1Wqu43d8HLMTVhsa48qln+xKnzenMag7PpWG3UM/HQeL1eLb/31PiPk21HDo M7ak/mPvPlgW2f/ugV7V478GSB8RsvLgZ597b5Ha7zg6lXr/zID9sFgnKzvmkG/D+2Diu7UJPjwo HJahnCPDjjZZ2QiWG4DGxzYc75mbdwLWazg6lZPcvlhF7NefjMufBmv1XPzMHcNOTVQ0X+5acDo2 clIhLNdvYfMy98Yc7NsuDD5Ry7GpPBOZ+yXsU0DbT/jlyRzh66ediTFDWnWCVVkdv/L27ivT+6yH Gk2Liy3as/FrYgM4MpWGAQeWt7AcgEKGFnO/OdtQdhcRO79951xxhlRnSo6u0cyS70rJXdD6YqPz Z9+v9eoUQnn/jkulzmt+yQ+wKKObd1G3BrBmI8Rr6rcTfiR2WKQZx5X9dL51i/rcwY4oPjPG+6cD SaJZaTkOS6X/obF7zsCiLKeJsdMvhMBq/VL4Q3fn85OoQxwZHS967p00C1bri0sn26cdzbs8Q+EW 6aBUGrfkTb8Ci0RnNqUNUjRA4FSYR9uoIda9ZWCWx8Gy8lWwWg9cvXbde9mCG81gXZ6DUnlx7PDG lL4FFJGwZ/NNWKwvWvzcs2RSyxxYto5x+4zpWyuaKdzfcGLfkNQJMbdWXrXqQOeAVOr1t3cV2TSo XPzO5vF6K8PseHq9/s6/TRmnzusOO/3Pu6vqSRvo9SMze/yfD89ZFcgqDkjlmbOHj8CaQrpzRZPr 2ZoNffGWOxNS2sCy7TrtH9rl3hzuz5HHL+54c+DHo38hzgDJ0TyVTofSkwJtH0yOX+s5sT6ti209 /IvgPjNg1T4hH+WP7tuO57mykFU/3vcsmz/R1tGZ1qns7zbsivycvgI5G9ZE/ZoBq5xqOajLg3nd wGooFYSt/y0m8Yatw3nWtvRJc3bvNeaS7ftzbVMZsa7HLZt6lOZcTxYF2RVsrWSlfx8XWAyr6tD5 Tn34+31Y5cCsL3r8EfTIy6YDdy0tUxnhkz1wCyzaokXnz242op8UciR92LGUz9IvwbKqNpT8dPkS PztMfci+x9N/fyfqie39MxMNUxl6bexatda/HMtO/7JmNT2PdI+nusQuYH79jaH50tzrT3fDskMU NysY5DzMbZ0qn7BmqTQ+PRi5DRZt59orcc1TWORE/MzuqW4/Kj9xZY9VmWmJjp9ZD9k45KBffuYA +47bdbRKZfEXftP2qTnNZmy9ZEoSVxezmzxz73n6uXbXdgwunwhL2govOFj0SdKA8Sr2oDVK5Zjf h8Xb390QM7bI//6k2n/Ubht7/ONyhkHN7Y9muENT+XTYP/5+sFOGTtV3rEkqRy3oqeI0splHuWUJ HK0lylncL/doptYbiqNSqfNP+CH77sO4Y/AJ+2mQSp9D3qWLYVElYXOjlt/m5MRw4YshMXH3VOnt W8UxqRxc0Lsi99TcC+pPxmqSyi3RFU/tXJZAkrAjaD8Pt3EL8Zg97OwzR7wSB6TS6yu30alDpm5j NS3FOpXxv0y5Yfe8OVH4opSPB8Ci1hplvv3xvcGOOeWkdSqdzjnv6pk5ysv6RReKsU1lhFdJQAIs qu/Zy1NXHTipnhH2859T2HScldAwlTonnx9L/v39HaxvOMMylcbBf5GuqlWRbx9nm1cC2Enf+MLy hy6PmHSvlNEqlcZFrbqm9nTvq8FELMtUTjp4vD+sMaLbML/snooTZoqFXst3v38BVjWlSSozVl5b MCylTxNWw1YxdqkMjR52Uq25fgVGtktO0fwC3at9cqO+XGz72hhVaJDKRaXePR+sa75CqyMCs1Qu +WZQoaYzd/rwhX8mwyJb0e8+mFV520nHYp3K0EHf/DOgICxcwzfKJpWGUUmHV6k626+Iz4OHJ1po 888a9zWb/VP0Y1h2BIapdBp8e/ndXaOnaT0jzCSVXh+Nve+QBePGAWmdNRl49L9xKmo1J2fhWaWy 0YV1g7oEdT5Eu7kJAwxSGbEh8dULWNRK1kepkSthUWUR28r99p5YoeERjYhNKgtOp49182jn75B3 ySCVd8ae0HCUAxmudp3Ql+lpv2PBH5+e4Yjxvgz1U5nRJvrtu24v5mi38AlQO5W6hHeXZcGixkZ5 bk1g1BPSx495+B9rHfZpSVI1lfqInG3Bn7+X7tgrSdVNpeFq+eF1sKi9jK5DI8czOEcbEljgOXYH rDqaeqk0hK46ufShs5vjzlPVUDWVOU2Sl7eERYfwP+2+X+2LZsJfrA744hB/90ZTK5WhX55ND3A7 u57hUhql1EzluNllL3hZ7Zgx42LsJli0y5G02J+b8nitkCqp9PHICwi4/GQlH29QvVTm3Pr+q0YO GbFJc7r99ljVRuMZHh/surYvXpu5UCupkEqPgZ/dve+7L4eX96dWKiNWnPfkYk7ZTMRvH2zyUmE7 Cc+61uOTR7DKDbtSGVG8YknAd//qo8GSCyuolMqrC4t28DUyrdK/89gT9l6Y2qJN+dG9TzjobMmx PZX6UY8yywbmvTWKl32kiSqpzNmYvacjLHIhvuBVxUZ7lqdu/21vyltKb0nsGDamUjfu5kVv9yFH NF/SooAaqRzZNupXbm+xsu9EbLrNi1RDyx922XhVi1OYdrAplVcX+H2buu7YYD7fmwqpPPnPbCfe DgFm9Prp//csLCqiX/MPv0v83yvS+lQ2HvLnf05Yl8PvW7M3lYaEDgNbwSJvug0LOmnllJXRf+bS T9O/hmUeWZXKwsXH7pdM8H7N5z7SxM5Udvoqe0E9uFt52EdB1zfAIsmcr867d78Kq3xSnsqw503W xqbtuWFzj0Yr9qWyVYVLU45Hp2bmvHYuVZyycR3GJhc48vo0qyhN5bM9KQNn93qhxlwZa/ak0vX+ 3XkOXB1kHd2sO//aqKgjdbVsV6TjlstYT1EqVyXv+iZvw+568rbsSKXPUHdtri1Sy4Zvc1dQ7tts bLQ+97PjPrDMNUoq9eH7tiR/93KEijfEY86OVEaXOOaqfNuFnC7rA2tik6JS692X81FSuXP64WVf tKtfH5UdqRQ+gQX+HVsDK2Jrg/1hiXuUVJZubsNgUR9bmEqRx/mwwj9KKmfNhhX+YSpFMJVcwFSK YCq5gKkUwVRyAVMpgqnkAqZSBFPJBUylCKaSC3akMqQeprIZprI+sCOVgQ9hhX/TOsOK2JaGl8oZ b1YqL2yGFf4Nj4QVsV5LYYV/lFTO0/j2iWrAVIqsc4MV/lFS2SsPVviHqRTBVHIBUymCqeQCplIE U8kFTKUIppILmEoRTCUXMJUimEou2JHKJ0dhhX+bjsOKGKaSC3aksutYWOHfoOuwInbuFazwj5LK 9qdghX92pPJmAKzwb+0eWBErpRzheURJ5YJ6eBIVUylSmgQr/KOlsi2s8A9TKYKp5AKmUgRTyQVM pQimkguYShFMJRcwlSKYSi5gKkUwlVywI5Xlw2CFf20pd7/CVHLBjlQufQAr/EvsDiticZR9KY8o qWxLuVSJR3aksm0KrPAv8TKsiLmUwgr/KKmc3QFW+IepFMFUcgFTKYKp5AKmUgRTyQVMpQimkguY ShFMJRcwlSKYSi5gKkUwlVywI5WpcbDCv5hzsCKGqeSCHakMqIdXXjn3hhUx58mwwj9KKp13wAr/ MJUimEouYCpFMJVcwFSKYCq5gKkUwVRyAVMpgqnkAqZSBFPJBUylCKaSC5hKEUwlF+xI5a56+HYn LIEVsdyGl8rcevgxYSpFtt6AFf5RUnmX/DSXMJUimEouYCpFMJVcwFSKYCq5gKkUwVRyAVMpgqnk AqZSBFPJBUylCKaSC3ak8mU9nHHe2g9WxDCVXLAjlf9+Alb4d6AVrIgdoKSWR5RUvk85PPAIUyny 4QtY4R8lld9cgRX+YSpFMJVcwFSKYCq5gKkUwVRyAVMpgqnkAqZSBFPJBUylCKaSC5hKEUwlF+xI 5X+0gxX+HdgGK2K/b4AV/lFS+fIprPDPjlT+121Y4V+PS7Ai9vsxWOEfJZV/UjZEHmEqRX5vCSv8 o6Tyu1Gwwj9MpQimkguYShFMJRcwlSKYSi5gKkUwlVzAVIpgKrmAqRTBVHLBjlT+d7sV9U6PFfBd iGEquWBHKme71D/LR8J3IfZu5ol6Zyk5lZ+fg/8D/zrbnsqG6GZ99Bi+CxH4X9cL9bBziBBCCCGE EEIIIYQQQgghhBBCCCGEEEIIIYQQQgghhBBCCCGEEEKIPb0xQg9r6tFHGGFJPfoMhq8cOZKxa/QZ dh/uJc97OlhTzbE/NkTAmmr0nVoaYE2GcVQnWJKju5ABS3KcEpS2nLG1v9JP0NAxB5a4dGPY2j37 YFEtWa8uj/aIh1WVjB82MWWA0uRYzVDq2Q3WZMxJvQhLcp68NxyW5PwydBUsyfCqyA+HNRnPPsyE JR4VfNC/uM8pWFVJRunaFi3LfoRldZw5ONHYquICLKvlae71606wKKnwdOnQI7AorWXAo08UvuKm d3fk+8OipIhMt2UKb1Y1eMRHu+rB96ys+qSlIDglnod1dXiUFQtCgieTrwXKeavPSMFQEDsYPqGO wv+54B+8HlYldXzQetH/tIZVKfHlkw39DraAZSnhB150yu+l6MCcdbjbrHcU3WBR13VQ4bPRjWGZ M/oVLk+qHsTOZdDdMI7pURWZMd4sbvDVzt238sdvzor7dNYIKZsvCCe/VxKgsLcnCcK5KAXHUGNB VEvB5/xEBf3FHLelgtD8WyUBGtmjqyA0mUK5A2OVLV1WCSFJQ1h1qVTiWv5XYdWDTnk/KmhVK22J +br6wb0KRVuyVZp/srL6wQ53yn1abRHRJK3yx6BsV/iMhZxT8yv7Kue70ocxWYnzKl95ynj4hAXD 1LTKDeIXP/pmkXE9ufJH3OUQ+IwFpwoPQRD6p/3AcF5EBUPcqvY3gqAPjHuk9ksNzN5Z8yjCY5ii A5wVmh9tY3o4ua3af1wQZozYUvkjY8Qt+IwFj4GVO2v9SpcZ8BkLFztUbvq6m1UxIrqU/qRyGBfv fh8+Y2GqX9VY9Uwi/asGS/Mqd6iGQ9Hq74FUdO1wlumhoVkUvVWt4rP3Vu3eI37h7FDxs3aa9aCg 9nH4z3fUnkPotPRcdY8m0I/yZahCs6LAqp8Zmcm0/arHt9X7gEbepfApQHd9UPUxLHTgr/A5IHD0 D1U/dYfSaD3sXi93V/0ceSoSPsWRp581qvtF/+Lzmv2mSu6vMTuk6YbMVzaeVSbsYmbdH9eHJfVW 0FOzxqMHNR06wyE3crfVdbqplxhSNgk+KXbmpemWwI0+p8z5dCwybcQ/uNfuOCSF7N9Rc+TOmE7Z r4duNn1Fput7zcFz3DCujBonKvRKVbH3ZzgSvN389+2Rven9LqWMw5eK/ri/y1RVO/BnejQ1PczK u0Hq2RjWRdemZtsuYn8xLP1c7eMTy7xEzwFZf5w0Pew0fzKxv9gmarHpYWDPjuLnxJwurq59J+1K GPTFVXHGbR3Yw7zeq95r3TkQTEHPSm8iLtjh19Tqo2atWaMnqniSpzj1bN0v6wNIWZsTZdab+825 +ggpKaPJ3rqRS8787oQhc6PoPnW/rIyqPkJL8439su6XdXevmj8nptsZbfZseWfyIcBRctYMgf2g kW9NLwYlW41JtdhuF/n9Bks2GtPD4gC4yP0GLNlu/3mz0YDu9WHCziroZ7OddPz10/LbxqLE5nU7 Xf2i6PXyu+BryWa9HcO0LoSxSVq52REootRN/pDROG2j2Wkwr7h+8v++A5VXWG6thUmdYck23aJO Ws7/+n97CJZssrhoJiwJwuOoAbBkq0cDRcOGnIAO5r+KrC4S9ZavdpF9EQYX0SyhoYm3ZfPXaOYn +or0jAr5Uxybtor+ysgY+VNMp5LMe1DGeaPVOy6qRnfkrtTow8lzv/zWplyLNTelhh+Lu7RSYQMt jpMMd6su4l6yzULPbwSv8m2JTazKzAPgcLOxQu4YfigV7HEP1vXyxMKOfwXO7b8/Tebfvz0UnJLs GJUg858WbAWfd+lFmX/fcQztUs/AWpXi4CaE44VCEUPmmw3u6xge5QfKNJpy4X+tlfzjwpIHShdT EOmuvYInVAYkS2fNt2IdqITNlzkfPf5/Yadj8Kcy/cV+FsneEiz95WbFa26C/IbP3S/98c25C0fd oTGPQMXhOs5+Bks1Wr/qJd83UmiTO2zXGjlL8u3uuC6cPQuWatzw7A9LNtjSRXT8rBR2Z4jUZx3+ 18UwWEsYKNmwWamWK4XaTFkES5USNteO/00y3jouNTaJ8IizmAS+Gmw2+qnjk2y5Uuj5S5UOLmrZ XXFD7kBtHHfwuZ37s+FjZc+1hLz2k/p8rdCmp+z3gOmmuVO+uVQBp5JelmvjurlbjN0qN+1EiT1/ u10S213EjuUSm/qmJIm2CBk40fLf3723ncTh9kzUTMvq+ilwT1/Vi42UOHPpITGycKS45Zbv3MS4 oQSOza2z/ihhfsJweTQsWWXRd+Mtk2CiG97W7pM8eWUSTaM/shWWBEEYe8syFILxVdUJdLEXAVK7 Rd+gJbAkCHu6SP37G0skRgHOUj1TY+lRWBKE22ObSrRaTuLPsORAIXOzCXMdgrDuU9qpKwL9qLwn Eo1VJ2mPHVtoVpDkAcpk5OXJdvzxqqHpUFiqlrwUHlwM+11ApYbnjzBXPnHSZ33GBM0BFf0PftK7 hOvpcE2XsbczqNTw+xmONDM6bwKVajOiZkqE1TF0r5dRFpO295batJUJOZ4pcVwy4//FOfJ/QND4 4n3yCSLf6WdheqwyKk3mtHeLgb1A5cr7Mttus/QEUOntJj0+y9m/HFS84vrBSFdzdYZfq9v8ocwh afGDqoUlZo6kSB9CIhYm2bcRq6ggTXpEZ+b1KdmeIU3n4xL9KpFL0bZOeEecjRSdaJSwwuUyLFkh bPl9iSNllecx4jWiCbkyQ2jBaf918Wc9RnpYU9lfdL4n+j1eelhTafyUZqLfrz6YKvq9Tvy1OPFe p/mfcsOa7WmUU+ea6ej9jLrbDpm8R3rrpioPkGvWOpeKqlcaW+2pgpnf7WVmZwuttT5Rer6scot4 3cF8wB1+p7dsP8UnW7T2vriH/BKzbn8X7SG6xcrvMHYmm+/w4s8tkNt+hBbTPzJ/bY0CZKf2hUu7 1Ji2sF/jNHgokFL4qrf0kYTMOOkhLEkJ/fOC7EdKcOkzuX2OOZ/YQ7b88Uo5E6T7f1XOuJvNpesL lhGG+2N+Muu36+KWmj8HtE8163FkfHDN/Dmx4r0eZmcsv46xmL+qM3OC2YjbUEpazXnkU3KXSBth 88sVdbyysq9Z/3INzyuUXQqxzb2Z9aG/NFDZLnZV9gvqwUBSeGLlonJZA/zqdqQrzJZ3SljtWbtf 1S0ps5jUNKNLPlvbziHTZ4ufFGu2rG56yvVB5aJyWZs218bScCWIsP0IQtwe4shXE/GlSyUmrqS0 HD1cYoqNbHe+wgVlun75i6xNzoo8mdMmFtqkwe6+MgtjpQcFNSIWxNUG6Hi57PGzUk5K7RnXxclX SBugfpzLNlNLnPAm9pp17U/VjsPvvJIeqtfISLtv+vB84pYQP8fBiSdtPbSopncFZfhdZ1H2CVii qZhM/KzMOF1zsXIg7rqAtPZLxPC0xJZl9c2OwrEz4FNk6rJ6fEJZIB0YW9OXjO9QSm6TnJt5NV34 8amSp4XqdAoyLXDr9afMyTOT3YdNM2iX25J21ZX78mybR7Yq2emn/BXoV3nCU6cUadHKD/rxpWNh iexEtK/ivavxeRF9WAR1WnqPttPYfaB6HDzqG9oZd926vOrctvKj7QZcE6vHwYXlk+GUJOT79xdV P1uXUMcoL8qqz8t2vEvJr+B0fIjihmVBPy5IZjZO2s5ltcucFcj5JReWiFziiAchIPAh9YMw1ys/ 1MqmNhzKo+VHEJbMrpxhKEyk9yX25d+rPHD7/DEGPmPh8e9VA+8NNTkiedql8hgfcpx+idnIQT9X Zrz4G9plP4IwS/4crhZ844bDWX+y1w/guQd5Gf1m0z9Vkbb3aTObdVb+S352Q0rh5LUSp4NJ+o+m HD8rFS/tnSNk3NpLPihWaR5wWxBauK+GdQnXirwEISum8qJciviLp0cKumnpsvNXdcZFvRAEVzf5 paF1Dh1QfgRVXU7FXHIXx0LEwgcy5w8s6DsebEY7AAKh87sq7VsuCra2j7u9z3FYIhuRqWSLPZb9 WEioqB2fkEwMCBF+U9an6VAeIWQTlrHXmZXcyuifKLVUw0K/1BChV9W+naoPYQk7a9PzrTlkVomf GOcDa9LCvSdZ+86MLfM2wpq0fUntlURGpHivVfdOGhSrqHEibkVFpP+iKGohiZHNUwmTimbOlP36 y0NFcyO6JcGNziuby8mZXvE46qmS/AqFQa9hSSPGybGwpEDI6svhSnYMhs3lsKRA/0+vKvnjuomR tpxpilmr6COp8vylgoNylRj3WEWhEAThp6GvSZNCZgb0/FNphyMvSPIiAil/jO2uZP9b2UHqYlWv XTW6dik2XVab5TZRwWcbllQBS4o0/bjmrixErUbThrySXLObKM2PUKGgU1dtsDNl/qjOozLi/KOZ kXMnKWjlKr7/pnjWKzCONv42yVlAOKnF0PjzbRRut8DiFPp9/pwy2yr+/MWuBNOPcT9sllsHQTFn r8QCXmny57/tEEg61Wiz92BBDe0dkkqn4BuKOkMSEnrSOh2Ggnz6pIY04xIX2n4wcGjtFftWMq6S W5dmAVMJK1pw7m5rKAWhcQnl8LY4tanS44+F+Mxo8jDDN3GazX/cuPJDcDcDOZhKWGEvJ9K2bl+N /t5bSMFoVGR5pZQVko6T5ofC958mPU2zsmQW6aXXwlTCCnMhr5OVnkKWZCiII5zk8R3RHZaskhNX Lr+31N9IVzpjKm1nntwF0iKYSlhhzfB0r8S1eNbIGH5K9rxNpw6DbO8cVHGNPFd9VzwJ7VKVDNIJ wq+5yb50M5hKWGFt+7I2Vs9BA+Htl8lM8up6S9+QwBpeneW+ZSLwQysXiFhynStz0ZcIphJWWHvZ xL49ZSVjn2jpBS1tvFva/df1/VPXS/6RTj2lLhi1kvFUKixZwlTCClvFQXtgyRZOr4ZInVII9Ku9 D7Q9xuRKXfsQ1tmOS3DMPBhEPXGDqYQVplqsToIl26yIu2XZD1g82tbLFYEvH4qv4KsU/tcahSfh KeKnT6bFElMJKyzleCRRVk0rNsrd4lKR0JRrCk+0UrVLhXeHEqYmEkb+1tCfiRwu03E1wVTCCksr g8Yrmq9T4uoH4AqqjM47KB+2Fb7MBhc93Z4yzv5OZTXj4rLqRdyyMJWwwlDYVjXvBuc1RXR/Wt2t g3YPv+tkbJovWgvo/zt9Fbdyoz5MIG6dmEpYYad1iVr3fK72Im+l2SXJBSkKT+cpU7xniNkSj6xE 6Vvj2Gqb83PSSg1MJaww47W3LyzZJ2PJF3Vr6TsG27iUR47/qf218/HFy0/buApJzpP0mu9Jk4Sp hBVWXLvvV/mTFQpvjjA9nPV21ZdnqSkr+q2aR4YjbuRvmbFe/KQKwtX6mEpYYcS4My9LreFCrYjr h6sfhPuJ7mWjjsbeNWs55xxerPpLN2R6yv9NTCWsMLIygHTIslne0sq1FIUd4D3uVDGu+kKT3S9V mZuH5mfLXluFqYQVNmaUKLxUy0oZbn+FCTk389WaBhU7mfK1IMzx/ArW1dFZdvIWUwkrTMzxZPTv 6FtHHokocFF88Yp1dI9y+/u61X2znLoyuq+WuQQdUwkrLGw/OFztsYiJ/pL78M1fq9+prGZoVXSn VGZ9kv189sh8iTemElZYuPH/WDRzjW7/vAJLKjoUY/09ghQLjZVeRIyphBUmXBh+tGwaxuRxPqyo yQVTKQVTSYGpJGPS+JhKCkwlGZPGx1RSYCrJmDQ+ppICU0nGpPExlRSYSjImjY+ppMBUkjFpfEwl BaaSjEnja5NKfQWmUhKmUpI2qWwRhamUhKmUpE0qszwxlZIwlZIwlRSYSjImjY+ppMBUkjFpfEwl BaaSjEnjYyopMJVkTBofU0mBqSRj0viYSgpMJRmTxsdUUmAqyZg0vjapHNwFUykJUylJm1Qm5LL8 GlMmDWOCqSRj0vjapHLcQBbNbMKkYUwwlWRMGh9TSYGpJGPS+JhKCkwlGZPGx1RSYCrJmDQ+ppIC U0nGpPExlRSYSjImjY+ppMBUkjFpfEwlBaaSjEnja5PKjkUsmtmEScOYYCrJmDS+Nql8NnQwLKmI ScOYYCrJmDS+NqncMHQ3LKmIScOYYCrJmDQ+ppICU0nGpPExlRSYSjImjY+ppMBUkjFpfEwlBaaS jEnjYyopMJVkTBofU0mBqSRj0viYSgpMJRmTxtcmlVeOesGSipg0jAmmkoxJ42uTyp25obCkIiYN Y4KpJGPS+Nqk8ktnuW8sVAOThjHBVJIxaXxMJQWmkoxJ42MqKTCVZEwaH1NJgakkY9L4mEoKTCUZ k8bHVFJgKsmYND6mkgJTScak8TGVFJhKMiaNr00qT/j5w5KKmDSMCaaSjEnja5PKj6J8YElFTBrG BFNJxqTxNUplcGNYUhGThjHBVJIxaXxMJQWmkoxJ42MqKTCVZEwaH1NJgakkY9L4mEoKTCUZk8bH VFJgKsmYND6mkgJTScak8TGVFJhKMiaNr00qPbKLYUlFTBrGBFNJxqTxtUnlV3FhsKQiJg1jgqkk Y9L4mEoKTCUZk8bHVFJgKsmYND6mkgJTScak8TGVFJhKMiaNj6mkwFSSMWl8TCUFppKMSeNjKikw lWRMGh9TSYGpJGPS+NqksmuHQlhSEZOGMcFUkjFpfG1Seet+DiypiEnDmGAqyZg0PqaSAlNJxqTx MZUUmEoyJo2PqaTAVJIxaXxMJQWmkoxJ42MqKTCVZEwaH1NJgakkY9L4mEoKTCUZk8bXJpXt1+5u zM7nsKCm5rNhRU0PMJVStEnlkygkTfpedYnDB6jvliesqOFvsKCCR680SSWyzq9z32h9f0mALYIQ QgghhBBCCCGEEEIIIYQQQgghhBBCCCGEEEIIIYQQ0tz/B7IoSiSjhq//AAAAAElFTkSuQmCCUEsD BAoAAAAAAAAAIQATwKJ+BRoAAAUaAAAUAAAAZHJzL21lZGlhL2ltYWdlMi5wbmeJUE5HDQoaCgAA AA1JSERSAAABtgAAAMEIAgAAACw7AuoAAAABc1JHQgCuzhzpAAAACXBIWXMAAA7DAAAOxAGILj6j AAAZqklEQVR4Xu2daWxXxRrGL8paoBS0WBapYg00hl1WMSwuEdBUKFpSFf0kFlESjCEqCW4xXtHE Cgr6QQMYRXDBhboAgpFSwKWAEKg2CFpoBUShLN2A+9x7bggqy5z/f87MO3OefrjB3nNm3vm90+e8 M/POTKOTJ0/+iz8kQAIkQAJnInABsZAACZAACZyNACWSfYMESIAEzkqAEsnOQQIkQAKUSPYBEiAB EghPgFFkeGZ8gwRIIDYEKJGxcTUbSgIkEJ5AIyb9hIfGN0hAFoEpU6aUl5dv3749MOuPP/44evTo 6SYeP378wgsvPP03jRs3vuSSS4LftG/ffsCAAZMmTerRo4eshgmwhhIpwAk0gQTCEHj00UeLi4t3 7dq1e/fuhoYGvAq9a9q0aXp6elBMZmbm38SuefPmNTU1p1dSWVn53XffBb85dOhQdXX1qaJat26d lZUF0ZwzZ04Yu/x8lhLpp1/ZKm8I/PDDD6+++uonn3yyb98+yNyJEycQD7Zs2bJt27Y333zzuHHj Ro4cqauxv/3221NPPbVhwwbEpIFoNmrUqFmzZog3hw0bdvfdd2usS5fNUZfDucioCbN8EiABhwkw inTYeTTdYwIYTb/11lsVFRWYRsQ4ulOnTt27dx8xYsT06dNNtvq11177/PPPMSTHwLyurg5BJYbz N9100/z5802aYbEuSqRF+KyaBP5CAOPcyZMnr1ixApODGE137tw5Pz//mWeekYMJiokJyrKyMshl SkrK1Vdfjf/0e5GHEimn+9GS+BLIzc397LPPsAyNdZVgnUS47kDNMTVZUlICNXfF5sS6FyUyMW58 iwQ0EPj3/36QowOVwXoIRq+nEnE0lG6qCOh7EPkirsQY/L333jNVs4l6KJEmKLMOEvgbAcjKRx99 hOXpfv36Pfvssx6sFAdx5VdffVVbW3vttdfiH344nSvafviRrXCDAHQE0eIFF1xQVFSEVG0sxSDD xgN9BH3Ev5grOHbs2OLFizdu3IiFnZ49eyJjyQ3HnN1KSqTrHqT9bhB49913ISIZGRmQj3nz5kFK fE3MHj9+/MGDB1euXInvAVSyTZs2WORxw0lnspIS6a7vaLkbBDDbiOzr22+/HRK5efNmyMe9997r hulJWInQGBJZVVXVu3fv++67D3lL2CWZRHnWXuVcpDX0rNh7AhhmYlgNTbzzzjvjk0h4RrcizXPW rFkQymXLlrk1sUCJ9P7vlA20QwBjzC1btiBzELONdiyQVysWqT744IMuXbqsX7/elbV7DrTl9SNa 5DgBjCixIINh5qZNm6iPpzsT+UDYpYPfdOjQAXLphJ8pkU64iUa6QeDLL79s0aIFTp3AggwkUnj6 txWmCB537tyJPEqs6Tdp0kT+Sg4H2lb6CSv1kACmHb/++uuxY8d6ljsdnasQbs+dOxcHr2FHY3S1 JFkyJTJJgHydBP6FZZmhQ4cCxJo1axg5huoQiLX79u27d+9eHJYhcxmHA+1QDuXDJPB3AgiFevXq hdQWrFxTH8P2D4y7cTAwsuivv/56hOFhXzfwPKNIA5BZhZ8E5EdADnEPInEcIIQFLlFfGkaRDvUi miqIANYZOnbs2KpVq/r6epkjREGwFEyBLCIMHz16NEJyUUnmjCIVvMdHSOCvBPA3jDXrV155JQ77 ZAw7H1kBo0aNglAKyZdiFGm4A7A6EiABlwgwinTJW7RVAgEceVtaWvr999+LmjKTQEaXDZjkzc7O RtYk/qGrzITLoUQmjI4vxpFAu3bt0OwDBw7EsfFm24wdnMiX/Pbbb+1+ijjQNut21uYsASy5Iq5B njP10YwPcSrShAkTkDWJc+TM1HjGWiiRFuGzamcIYP26T58+SN8TsobgDLjkDMXxSE8//XReXh4O CkqupMTf5kA7cXb/fBMH0+MGj23btuGYPPy/+Pfpz5w8eRJHMZ/+G+znRWCCGz8GDhyI3+MQFJ3W sCxNBHDg42OPPcb1a004QxeD+B2xJC6DtHKgHCUytMNOvTB16tQlS5Zg2IV8V8gffh8oIA7Fg+rh H7j1+PTScYVTTU3N6b/BkVC49A6JdTiDGr8/VQhKwFnN6BOFhYWJ28c3dRCAPs6YMYOLMzpYJl4G 1m0uu+wyHEtsQSXxZ8kfdQLQxG7duiH0C7wNKczMzLz11lvxe/VCzvFkcXExSkMVyEkOqsB9yvhP XeVrMTI+heDiLXyuMCkWnyaLbSlGZggyJk6caNjC/0Yu/Dkvgeuuuy4IDPEDfTSmWVBMrOudrsiw 5LzW8gEtBKiPWjBqLMSKSlIiz+VBfLICecIJqTgE9MEHH9To77BFPfHEE7ABlgQybf5zGtZgp5+n Psp0n3mVpESeoScgdsPwOZhbRMAora/s2rULVgXznrAT1kqz0HV7qI+SPWhYJSmRf+kMWLXEZXWQ HvwvojbJHQW2wcLAWkwCwHLh1rpiHqZ9Eapz/lGyv6CSTZs2vf/++w0YSYn8P+RBgwYFY1jn4jJE kRiABws7HH0n+TcDZUQ34OJYkhgNvA5PocPjDoyo66JEnoQ4Bvri+koIFnYw+saP3TnTqLtsdOUj NsH69SOPPBJdFSxZIwF8yfBnu3LlSo1l/rOoWEskYi4ICij7pCnIGQoUX/5EQaQ9O4HCkVMybty4 BF7kK7YI4HuGrxq+bdEZENPUcez6xPbPEydO5OTkeLmnZfDgwevWrcNMJU7fGzJkSOI5u7F5EzE4 8pMlHC0TG+R6Ghq14+Iokenp6fv378f4uqSkRI+XpJaCDQnB8vf27dul2ijCLmwBnjVrVkVFBa5S EWEQjQhDABt5cVx5RBdPxusYC+yhxsgauwAhHN7rI/oYLizGYs6OHTuwBPHkk0+G6XUxehZbgLHL 8O2336Y+Oup1nC2ydOnSqA4Eim4ML6pkKAUyY2K7lBFMUF588cWinCLEGE5BCnFEMmZENykZryjS 0Y8kzSYBErBFIBZzkbiiF5kBSB7cs2ePLdDW6/3ll1+uuuqqw4cPYx3fwnEp1tt/FgOinuyX2m4P 7YrIlZ5HkWvXrkUW/qpVq5BCFWd9xB9Ely5dqqurkQm0cOHC1q1bQzE9/CsJ2SSs0uBwTyQhh3yP j0skAD/ihNbc3FzNxiUz/hf+LsIlwBK4ydo6N0xKYlo25nsWkUwHCNxIY703ajQAKgmf6k0m93ag nZaWhk/K4sWLx48fr/mr4kVxWNxfsGABlnG8TAtVcRG+nZh22L17t8rDfMYVAogii4qKgjOqtfx4 KJFY+8fpxKmpqX/++acWRr4WglmIoUOHxhMUMuoxQ11ZWclEH/+6N3ZMYGOIrgl33+YicVkC9BF7 ZqiP5+362HWD/UV4DFu44jY1OWbMmLFjx1Ifz9tJXHxg9uzZb775pq6NUl5Fkdh1h9tgXn755YKC Ahdda8vmXr16IX06PpMSmGRYtGhRbW2tLeCsN2oC+PjhR89CnMa5UrtFIacHZzdg24xdMxytHQd5 xCevHnuNcGiuo56i2SoEsGIDL2tZt/EkikRmD+4qOHLkSNRfJ4/Lnzt3Ls4oHTly5IoVKzxuZkTZ cx4Tc7Rpuhztw1wk9LFr167UxyS7MmYn1qxZs3r1aqxjJFmU2Ncxn7BlyxZsxxZrIQ3TRWD58uX7 9u3DulySBbodRWKR4fLLL7/yyit5kk2S/eDU60CK7w324WzatElXmXLK0TlFJadVtOQsBLQEkg5H kchZwR/ziBEjqI8a/0awCQcnA23durV79+4ai5VQFAIKhBUILiQYQxsMENASSLoaRQbxI/TR74kz A93obFUE0xc+fX4YQlrsTraqTj6QdDKKDAaD1MdIu11dXR3CSW9iScxC7t27lyFkpH1GYOHJB5Lu RZGBPg4fPpzxo4EeiTwqPz5FyUcTBmiziigIJOl6x6JI6mMUfegcZf78889+rHFjdnXatGmG6bE6 CQRefPFFzEEnvNnGsSgSB0RnZGTgvgEJ6GNiAz5LuAPnrrvu0rXp1Ty3KVOm4MLl+vp681WzRgkE kpmGdimK7NixI8Z91EfDfQ5r3NibiFMmkVtuuGpd1b3xxhu4JF1XaSzHOQIYQGAYkZjZzkgk8pkR KjM/PDE3J/kWDpR7/PHHsfcGiVZJFmX+deT64Ggsd0Ng88T8q3H69OnYX4sTlBNomjMSmUDb+AoJ kAAJJEnAjblIXHCKKAbb43B+V5IN5usJE0Agjysujh8/nnAJVl5MckHTis2sVDuBYcOGbdy48eDB g2FLdiCKxBG50EcccUZ9DOtdvc8jywrT3i1bttRbbNSlcS07asJOlI/5dFxDgPTYsNZKjyI9WE4N 6xLhz7u16wbTT88991xDQ4NwqjTPAIF27dplZWVt2LAhVF3So0hkiffo0YNz7aGcGunD5eXlP/74 I06ljbQWXYXPmzevb9++ukpjOU4TyM/PLy0tDdsE0RKZnp7eokULL4+cCesnOc8jBwiTHsgBwgSI HKvOaAlSIHA/B07PFW4nzTNDYM6cOZhJD9tv5Q60HV0cMONs67Xg4pcPP/wwuPpG7A8vYBDrGluG derUqVWrVmVlZeoGCI0iofQ4VP2dd95RbwmfNEkAV8vi6kTcxGuy0rB1LV26dNCgQWHf4vMeE8AF JJgpCtVAoVEk7uTr379/SUlJqMbwYcMEcD2I5I2JMC8+d5YZdr271SGHHNd+YYVDsQkSo0jsCIZE Uh8VXWjxMUxKLliwQOaWm2DKCfuCLPJh1QIJ4JwHJBGqGyYuikSW+MyZM3GRIZYF1JvBJ20RwAWz SDwUmFWTcKqwLZKs1wyBsFsJxEWREPiJEydSH810l+RrCfINIJTJF6W3BGyl6N27t94yWZoHBO64 4479+/erN0SWRCLLB5s3mAWp7j8JTy5atAiTO2FzKaK2vLq6+oEHHoi6FpbvHAEcaYFMDPVtNoIk EkNsqHvCZxY55ypvDMZ8HwYvEyZMkNMi/AHgQnpORMrxiChLsEPs+eefVzRJ0Fyk8OVRRaCxfUzU FQ65ublFRUU4Ay227mDDz0EAC8L4fxVPnpUSReK4XGyk4RDb3Z6NJFaksmJPvYQm4FAo3K4uwRLa IJAAlvIqKysVDRMhkZjGgsXbtm1TNJqPCSSAUW2HDh2ys7Ml2IYzXSiREhwh04ZbbrlF/ZYOERKJ aSxMZnEVW2Z/Urdq3bp1GNtOnTpV/ZWInsQNtwMGDIiocBbrOgF8zjFVrdgK+xKJ3b5YYOJZFYoO k/wYPnI5OTmzZ8+2biR61OjRo62bQQPEEsAeG8UcDPsSKRYiDSMBEiAByxKJ2X0cGMP8NW86Io63 QGaC3UzyIOVNfROuN/DZEHUCSMDABfEqz1uWSBzEgoXswsJCFVv5jBMEgkxyi0vbSPeBTDvBikba IpCSkqKYPW6zJ+H4AyxkM9HHVi+JqF7MhaP/WTyFDCfvIzc4otaxWD8I4NTIqqoqlbbYlMgbbrgB aSLcAqHiJ7eeWb58OT5+itPh2pv2008/4SxL7cWyQJ8IXHTRRTiRXqVF1iQSfz9Hjx5FmoiKlXzG LQK4qxIfP1v321RUVGRmZrpFjNYaJoC9KocPH1ap1JpEMhdSxT3uPoOPHz6BVgLJI0eOCMlgd9d9 3luOqxCRPKvSTDsSiexi3LPDXEgVDzn6DHIkbQWSSIps3bq1o9xothkC2KsCCVKpy45E4rRqi9P5 Klz4TPIEbAWSkMhLL700eftZgscEcKe2YussSCQGX9BvXt2l6CF3H7MVSGJv2RVXXOEuN1pugID6 HkQLEolZfAzBuCPbQD+wXkUQSBrOkcTesm7duvEYC+vel2wAugf6iYqFps+LRAh522238WoaFd/4 8QyOkW/Tps2ePXsMNwd/AOpHFRi2jdVZJ6DePUx3I6y1Hzx4EGuO1hnRADMEbH0U1f8GzHBgLaII qHcPowNtDLi4nUZURzFgDCZ9sB8WJ/QZqItVkIB2AkajyO7du+/YsUMxHUl7U1mgLQLI8XrppZcM D3vVwwRbWFivRQLq3cNoFFlWVlZQUGCRC6u2QgDHlKBH2tpsY6XJrNQbAuaiyMGDB3/zzTcC76T3 xpeSG2Le++phgmRutC0iAurdw1wUCX3s379/RA1mscIJlJSUIBnWyn5E4WRonnAChqJI3JE9c+ZM w7NRwtHHzby0tDQ0WfF4leThqIcJydfFEpwjoN49zEWRzkGkwSRAAiRgKIq0lT9MB8shMHfu3MmT JxsbSaiHCXIQ0RJjBNS7h4koEumQ2IWGtA9j7WdFAgkgmQH9EhdeCrSNJpHA2QiYiCJx2dPWrVu5 ls1eaDIxVj1MoF9iSEC9e5iIInGNDjdXxLAX/rPJX3zxRX19veFTLUieBJIhELlEYi0b00+4OzQZ K/muHwRwvFOTJk1uvPFGP5rDVsSBQOQDbcOpHnHwmdNtxFwkbk7HqbdRt0J9JBW1JSxfIAH17hF5 FIlzfaZNmyaQEU2yQgDjCYwqmENuBT4rTYBAtFEktuUuXLjQQMiQQMv5ii0CuFimefPm+/bti9QA 9TAhUjNYuEwC6t0j2ijy/fffx321MhnRKlsExo0b9/vvv9uqnfWSQCgC0UokbqpFwnAog/iw9wTm z5+PsTbW8bxvKRvoAYEIB9rGJuY9cEPcmmBgEU99JBU3+GwvCKh3jwijyFWrVqWmptIfJPBPAjk5 OYcOHSIZEpBPIEKJxFo2T1GV3wOsWBiMtTkJYwU+Kw1FIKqBdnCpk7EzC0K1mQ9LIIBF7YyMjJ07 d0ZkjPpIKiIDWKxkAurdI6oocsaMGdhHIZkRbbNLYOjQob/++qtdG1g7CZyXQFQSWV5enp2dfd7q +UBsCbz++utImOV+7dh2AFcaHpVE4hR+zjS50gms2In92rg8Ni8vz0rtrJQEFAlEIpG4FBTVDxky RNEIPhZPAp07dy4tLY1n29lqVwhEIpGuNJ52kgAJkMC5CUQikUuWLElJSSF6Ejg3genTp9fW1pIS CUgmEIlE7t27t2fPnpKbTdskEMBVDTCDc9YSfEEbzkYgkrxI5BwVFxdzLpLd7rwEmjZt2rVr1+3b t5/3ybAPqCe+hS2Zz3tAQL176I8iuVbjQQcy1oR+/fohP8xYdayIBMIS0B9FduzYEVsPjxw5EtYU Ph9DAmvXrr3mmmui2IWlHibEEDubrN499EeRnIhk/1MnEMzGcDpSnRifNExAv0Qiafyhhx4y3AxW 5y4BJJAvWLDAXftpud8ENEtkEA6MHz/eb2psnUYC7du337x5s8YCWRQJaCSgWSILCwt5eoVG98Sh qIEDBx47diwOLWUbXSSgWSJ37NiBHA4XQdBmWwQefvjhKJZrbDWH9XpGQLNE1tfX5+fne8aIzYmU QLBiw6tsIoXMwhMmoDPpBwdbZWZmMiJI2BmxfbFx48b9+/cvKSnRSEA9q0NjpSzKFQLq3UNnFPnC Cy+4Aoh2iiLQokULJpCL8giNOUVAp0SuXr0aCRyESwJhCeCy9erq6rBv8XkSMEBAp0RiraZt27YG jGYVnhEYNmxYXV2dZ41ic/wgoFMikbqRlZXlBxe2wiSBSZMmcQrbJHDWpU5Ap0RiX82oUaPU6+aT JBAQCBa1cWsmgZCANAI6JRJtu+eee6S1kPY4QQArjB9//LETptLIWBHQJpFBXhvubIoVPjZWFwHk /axfv15XaSyHBHQR0CaRugxiOSRAAiQgh4A2ifz000+Z8SPHr85Z0qZNm927dztnNg32noA2idy1 a1ezZs2858UGRkQAJzHzMIuI2LLYZAhok8gDBw6kp6cnYwrfjTOB4cOHIyMizgTYdpkEtEkkUn+R ACyzkbRKPoG8vDz5RtLCGBLQJpFI/R00aFAMCbLJWggEqZG4ykZLaSyEBHQR0CaRMGjMmDG6zGI5 8SSwYsWKeDacrRZLQI9E4hg0tJBJkWLd7IRhyB4vLS11wlQaGR8CeiRy2bJl8UHGlkZEANnj27Zt i6hwFksCiRHQI5Hr1q1DCJCYBXyLBAICKSkpVVVVpEECogjokUgk/VIiRfnVRWPS0tJqampctJw2 e0xAj0RWVFRwa43HvcRM0zp06NDQ0GCmLtZCAooE9EjkoUOHeDesInE+djYCGRkZJ06cIB8SEEVA j0QePXqUEinKrzSGBEhACwE9EomtY5RILf6IcyGpqalxbj7bLpOAHomsra3FDU0yW0irXCGA3Vm8 nsEVZ8XHTj0SGR9ebCkJkECsCOiRSCxEZmdnxwocG0sCJBAHAnokMg6k2MaoCRQUFERdBcsngbAE KJFhifF5EiCBGBGgRMbI2WwqCZBAWAJ6JBILkX369AlbN58nARIgAeEE9EgkGslbGYR7muaRAAkk QECbRCZQN18hARIgAeEEKJHCHUTzSIAEbBJopGU/A09Cs+lDv+rW0iGBhH3Sr36hvzWKPU2PROo3 nyWSAAmQgAACHGgLcAJNIAESkEqAEinVM7SLBEhAAAFKpAAn0AQSIAGpBCiRUj1Du0iABAQQoEQK cAJNIAESkEqAEinVM7SLBEhAAAFKpAAn0AQSIAGpBCiRUj1Du0iABAQQoEQKcAJNIAESkEqAEinV M7SLBEhAAAFKpAAn0AQSIAGpBCiRUj1Du0iABAQQoEQKcAJNIAESkEqAEinVM7SLBEhAAAFKpAAn 0AQSIAGpBCiRUj1Du0iABAQQoEQKcAJNIAESkEqAEinVM7SLBEhAAAFKpAAn0AQSIAGpBCiRUj1D u0iABAQQoEQKcAJNIAESkErgP1iQKUHlF94aAAAAAElFTkSuQmCCUEsDBBQABgAIAAAAIQD03ddC 3QAAAAUBAAAPAAAAZHJzL2Rvd25yZXYueG1sTI9BS8NAEIXvgv9hGcGb3U2KVWM2pRT1VIS2gnib ZqdJaHY2ZLdJ+u9dvehl4PEe732TLyfbioF63zjWkMwUCOLSmYYrDR/717tHED4gG2wdk4YLeVgW 11c5ZsaNvKVhFyoRS9hnqKEOocuk9GVNFv3MdcTRO7reYoiyr6TpcYzltpWpUgtpseG4UGNH65rK 0+5sNbyNOK7mycuwOR3Xl6/9/fvnJiGtb2+m1TOIQFP4C8MPfkSHIjId3JmNF62G+Ej4vdF7UvMF iIOGVKUPIItc/qcvvgEAAP//AwBQSwMEFAAGAAgAAAAhAC5s8ADFAAAApQEAABkAAABkcnMvX3Jl bHMvZTJvRG9jLnhtbC5yZWxzvJDBisIwEIbvC/sOYe7btD0sspj2IoJXcR9gSKZpsJmEJIq+vYFl QUHw5nFm+L//Y9bjxS/iTCm7wAq6pgVBrINxbBX8HrZfKxC5IBtcApOCK2UYh8+P9Z4WLDWUZxez qBTOCuZS4o+UWc/kMTchEtfLFJLHUsdkZUR9REuyb9tvme4ZMDwwxc4oSDvTgzhcY21+zQ7T5DRt gj554vKkQjpfuysQk6WiwJNx+Lfsm8gW5HOH7j0O3b+DfHjucAMAAP//AwBQSwECLQAUAAYACAAA ACEAsYJntgoBAAATAgAAEwAAAAAAAAAAAAAAAAAAAAAAW0NvbnRlbnRfVHlwZXNdLnhtbFBLAQIt ABQABgAIAAAAIQA4/SH/1gAAAJQBAAALAAAAAAAAAAAAAAAAADsBAABfcmVscy8ucmVsc1BLAQIt ABQABgAIAAAAIQAMZMuBzQIAAA0IAAAOAAAAAAAAAAAAAAAAADoCAABkcnMvZTJvRG9jLnhtbFBL AQItAAoAAAAAAAAAIQBaClvTkSUAAJElAAAUAAAAAAAAAAAAAAAAADMFAABkcnMvbWVkaWEvaW1h Z2UxLnBuZ1BLAQItAAoAAAAAAAAAIQATwKJ+BRoAAAUaAAAUAAAAAAAAAAAAAAAAAPYqAABkcnMv bWVkaWEvaW1hZ2UyLnBuZ1BLAQItABQABgAIAAAAIQD03ddC3QAAAAUBAAAPAAAAAAAAAAAAAAAA AC1FAABkcnMvZG93bnJldi54bWxQSwECLQAUAAYACAAAACEALmzwAMUAAAClAQAAGQAAAAAAAAAA AAAAAAA3RgAAZHJzL19yZWxzL2Uyb0RvYy54bWwucmVsc1BLBQYAAAAABwAHAL4BAAAzRwAAAAA= ">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 style="position:absolute;width:27463;height:12871;visibility:visible;mso-wrap-style:square" o:spid="_x0000_s1027" type="#_x0000_t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UBDAygAAAOIAAAAPAAAAZHJzL2Rvd25yZXYueG1sRI9Ba8JA FITvhf6H5RV6q5umVmJ0FRUqrTej0Otr9pkNzb4N2Y1J/323UPA4zMw3zHI92kZcqfO1YwXPkwQE cel0zZWC8+ntKQPhA7LGxjEp+CEP69X93RJz7QY+0rUIlYgQ9jkqMCG0uZS+NGTRT1xLHL2L6yyG KLtK6g6HCLeNTJNkJi3WHBcMtrQzVH4XvVXwtZkb7M/T/fbjsz7s++JQJMNMqceHcbMAEWgMt/B/ +10rmGfTlzRLX1P4uxTvgFz9AgAA//8DAFBLAQItABQABgAIAAAAIQDb4fbL7gAAAIUBAAATAAAA AAAAAAAAAAAAAAAAAABbQ29udGVudF9UeXBlc10ueG1sUEsBAi0AFAAGAAgAAAAhAFr0LFu/AAAA FQEAAAsAAAAAAAAAAAAAAAAAHwEAAF9yZWxzLy5yZWxzUEsBAi0AFAAGAAgAAAAhAKxQEMDKAAAA 4gAAAA8AAAAAAAAAAAAAAAAABwIAAGRycy9kb3ducmV2LnhtbFBLBQYAAAAAAwADALcAAAD+AgAA AAA= ">
                  <v:imagedata cropbottom="3165f" o:title="" r:id="rId106"/>
                </v:shape>
                <v:shape id="Picture 2084236349" style="position:absolute;left:29772;width:27604;height:12160;visibility:visible;mso-wrap-style:square" o:spid="_x0000_s1028" type="#_x0000_t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KztXxgAAAOMAAAAPAAAAZHJzL2Rvd25yZXYueG1sRE/Pa8Iw FL4L+x/CE3bTtGXK6IyiA0HmaVXY9dm8tcHmpSTRdv+9OQg7fny/V5vRduJOPhjHCvJ5BoK4dtpw o+B82s/eQYSIrLFzTAr+KMBm/TJZYandwN90r2IjUgiHEhW0MfallKFuyWKYu544cb/OW4wJ+kZq j0MKt50ssmwpLRpODS329NlSfa1uVsFuezxedmP3IwdjfHW7YG/4S6nX6bj9ABFpjP/ip/ugFRT5 26JY5sUijU6f0h+Q6wcAAAD//wMAUEsBAi0AFAAGAAgAAAAhANvh9svuAAAAhQEAABMAAAAAAAAA AAAAAAAAAAAAAFtDb250ZW50X1R5cGVzXS54bWxQSwECLQAUAAYACAAAACEAWvQsW78AAAAVAQAA CwAAAAAAAAAAAAAAAAAfAQAAX3JlbHMvLnJlbHNQSwECLQAUAAYACAAAACEAqCs7V8YAAADjAAAA DwAAAAAAAAAAAAAAAAAHAgAAZHJzL2Rvd25yZXYueG1sUEsFBgAAAAADAAMAtwAAAPoCAAAAAA== ">
                  <v:imagedata o:title="" r:id="rId107"/>
                </v:shape>
                <w10:anchorlock/>
              </v:group>
            </w:pict>
          </mc:Fallback>
        </mc:AlternateContent>
      </w:r>
    </w:p>
    <w:p w14:paraId="44FFED1B" w14:textId="75A5EEA9" w:rsidR="00765137" w:rsidRPr="00006770" w:rsidRDefault="00765137" w:rsidP="00006770">
      <w:pPr>
        <w:spacing w:before="120" w:after="120" w:line="240" w:lineRule="auto"/>
        <w:contextualSpacing w:val="0"/>
        <w:jc w:val="center"/>
        <w:rPr>
          <w:rFonts w:eastAsia="Times New Roman" w:cs="Times New Roman"/>
          <w:b/>
          <w:bCs/>
          <w:i/>
          <w:iCs/>
          <w:sz w:val="24"/>
          <w:szCs w:val="24"/>
        </w:rPr>
      </w:pPr>
      <w:r>
        <w:rPr>
          <w:rFonts w:cs="Times New Roman"/>
          <w:b/>
          <w:bCs/>
          <w:i/>
          <w:iCs/>
        </w:rPr>
        <w:t>Greenhouse shapes (arched, gable, lean-to, composite)</w:t>
      </w:r>
    </w:p>
    <w:p w14:paraId="29380791" w14:textId="77777777" w:rsidR="00765137" w:rsidRPr="00E35798" w:rsidRDefault="00765137" w:rsidP="00EB489E">
      <w:r>
        <w:t xml:space="preserve">By type of </w:t>
      </w:r>
      <w:r>
        <w:rPr>
          <w:b/>
          <w:bCs/>
        </w:rPr>
        <w:t>covering material</w:t>
      </w:r>
      <w:r>
        <w:t xml:space="preserve">, greenhouses are classified as glass greenhouses, rigid-panel greenhouses, and film greenhouses. Rigid-panel coverings most commonly use polycarbonate (PC), together with other durable, transparent materials such as polyvinyl chloride (PVC), acrylic (PMMA), and fibreglass-reinforced plastic (FRP). The covering of the comparatively low-cost film greenhouse is primarily polyethylene (PE), with ethylene-vinyl acetate copolymer (EVA), polyolefin (PO), and reinforced-mesh films also in use. Polyethylene transmits 83–90% of visible-spectrum radiation and 70–80% of ultraviolet </w:t>
      </w:r>
      <w:proofErr w:type="gramStart"/>
      <w:r>
        <w:t>radiation, and</w:t>
      </w:r>
      <w:proofErr w:type="gramEnd"/>
      <w:r>
        <w:t xml:space="preserve"> is therefore considered to have good light transmittance.</w:t>
      </w:r>
    </w:p>
    <w:p w14:paraId="65870896" w14:textId="77777777" w:rsidR="00765137" w:rsidRPr="00E35798" w:rsidRDefault="00765137" w:rsidP="00006770">
      <w:pPr>
        <w:spacing w:after="120" w:line="240" w:lineRule="auto"/>
        <w:contextualSpacing w:val="0"/>
        <w:jc w:val="left"/>
        <w:rPr>
          <w:rFonts w:eastAsia="Times New Roman" w:cs="Times New Roman"/>
          <w:sz w:val="24"/>
          <w:szCs w:val="24"/>
        </w:rPr>
      </w:pPr>
      <w:r>
        <w:rPr>
          <w:rFonts w:eastAsia="Times New Roman" w:cs="Times New Roman"/>
          <w:noProof/>
          <w:sz w:val="24"/>
          <w:szCs w:val="24"/>
        </w:rPr>
        <w:drawing>
          <wp:inline distT="0" distB="0" distL="0" distR="0" wp14:anchorId="727258C0" wp14:editId="27C3B350">
            <wp:extent cx="4581525" cy="1211461"/>
            <wp:effectExtent l="0" t="0" r="0" b="8255"/>
            <wp:docPr id="16" name="Picture 16" descr="C:\Users\Dell\Pictures\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ictures\PV.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81525" cy="1211461"/>
                    </a:xfrm>
                    <a:prstGeom prst="rect">
                      <a:avLst/>
                    </a:prstGeom>
                    <a:noFill/>
                    <a:ln>
                      <a:noFill/>
                    </a:ln>
                  </pic:spPr>
                </pic:pic>
              </a:graphicData>
            </a:graphic>
          </wp:inline>
        </w:drawing>
      </w:r>
    </w:p>
    <w:p w14:paraId="08614434" w14:textId="1E0F01BE" w:rsidR="00765137" w:rsidRPr="00006770" w:rsidRDefault="00765137" w:rsidP="00006770">
      <w:pPr>
        <w:spacing w:before="120" w:after="120" w:line="240" w:lineRule="auto"/>
        <w:contextualSpacing w:val="0"/>
        <w:jc w:val="center"/>
        <w:rPr>
          <w:rFonts w:eastAsia="Times New Roman" w:cs="Times New Roman"/>
          <w:b/>
          <w:bCs/>
          <w:i/>
          <w:iCs/>
        </w:rPr>
      </w:pPr>
      <w:r>
        <w:rPr>
          <w:rFonts w:eastAsia="Times New Roman" w:cs="Times New Roman"/>
          <w:b/>
          <w:bCs/>
          <w:i/>
          <w:iCs/>
        </w:rPr>
        <w:t>Polyethylene film</w:t>
      </w:r>
    </w:p>
    <w:p w14:paraId="16822CF9" w14:textId="77777777" w:rsidR="00765137" w:rsidRPr="00E35798" w:rsidRDefault="00765137" w:rsidP="00006770">
      <w:pPr>
        <w:spacing w:before="240" w:after="120" w:line="240" w:lineRule="auto"/>
        <w:contextualSpacing w:val="0"/>
      </w:pPr>
      <w:r>
        <w:t xml:space="preserve">By </w:t>
      </w:r>
      <w:r>
        <w:rPr>
          <w:b/>
          <w:bCs/>
        </w:rPr>
        <w:t>length of the operating period</w:t>
      </w:r>
      <w:r>
        <w:t>, greenhouses can be classified as summer, three-season, and winter (i.e. four-season) greenhouses. The summer film greenhouses used in Mongolia have a wooden or metal frame and a polyethylene film covering. Depending on the region, they are operated for 4–6 months per year.</w:t>
      </w:r>
    </w:p>
    <w:p w14:paraId="1B041B22" w14:textId="77777777" w:rsidR="00765137" w:rsidRPr="00E35798" w:rsidRDefault="00765137" w:rsidP="00006770">
      <w:pPr>
        <w:spacing w:before="120" w:after="120" w:line="240" w:lineRule="auto"/>
        <w:contextualSpacing w:val="0"/>
        <w:jc w:val="center"/>
        <w:rPr>
          <w:rFonts w:eastAsia="Times New Roman" w:cs="Times New Roman"/>
          <w:sz w:val="24"/>
          <w:szCs w:val="24"/>
        </w:rPr>
      </w:pPr>
      <w:r>
        <w:rPr>
          <w:rFonts w:eastAsia="Times New Roman" w:cs="Times New Roman"/>
          <w:noProof/>
          <w:sz w:val="24"/>
          <w:szCs w:val="24"/>
        </w:rPr>
        <w:drawing>
          <wp:inline distT="0" distB="0" distL="0" distR="0" wp14:anchorId="19C2DDC1" wp14:editId="07EADD34">
            <wp:extent cx="5922561" cy="2480806"/>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09" cstate="print">
                      <a:extLst>
                        <a:ext uri="{BEBA8EAE-BF5A-486C-A8C5-ECC9F3942E4B}">
                          <a14:imgProps xmlns:a14="http://schemas.microsoft.com/office/drawing/2010/main">
                            <a14:imgLayer r:embed="rId110">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t="23883" b="20272"/>
                    <a:stretch/>
                  </pic:blipFill>
                  <pic:spPr bwMode="auto">
                    <a:xfrm>
                      <a:off x="0" y="0"/>
                      <a:ext cx="5936413" cy="2486608"/>
                    </a:xfrm>
                    <a:prstGeom prst="rect">
                      <a:avLst/>
                    </a:prstGeom>
                    <a:ln>
                      <a:noFill/>
                    </a:ln>
                    <a:extLst>
                      <a:ext uri="{53640926-AAD7-44D8-BBD7-CCE9431645EC}">
                        <a14:shadowObscured xmlns:a14="http://schemas.microsoft.com/office/drawing/2010/main"/>
                      </a:ext>
                    </a:extLst>
                  </pic:spPr>
                </pic:pic>
              </a:graphicData>
            </a:graphic>
          </wp:inline>
        </w:drawing>
      </w:r>
    </w:p>
    <w:p w14:paraId="0791B68E" w14:textId="7E988A2A" w:rsidR="00765137" w:rsidRPr="00006770" w:rsidRDefault="00765137" w:rsidP="00006770">
      <w:pPr>
        <w:spacing w:before="120" w:after="120" w:line="240" w:lineRule="auto"/>
        <w:contextualSpacing w:val="0"/>
        <w:jc w:val="center"/>
        <w:rPr>
          <w:rFonts w:eastAsia="Times New Roman" w:cs="Times New Roman"/>
          <w:b/>
          <w:bCs/>
          <w:i/>
          <w:iCs/>
        </w:rPr>
      </w:pPr>
      <w:r>
        <w:rPr>
          <w:rFonts w:eastAsia="Times New Roman" w:cs="Times New Roman"/>
          <w:b/>
          <w:bCs/>
          <w:i/>
          <w:iCs/>
        </w:rPr>
        <w:t>Summer film greenhouse</w:t>
      </w:r>
    </w:p>
    <w:p w14:paraId="7C1518D5" w14:textId="77777777" w:rsidR="00765137" w:rsidRPr="00E35798" w:rsidRDefault="00765137" w:rsidP="00EB489E">
      <w:r>
        <w:lastRenderedPageBreak/>
        <w:t>The basic three-season greenhouse design relies solely on solar radiation for its heat supply, uses natural ventilation, and has no supplementary heating equipment. Because heated winter greenhouses are also frequently operated in a three-season mode — being taken out of use during the deep cold of winter — the term “three-season passive greenhouse” is employed to distinguish greenhouses without supplementary heating from those designed for year-round heated operation. Three-season passive greenhouses are operated for 240–256 days per year.</w:t>
      </w:r>
    </w:p>
    <w:p w14:paraId="5066ACDF" w14:textId="77777777" w:rsidR="00765137" w:rsidRPr="00E35798" w:rsidRDefault="00765137" w:rsidP="00006770">
      <w:pPr>
        <w:spacing w:before="120" w:after="120" w:line="240" w:lineRule="auto"/>
        <w:contextualSpacing w:val="0"/>
        <w:jc w:val="left"/>
        <w:rPr>
          <w:rFonts w:eastAsia="Times New Roman" w:cs="Times New Roman"/>
          <w:sz w:val="24"/>
          <w:szCs w:val="24"/>
        </w:rPr>
      </w:pPr>
      <w:r>
        <w:rPr>
          <w:rFonts w:eastAsia="Times New Roman" w:cs="Times New Roman"/>
          <w:noProof/>
          <w:sz w:val="24"/>
          <w:szCs w:val="24"/>
        </w:rPr>
        <w:drawing>
          <wp:inline distT="0" distB="0" distL="0" distR="0" wp14:anchorId="23747E77" wp14:editId="472468B5">
            <wp:extent cx="6061710" cy="19697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061710" cy="1969770"/>
                    </a:xfrm>
                    <a:prstGeom prst="rect">
                      <a:avLst/>
                    </a:prstGeom>
                  </pic:spPr>
                </pic:pic>
              </a:graphicData>
            </a:graphic>
          </wp:inline>
        </w:drawing>
      </w:r>
    </w:p>
    <w:p w14:paraId="0E02CCD8" w14:textId="1425CACC" w:rsidR="00765137" w:rsidRPr="00006770" w:rsidRDefault="00765137" w:rsidP="00006770">
      <w:pPr>
        <w:spacing w:before="120" w:after="120" w:line="240" w:lineRule="auto"/>
        <w:contextualSpacing w:val="0"/>
        <w:jc w:val="center"/>
        <w:rPr>
          <w:rFonts w:eastAsia="Times New Roman" w:cs="Times New Roman"/>
          <w:b/>
          <w:bCs/>
          <w:i/>
          <w:iCs/>
          <w:sz w:val="24"/>
          <w:szCs w:val="24"/>
        </w:rPr>
      </w:pPr>
      <w:r>
        <w:rPr>
          <w:rFonts w:eastAsia="Times New Roman" w:cs="Times New Roman"/>
          <w:b/>
          <w:bCs/>
          <w:i/>
          <w:iCs/>
          <w:sz w:val="24"/>
          <w:szCs w:val="24"/>
        </w:rPr>
        <w:t>Three-season passive greenhouse</w:t>
      </w:r>
    </w:p>
    <w:p w14:paraId="1C79282D" w14:textId="01FECF41" w:rsidR="00765137" w:rsidRPr="00006770" w:rsidRDefault="00765137" w:rsidP="00006770">
      <w:pPr>
        <w:spacing w:before="120" w:after="120" w:line="240" w:lineRule="auto"/>
        <w:contextualSpacing w:val="0"/>
        <w:jc w:val="left"/>
        <w:rPr>
          <w:rFonts w:eastAsia="Times New Roman" w:cs="Times New Roman"/>
        </w:rPr>
      </w:pPr>
      <w:r>
        <w:rPr>
          <w:rFonts w:eastAsia="Times New Roman" w:cs="Times New Roman"/>
        </w:rPr>
        <w:t>Winter greenhouses can in principle be operated year-round, but because heating costs in the deep cold of winter are prohibitively high — and in order to avoid coinciding with the peak marketing period of summer-greenhouse produce — they are typically taken out of production for a time and operated for about 10–11 months per year. The following types of winter greenhouses are used in Mongolia:</w:t>
      </w:r>
    </w:p>
    <w:p w14:paraId="6F07188B" w14:textId="77777777" w:rsidR="00765137" w:rsidRPr="00006770" w:rsidRDefault="00765137" w:rsidP="006342DD">
      <w:pPr>
        <w:numPr>
          <w:ilvl w:val="0"/>
          <w:numId w:val="31"/>
        </w:numPr>
        <w:spacing w:before="40" w:after="40" w:line="240" w:lineRule="auto"/>
        <w:contextualSpacing w:val="0"/>
        <w:jc w:val="left"/>
        <w:rPr>
          <w:rFonts w:eastAsia="Times New Roman" w:cs="Times New Roman"/>
        </w:rPr>
      </w:pPr>
      <w:r>
        <w:rPr>
          <w:rFonts w:eastAsia="Times New Roman" w:cs="Times New Roman"/>
        </w:rPr>
        <w:t>heated winter film greenhouse (winter sunlit greenhouse);</w:t>
      </w:r>
    </w:p>
    <w:p w14:paraId="7E45704C" w14:textId="77777777" w:rsidR="00765137" w:rsidRPr="00006770" w:rsidRDefault="00765137" w:rsidP="006342DD">
      <w:pPr>
        <w:numPr>
          <w:ilvl w:val="0"/>
          <w:numId w:val="31"/>
        </w:numPr>
        <w:spacing w:before="40" w:after="40" w:line="240" w:lineRule="auto"/>
        <w:contextualSpacing w:val="0"/>
        <w:jc w:val="left"/>
        <w:rPr>
          <w:rFonts w:eastAsia="Times New Roman" w:cs="Times New Roman"/>
        </w:rPr>
      </w:pPr>
      <w:r>
        <w:rPr>
          <w:rFonts w:eastAsia="Times New Roman" w:cs="Times New Roman"/>
        </w:rPr>
        <w:t>semi-automated winter greenhouse;</w:t>
      </w:r>
    </w:p>
    <w:p w14:paraId="48F211B7" w14:textId="77777777" w:rsidR="00765137" w:rsidRPr="00006770" w:rsidRDefault="00765137" w:rsidP="006342DD">
      <w:pPr>
        <w:numPr>
          <w:ilvl w:val="0"/>
          <w:numId w:val="31"/>
        </w:numPr>
        <w:spacing w:before="40" w:after="40" w:line="240" w:lineRule="auto"/>
        <w:contextualSpacing w:val="0"/>
        <w:jc w:val="left"/>
        <w:rPr>
          <w:rFonts w:eastAsia="Times New Roman" w:cs="Times New Roman"/>
          <w:b/>
          <w:bCs/>
        </w:rPr>
      </w:pPr>
      <w:r>
        <w:rPr>
          <w:rFonts w:eastAsia="Times New Roman" w:cs="Times New Roman"/>
        </w:rPr>
        <w:t>fully automated winter greenhouse with hydroponic cultivation system.</w:t>
      </w:r>
    </w:p>
    <w:p w14:paraId="099E67EF" w14:textId="2761A79D" w:rsidR="00765137" w:rsidRPr="00006770" w:rsidRDefault="00765137" w:rsidP="00006770">
      <w:pPr>
        <w:spacing w:before="240" w:after="120" w:line="240" w:lineRule="auto"/>
        <w:contextualSpacing w:val="0"/>
        <w:rPr>
          <w:rFonts w:eastAsia="Times New Roman" w:cs="Times New Roman"/>
        </w:rPr>
      </w:pPr>
      <w:r>
        <w:rPr>
          <w:rFonts w:eastAsia="Times New Roman" w:cs="Times New Roman"/>
        </w:rPr>
        <w:t xml:space="preserve">The winter sunlit greenhouse is similar in design and construction to the three-season passive greenhouse and has a film </w:t>
      </w:r>
      <w:proofErr w:type="gramStart"/>
      <w:r>
        <w:rPr>
          <w:rFonts w:eastAsia="Times New Roman" w:cs="Times New Roman"/>
        </w:rPr>
        <w:t>covering, but</w:t>
      </w:r>
      <w:proofErr w:type="gramEnd"/>
      <w:r>
        <w:rPr>
          <w:rFonts w:eastAsia="Times New Roman" w:cs="Times New Roman"/>
        </w:rPr>
        <w:t xml:space="preserve"> differs in that it is equipped with supplementary heating. The heating systems currently in use include solid-fuel stoves, central heating, low-pressure boilers combined with electric heating, hot-air heating, and purely electric heating. When the technology is operated correctly, two harvests of fruiting vegetables can be obtained per year.</w:t>
      </w:r>
    </w:p>
    <w:p w14:paraId="1D05F61F" w14:textId="77777777" w:rsidR="00765137" w:rsidRPr="00E35798" w:rsidRDefault="00765137" w:rsidP="00765137">
      <w:pPr>
        <w:spacing w:before="100" w:beforeAutospacing="1" w:after="120" w:line="240" w:lineRule="auto"/>
        <w:contextualSpacing w:val="0"/>
        <w:jc w:val="left"/>
        <w:rPr>
          <w:rFonts w:eastAsia="Times New Roman" w:cs="Times New Roman"/>
          <w:sz w:val="24"/>
          <w:szCs w:val="24"/>
        </w:rPr>
      </w:pPr>
      <w:r>
        <w:rPr>
          <w:rFonts w:eastAsia="Times New Roman" w:cs="Times New Roman"/>
          <w:noProof/>
          <w:sz w:val="24"/>
          <w:szCs w:val="24"/>
        </w:rPr>
        <w:drawing>
          <wp:inline distT="0" distB="0" distL="0" distR="0" wp14:anchorId="5AD1BA8C" wp14:editId="3AEE820C">
            <wp:extent cx="6061710" cy="19608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061710" cy="1960880"/>
                    </a:xfrm>
                    <a:prstGeom prst="rect">
                      <a:avLst/>
                    </a:prstGeom>
                  </pic:spPr>
                </pic:pic>
              </a:graphicData>
            </a:graphic>
          </wp:inline>
        </w:drawing>
      </w:r>
    </w:p>
    <w:p w14:paraId="08BFC2E1" w14:textId="6FB358E4" w:rsidR="00765137" w:rsidRPr="00006770" w:rsidRDefault="00765137" w:rsidP="00006770">
      <w:pPr>
        <w:spacing w:before="120" w:after="120" w:line="240" w:lineRule="auto"/>
        <w:contextualSpacing w:val="0"/>
        <w:jc w:val="center"/>
        <w:rPr>
          <w:rFonts w:eastAsia="Times New Roman" w:cs="Times New Roman"/>
          <w:b/>
          <w:bCs/>
          <w:i/>
          <w:iCs/>
        </w:rPr>
      </w:pPr>
      <w:r>
        <w:rPr>
          <w:rFonts w:eastAsia="Times New Roman" w:cs="Times New Roman"/>
          <w:b/>
          <w:bCs/>
          <w:i/>
          <w:iCs/>
        </w:rPr>
        <w:t>Winter sunlit greenhouse</w:t>
      </w:r>
    </w:p>
    <w:p w14:paraId="3FA3ED62" w14:textId="16B32646" w:rsidR="00765137" w:rsidRPr="00006770" w:rsidRDefault="00765137" w:rsidP="00006770">
      <w:pPr>
        <w:spacing w:before="100" w:beforeAutospacing="1" w:after="120" w:line="240" w:lineRule="auto"/>
        <w:contextualSpacing w:val="0"/>
        <w:rPr>
          <w:rFonts w:eastAsia="Times New Roman" w:cs="Times New Roman"/>
        </w:rPr>
      </w:pPr>
      <w:r>
        <w:rPr>
          <w:rFonts w:eastAsia="Times New Roman" w:cs="Times New Roman"/>
        </w:rPr>
        <w:t>In the semi-automated winter greenhouse, the east, west and south walls are made of glass, the roof of polycarbonate, and the north wall of sandwich-panel construction. Cultivation takes place directly in the soil. Ventilation, cooling, and drip irrigation are regulated through a mechanised automatic control system, from which the designation “semi-automated” derives. One to two harvests are produced per year, and soil preparation is carried out routinely between cropping cycles. The number of harvests depends on heating costs and the cultivation plan.</w:t>
      </w:r>
    </w:p>
    <w:p w14:paraId="0ED6928F" w14:textId="77777777" w:rsidR="00765137" w:rsidRPr="00E35798" w:rsidRDefault="00765137" w:rsidP="00765137">
      <w:pPr>
        <w:spacing w:before="100" w:beforeAutospacing="1" w:after="120" w:line="240" w:lineRule="auto"/>
        <w:contextualSpacing w:val="0"/>
        <w:jc w:val="left"/>
        <w:rPr>
          <w:rFonts w:eastAsia="Times New Roman" w:cs="Times New Roman"/>
          <w:sz w:val="24"/>
          <w:szCs w:val="24"/>
        </w:rPr>
      </w:pPr>
      <w:r>
        <w:rPr>
          <w:rFonts w:eastAsia="Times New Roman" w:cs="Times New Roman"/>
          <w:noProof/>
          <w:sz w:val="24"/>
          <w:szCs w:val="24"/>
        </w:rPr>
        <w:lastRenderedPageBreak/>
        <w:drawing>
          <wp:inline distT="0" distB="0" distL="0" distR="0" wp14:anchorId="6AFFE37E" wp14:editId="75C75082">
            <wp:extent cx="6061710" cy="19678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061710" cy="1967865"/>
                    </a:xfrm>
                    <a:prstGeom prst="rect">
                      <a:avLst/>
                    </a:prstGeom>
                  </pic:spPr>
                </pic:pic>
              </a:graphicData>
            </a:graphic>
          </wp:inline>
        </w:drawing>
      </w:r>
    </w:p>
    <w:p w14:paraId="58C13623" w14:textId="3F1F095C" w:rsidR="00765137" w:rsidRPr="00006770" w:rsidRDefault="00765137" w:rsidP="00006770">
      <w:pPr>
        <w:spacing w:before="120" w:after="120" w:line="240" w:lineRule="auto"/>
        <w:contextualSpacing w:val="0"/>
        <w:jc w:val="center"/>
        <w:rPr>
          <w:rFonts w:eastAsia="Times New Roman" w:cs="Times New Roman"/>
          <w:b/>
          <w:bCs/>
          <w:i/>
          <w:iCs/>
        </w:rPr>
      </w:pPr>
      <w:r>
        <w:rPr>
          <w:rFonts w:eastAsia="Times New Roman" w:cs="Times New Roman"/>
          <w:b/>
          <w:bCs/>
          <w:i/>
          <w:iCs/>
        </w:rPr>
        <w:t>Semi-automated winter greenhouse</w:t>
      </w:r>
    </w:p>
    <w:p w14:paraId="0746D3C8" w14:textId="661D3194" w:rsidR="00765137" w:rsidRPr="00006770" w:rsidRDefault="00765137" w:rsidP="00006770">
      <w:pPr>
        <w:spacing w:before="240" w:after="120" w:line="240" w:lineRule="auto"/>
        <w:contextualSpacing w:val="0"/>
        <w:rPr>
          <w:rFonts w:eastAsia="Times New Roman" w:cs="Times New Roman"/>
        </w:rPr>
      </w:pPr>
      <w:r>
        <w:rPr>
          <w:rFonts w:eastAsia="Times New Roman" w:cs="Times New Roman"/>
        </w:rPr>
        <w:t>The fully automated winter greenhouse uses a hydroponic cultivation system — a form of soilless cultivation. Under this system, the nutrient requirements of the crop are met either by growing the plants directly in a nutrient solution or by setting them in an inert substrate — such as sand, gravel, perlite, rock wool, sphagnum peat, peat, moss, pine bark, or coconut fibre (coir) — which is then supplied with the nutrient solution. A computerised control system regulates energy use, water consumption, and nutrient dosing at appropriate rates, maintains the indoor microclimate, and thereby creates optimal conditions for plant growth. Two to three harvests of fruiting vegetables are obtained per year.</w:t>
      </w:r>
    </w:p>
    <w:p w14:paraId="433744D2" w14:textId="77777777" w:rsidR="00765137" w:rsidRPr="00E35798" w:rsidRDefault="00765137" w:rsidP="00006770">
      <w:pPr>
        <w:spacing w:before="120" w:after="120" w:line="240" w:lineRule="auto"/>
        <w:contextualSpacing w:val="0"/>
        <w:jc w:val="left"/>
        <w:rPr>
          <w:rFonts w:eastAsia="Times New Roman" w:cs="Times New Roman"/>
          <w:sz w:val="24"/>
          <w:szCs w:val="24"/>
        </w:rPr>
      </w:pPr>
      <w:r>
        <w:rPr>
          <w:rFonts w:eastAsia="Times New Roman" w:cs="Times New Roman"/>
          <w:noProof/>
          <w:sz w:val="24"/>
          <w:szCs w:val="24"/>
        </w:rPr>
        <w:drawing>
          <wp:inline distT="0" distB="0" distL="0" distR="0" wp14:anchorId="7A686F41" wp14:editId="1380FD56">
            <wp:extent cx="6061710" cy="1950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061710" cy="1950720"/>
                    </a:xfrm>
                    <a:prstGeom prst="rect">
                      <a:avLst/>
                    </a:prstGeom>
                  </pic:spPr>
                </pic:pic>
              </a:graphicData>
            </a:graphic>
          </wp:inline>
        </w:drawing>
      </w:r>
    </w:p>
    <w:p w14:paraId="3A5809BA" w14:textId="0969C0AD" w:rsidR="00765137" w:rsidRPr="00006770" w:rsidRDefault="00006770" w:rsidP="00006770">
      <w:pPr>
        <w:spacing w:before="120" w:after="120" w:line="240" w:lineRule="auto"/>
        <w:contextualSpacing w:val="0"/>
        <w:jc w:val="center"/>
        <w:rPr>
          <w:rFonts w:eastAsia="Times New Roman" w:cs="Times New Roman"/>
          <w:b/>
          <w:bCs/>
          <w:i/>
          <w:iCs/>
        </w:rPr>
      </w:pPr>
      <w:r>
        <w:rPr>
          <w:rFonts w:eastAsia="Times New Roman" w:cs="Times New Roman"/>
          <w:b/>
          <w:bCs/>
          <w:i/>
          <w:iCs/>
        </w:rPr>
        <w:t>Fully automated winter greenhouse</w:t>
      </w:r>
    </w:p>
    <w:p w14:paraId="5E79EB73" w14:textId="77777777" w:rsidR="00765137" w:rsidRDefault="00765137" w:rsidP="00765137">
      <w:pPr>
        <w:pStyle w:val="BodyText"/>
      </w:pPr>
    </w:p>
    <w:p w14:paraId="064A948A" w14:textId="77777777" w:rsidR="00765137" w:rsidRDefault="00765137" w:rsidP="00765137">
      <w:pPr>
        <w:pStyle w:val="BodyText"/>
      </w:pPr>
    </w:p>
    <w:p w14:paraId="76312BF9" w14:textId="12084FA4" w:rsidR="00765137" w:rsidRDefault="00FF4369" w:rsidP="00765137">
      <w:pPr>
        <w:pStyle w:val="BodyText"/>
      </w:pPr>
      <w:r w:rsidRPr="00FF4369">
        <w:rPr>
          <w:b/>
          <w:bCs/>
        </w:rPr>
        <w:t>Source</w:t>
      </w:r>
      <w:r>
        <w:rPr>
          <w:b/>
          <w:bCs/>
        </w:rPr>
        <w:t xml:space="preserve"> of pictures</w:t>
      </w:r>
      <w:r w:rsidRPr="00FF4369">
        <w:rPr>
          <w:b/>
          <w:bCs/>
        </w:rPr>
        <w:t>:</w:t>
      </w:r>
      <w:r w:rsidRPr="00FF4369">
        <w:t xml:space="preserve"> To be confirmed. Image included for internal review only.</w:t>
      </w:r>
    </w:p>
    <w:p w14:paraId="15F39EAC" w14:textId="3E1AF23E" w:rsidR="00765137" w:rsidRDefault="00765137" w:rsidP="00D16E24">
      <w:pPr>
        <w:spacing w:after="120" w:line="240" w:lineRule="auto"/>
        <w:contextualSpacing w:val="0"/>
        <w:rPr>
          <w:rFonts w:eastAsia="Times New Roman" w:cs="Times New Roman"/>
          <w:color w:val="000000"/>
          <w:sz w:val="24"/>
          <w:szCs w:val="24"/>
          <w:lang w:val="en-US"/>
        </w:rPr>
      </w:pPr>
    </w:p>
    <w:p w14:paraId="2ACC127C" w14:textId="0903F6DA" w:rsidR="00765137" w:rsidRDefault="00765137" w:rsidP="00D16E24">
      <w:pPr>
        <w:spacing w:after="120" w:line="240" w:lineRule="auto"/>
        <w:contextualSpacing w:val="0"/>
        <w:rPr>
          <w:rFonts w:eastAsia="Times New Roman" w:cs="Times New Roman"/>
          <w:color w:val="000000"/>
          <w:sz w:val="24"/>
          <w:szCs w:val="24"/>
          <w:lang w:val="en-US"/>
        </w:rPr>
      </w:pPr>
    </w:p>
    <w:p w14:paraId="7821B4E0" w14:textId="4024F19B" w:rsidR="00006770" w:rsidRDefault="00006770" w:rsidP="00D16E24">
      <w:pPr>
        <w:spacing w:after="120" w:line="240" w:lineRule="auto"/>
        <w:contextualSpacing w:val="0"/>
        <w:rPr>
          <w:rFonts w:eastAsia="Times New Roman" w:cs="Times New Roman"/>
          <w:color w:val="000000"/>
          <w:sz w:val="24"/>
          <w:szCs w:val="24"/>
          <w:lang w:val="en-US"/>
        </w:rPr>
      </w:pPr>
    </w:p>
    <w:p w14:paraId="6455A771" w14:textId="4505759D" w:rsidR="00006770" w:rsidRDefault="00006770" w:rsidP="00D16E24">
      <w:pPr>
        <w:spacing w:after="120" w:line="240" w:lineRule="auto"/>
        <w:contextualSpacing w:val="0"/>
        <w:rPr>
          <w:rFonts w:eastAsia="Times New Roman" w:cs="Times New Roman"/>
          <w:color w:val="000000"/>
          <w:sz w:val="24"/>
          <w:szCs w:val="24"/>
          <w:lang w:val="en-US"/>
        </w:rPr>
      </w:pPr>
    </w:p>
    <w:p w14:paraId="7D7DE086" w14:textId="611B625F" w:rsidR="00006770" w:rsidRDefault="00006770" w:rsidP="00D16E24">
      <w:pPr>
        <w:spacing w:after="120" w:line="240" w:lineRule="auto"/>
        <w:contextualSpacing w:val="0"/>
        <w:rPr>
          <w:rFonts w:eastAsia="Times New Roman" w:cs="Times New Roman"/>
          <w:color w:val="000000"/>
          <w:sz w:val="24"/>
          <w:szCs w:val="24"/>
          <w:lang w:val="en-US"/>
        </w:rPr>
      </w:pPr>
    </w:p>
    <w:p w14:paraId="7299D3B7" w14:textId="125C0154" w:rsidR="00006770" w:rsidRDefault="00006770" w:rsidP="00D16E24">
      <w:pPr>
        <w:spacing w:after="120" w:line="240" w:lineRule="auto"/>
        <w:contextualSpacing w:val="0"/>
        <w:rPr>
          <w:rFonts w:eastAsia="Times New Roman" w:cs="Times New Roman"/>
          <w:color w:val="000000"/>
          <w:sz w:val="24"/>
          <w:szCs w:val="24"/>
          <w:lang w:val="en-US"/>
        </w:rPr>
      </w:pPr>
    </w:p>
    <w:p w14:paraId="6EABB214" w14:textId="4BDB9CCE" w:rsidR="00006770" w:rsidRDefault="00006770" w:rsidP="00D16E24">
      <w:pPr>
        <w:spacing w:after="120" w:line="240" w:lineRule="auto"/>
        <w:contextualSpacing w:val="0"/>
        <w:rPr>
          <w:rFonts w:eastAsia="Times New Roman" w:cs="Times New Roman"/>
          <w:color w:val="000000"/>
          <w:sz w:val="24"/>
          <w:szCs w:val="24"/>
          <w:lang w:val="en-US"/>
        </w:rPr>
      </w:pPr>
    </w:p>
    <w:p w14:paraId="431B6846" w14:textId="0D7C0C51" w:rsidR="00006770" w:rsidRDefault="00006770" w:rsidP="00D16E24">
      <w:pPr>
        <w:spacing w:after="120" w:line="240" w:lineRule="auto"/>
        <w:contextualSpacing w:val="0"/>
        <w:rPr>
          <w:rFonts w:eastAsia="Times New Roman" w:cs="Times New Roman"/>
          <w:color w:val="000000"/>
          <w:sz w:val="24"/>
          <w:szCs w:val="24"/>
          <w:lang w:val="en-US"/>
        </w:rPr>
      </w:pPr>
    </w:p>
    <w:p w14:paraId="502A3CE1" w14:textId="77777777" w:rsidR="00765137" w:rsidRPr="001852F2" w:rsidRDefault="00765137" w:rsidP="00D16E24">
      <w:pPr>
        <w:spacing w:after="120" w:line="240" w:lineRule="auto"/>
        <w:contextualSpacing w:val="0"/>
        <w:rPr>
          <w:rFonts w:eastAsia="Times New Roman" w:cs="Times New Roman"/>
          <w:color w:val="000000"/>
          <w:sz w:val="24"/>
          <w:szCs w:val="24"/>
          <w:lang w:val="en-US"/>
        </w:rPr>
      </w:pPr>
    </w:p>
    <w:p w14:paraId="590E69FD" w14:textId="04DC8AC3" w:rsidR="00765137" w:rsidRDefault="00765137" w:rsidP="00765137">
      <w:pPr>
        <w:pStyle w:val="OikoSectionHeading1"/>
        <w:spacing w:line="240" w:lineRule="auto"/>
        <w:contextualSpacing w:val="0"/>
      </w:pPr>
      <w:bookmarkStart w:id="182" w:name="_Toc233981385"/>
      <w:r>
        <w:lastRenderedPageBreak/>
        <w:t>Annex 4: Simple heating tools for extending the growing season</w:t>
      </w:r>
      <w:bookmarkEnd w:id="182"/>
    </w:p>
    <w:p w14:paraId="7512CC82" w14:textId="3912ADB7" w:rsidR="697EA68B" w:rsidRPr="0092738E" w:rsidRDefault="697EA68B" w:rsidP="00765137">
      <w:pPr>
        <w:pStyle w:val="BodyText"/>
        <w:rPr>
          <w:lang w:val="en-US"/>
        </w:rPr>
      </w:pPr>
    </w:p>
    <w:p w14:paraId="1C47EDC1" w14:textId="44B9D1CE" w:rsidR="77ECE7DA" w:rsidRDefault="00600694" w:rsidP="00D16E24">
      <w:pPr>
        <w:spacing w:after="120" w:line="240" w:lineRule="auto"/>
        <w:contextualSpacing w:val="0"/>
        <w:rPr>
          <w:rFonts w:eastAsia="Times New Roman" w:cs="Times New Roman"/>
          <w:color w:val="000000"/>
          <w:lang w:val="de-DE"/>
        </w:rPr>
      </w:pPr>
      <w:r w:rsidRPr="00600694">
        <w:rPr>
          <w:noProof/>
        </w:rPr>
        <w:drawing>
          <wp:inline distT="0" distB="0" distL="0" distR="0" wp14:anchorId="5FE099D8" wp14:editId="30BD1574">
            <wp:extent cx="6120130" cy="6102350"/>
            <wp:effectExtent l="0" t="0" r="0" b="0"/>
            <wp:docPr id="980744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20130" cy="6102350"/>
                    </a:xfrm>
                    <a:prstGeom prst="rect">
                      <a:avLst/>
                    </a:prstGeom>
                    <a:noFill/>
                    <a:ln>
                      <a:noFill/>
                    </a:ln>
                  </pic:spPr>
                </pic:pic>
              </a:graphicData>
            </a:graphic>
          </wp:inline>
        </w:drawing>
      </w:r>
    </w:p>
    <w:p w14:paraId="5E8AD26B" w14:textId="593C3AB7" w:rsidR="697EA68B" w:rsidRPr="00AC55D3" w:rsidRDefault="697EA68B" w:rsidP="00D16E24">
      <w:pPr>
        <w:spacing w:after="120" w:line="240" w:lineRule="auto"/>
        <w:contextualSpacing w:val="0"/>
        <w:rPr>
          <w:rFonts w:eastAsia="Times New Roman" w:cs="Times New Roman"/>
          <w:color w:val="000000"/>
          <w:lang w:val="en-US"/>
        </w:rPr>
      </w:pPr>
      <w:r>
        <w:rPr>
          <w:rFonts w:eastAsia="Times New Roman" w:cs="Times New Roman"/>
          <w:color w:val="000000"/>
          <w:lang w:val="en-US"/>
        </w:rPr>
        <w:t xml:space="preserve">  </w:t>
      </w:r>
      <w:r w:rsidR="00FF4369" w:rsidRPr="00FF4369">
        <w:rPr>
          <w:b/>
          <w:bCs/>
          <w:i/>
          <w:iCs/>
        </w:rPr>
        <w:t>Source:</w:t>
      </w:r>
      <w:r w:rsidR="00FF4369" w:rsidRPr="00FF4369">
        <w:rPr>
          <w:i/>
          <w:iCs/>
        </w:rPr>
        <w:t xml:space="preserve"> To be confirmed. Image included for internal review only.</w:t>
      </w:r>
    </w:p>
    <w:p w14:paraId="0886068D" w14:textId="77777777" w:rsidR="000928E7" w:rsidRDefault="000928E7">
      <w:pPr>
        <w:spacing w:after="160" w:line="259" w:lineRule="auto"/>
        <w:contextualSpacing w:val="0"/>
        <w:jc w:val="left"/>
        <w:rPr>
          <w:rFonts w:eastAsiaTheme="majorEastAsia" w:cstheme="majorBidi"/>
          <w:color w:val="DD6B22" w:themeColor="accent3" w:themeShade="BF"/>
          <w:sz w:val="52"/>
          <w:szCs w:val="32"/>
        </w:rPr>
      </w:pPr>
      <w:r>
        <w:br w:type="page"/>
      </w:r>
    </w:p>
    <w:p w14:paraId="59E1864B" w14:textId="091BBF49" w:rsidR="00765137" w:rsidRDefault="00765137" w:rsidP="00765137">
      <w:pPr>
        <w:pStyle w:val="OikoSectionHeading1"/>
        <w:spacing w:line="240" w:lineRule="auto"/>
        <w:contextualSpacing w:val="0"/>
      </w:pPr>
      <w:bookmarkStart w:id="183" w:name="_Toc233981386"/>
      <w:r>
        <w:lastRenderedPageBreak/>
        <w:t>Annex 5: Examples of artificial windbreaks for wind, hail and snow protection</w:t>
      </w:r>
      <w:bookmarkEnd w:id="183"/>
    </w:p>
    <w:p w14:paraId="593D3CD0" w14:textId="23FD84F9" w:rsidR="00765137" w:rsidRDefault="00765137" w:rsidP="00765137">
      <w:pPr>
        <w:spacing w:after="120" w:line="240" w:lineRule="auto"/>
        <w:contextualSpacing w:val="0"/>
        <w:rPr>
          <w:rFonts w:eastAsia="Times New Roman" w:cs="Times New Roman"/>
          <w:color w:val="FF0000"/>
          <w:sz w:val="24"/>
          <w:szCs w:val="24"/>
        </w:rPr>
      </w:pP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A0" w:firstRow="1" w:lastRow="0" w:firstColumn="1" w:lastColumn="0" w:noHBand="1" w:noVBand="1"/>
      </w:tblPr>
      <w:tblGrid>
        <w:gridCol w:w="4725"/>
        <w:gridCol w:w="4860"/>
      </w:tblGrid>
      <w:tr w:rsidR="00765137" w14:paraId="4133E5CF" w14:textId="77777777" w:rsidTr="00BC467C">
        <w:trPr>
          <w:trHeight w:val="285"/>
        </w:trPr>
        <w:tc>
          <w:tcPr>
            <w:tcW w:w="4725" w:type="dxa"/>
            <w:tcMar>
              <w:left w:w="105" w:type="dxa"/>
              <w:right w:w="105" w:type="dxa"/>
            </w:tcMar>
          </w:tcPr>
          <w:p w14:paraId="1D52D41A" w14:textId="77777777" w:rsidR="00765137" w:rsidRDefault="00765137" w:rsidP="00EB489E">
            <w:pPr>
              <w:rPr>
                <w:rFonts w:eastAsia="Times New Roman" w:cs="Times New Roman"/>
                <w:sz w:val="24"/>
                <w:szCs w:val="24"/>
              </w:rPr>
            </w:pPr>
            <w:r>
              <w:rPr>
                <w:noProof/>
              </w:rPr>
              <w:drawing>
                <wp:anchor distT="0" distB="0" distL="114300" distR="114300" simplePos="0" relativeHeight="251658270" behindDoc="0" locked="0" layoutInCell="1" allowOverlap="1" wp14:anchorId="43FB4B21" wp14:editId="7C74511D">
                  <wp:simplePos x="0" y="0"/>
                  <wp:positionH relativeFrom="column">
                    <wp:posOffset>-1905</wp:posOffset>
                  </wp:positionH>
                  <wp:positionV relativeFrom="paragraph">
                    <wp:posOffset>0</wp:posOffset>
                  </wp:positionV>
                  <wp:extent cx="2619375" cy="1571625"/>
                  <wp:effectExtent l="0" t="0" r="9525" b="9525"/>
                  <wp:wrapTopAndBottom/>
                  <wp:docPr id="1519488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88730" name="Picture 1519488730"/>
                          <pic:cNvPicPr/>
                        </pic:nvPicPr>
                        <pic:blipFill>
                          <a:blip r:embed="rId116">
                            <a:extLst>
                              <a:ext uri="{28A0092B-C50C-407E-A947-70E740481C1C}">
                                <a14:useLocalDpi xmlns:a14="http://schemas.microsoft.com/office/drawing/2010/main" val="0"/>
                              </a:ext>
                            </a:extLst>
                          </a:blip>
                          <a:stretch>
                            <a:fillRect/>
                          </a:stretch>
                        </pic:blipFill>
                        <pic:spPr>
                          <a:xfrm>
                            <a:off x="0" y="0"/>
                            <a:ext cx="2619375" cy="1571625"/>
                          </a:xfrm>
                          <a:prstGeom prst="rect">
                            <a:avLst/>
                          </a:prstGeom>
                        </pic:spPr>
                      </pic:pic>
                    </a:graphicData>
                  </a:graphic>
                </wp:anchor>
              </w:drawing>
            </w:r>
          </w:p>
        </w:tc>
        <w:tc>
          <w:tcPr>
            <w:tcW w:w="4860" w:type="dxa"/>
            <w:tcMar>
              <w:left w:w="105" w:type="dxa"/>
              <w:right w:w="105" w:type="dxa"/>
            </w:tcMar>
          </w:tcPr>
          <w:p w14:paraId="0D9FA970" w14:textId="77777777" w:rsidR="00765137" w:rsidRDefault="00765137" w:rsidP="00EB489E">
            <w:pPr>
              <w:rPr>
                <w:rFonts w:eastAsia="Times New Roman" w:cs="Times New Roman"/>
                <w:sz w:val="24"/>
                <w:szCs w:val="24"/>
              </w:rPr>
            </w:pPr>
            <w:r>
              <w:rPr>
                <w:noProof/>
              </w:rPr>
              <w:drawing>
                <wp:anchor distT="0" distB="0" distL="114300" distR="114300" simplePos="0" relativeHeight="251658271" behindDoc="0" locked="0" layoutInCell="1" allowOverlap="1" wp14:anchorId="6E08347D" wp14:editId="0F38CC01">
                  <wp:simplePos x="0" y="0"/>
                  <wp:positionH relativeFrom="column">
                    <wp:posOffset>0</wp:posOffset>
                  </wp:positionH>
                  <wp:positionV relativeFrom="paragraph">
                    <wp:posOffset>0</wp:posOffset>
                  </wp:positionV>
                  <wp:extent cx="2628900" cy="1562100"/>
                  <wp:effectExtent l="0" t="0" r="0" b="0"/>
                  <wp:wrapTopAndBottom/>
                  <wp:docPr id="9533414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41412" name="Picture 953341412"/>
                          <pic:cNvPicPr/>
                        </pic:nvPicPr>
                        <pic:blipFill>
                          <a:blip r:embed="rId117">
                            <a:extLst>
                              <a:ext uri="{28A0092B-C50C-407E-A947-70E740481C1C}">
                                <a14:useLocalDpi xmlns:a14="http://schemas.microsoft.com/office/drawing/2010/main" val="0"/>
                              </a:ext>
                            </a:extLst>
                          </a:blip>
                          <a:stretch>
                            <a:fillRect/>
                          </a:stretch>
                        </pic:blipFill>
                        <pic:spPr>
                          <a:xfrm>
                            <a:off x="0" y="0"/>
                            <a:ext cx="2628900" cy="1562100"/>
                          </a:xfrm>
                          <a:prstGeom prst="rect">
                            <a:avLst/>
                          </a:prstGeom>
                        </pic:spPr>
                      </pic:pic>
                    </a:graphicData>
                  </a:graphic>
                </wp:anchor>
              </w:drawing>
            </w:r>
          </w:p>
        </w:tc>
      </w:tr>
      <w:tr w:rsidR="00765137" w14:paraId="5A2FFE12" w14:textId="77777777" w:rsidTr="00BC467C">
        <w:trPr>
          <w:trHeight w:val="285"/>
        </w:trPr>
        <w:tc>
          <w:tcPr>
            <w:tcW w:w="9585" w:type="dxa"/>
            <w:gridSpan w:val="2"/>
            <w:tcMar>
              <w:left w:w="105" w:type="dxa"/>
              <w:right w:w="105" w:type="dxa"/>
            </w:tcMar>
          </w:tcPr>
          <w:p w14:paraId="7F0411E8" w14:textId="77777777" w:rsidR="00765137" w:rsidRPr="000928E7" w:rsidRDefault="00765137" w:rsidP="000928E7">
            <w:pPr>
              <w:pStyle w:val="OikoTables03Content"/>
            </w:pPr>
            <w:r w:rsidRPr="000928E7">
              <w:t>Hail nets can serve as simple protection against wind, hail, and snow loads. This is standard in commercial market-oriented economies, and should be used more in Mongolia.</w:t>
            </w:r>
          </w:p>
        </w:tc>
      </w:tr>
      <w:tr w:rsidR="00765137" w14:paraId="7F54DF20" w14:textId="77777777" w:rsidTr="00BC467C">
        <w:trPr>
          <w:trHeight w:val="285"/>
        </w:trPr>
        <w:tc>
          <w:tcPr>
            <w:tcW w:w="4725" w:type="dxa"/>
            <w:tcMar>
              <w:left w:w="105" w:type="dxa"/>
              <w:right w:w="105" w:type="dxa"/>
            </w:tcMar>
          </w:tcPr>
          <w:p w14:paraId="7E32DE10" w14:textId="77777777" w:rsidR="00765137" w:rsidRPr="000928E7" w:rsidRDefault="00765137" w:rsidP="000928E7">
            <w:pPr>
              <w:pStyle w:val="OikoTables03Content"/>
            </w:pPr>
            <w:r w:rsidRPr="000928E7">
              <w:rPr>
                <w:noProof/>
              </w:rPr>
              <w:drawing>
                <wp:anchor distT="0" distB="0" distL="114300" distR="114300" simplePos="0" relativeHeight="251658272" behindDoc="0" locked="0" layoutInCell="1" allowOverlap="1" wp14:anchorId="6ABDB64B" wp14:editId="53E1FD95">
                  <wp:simplePos x="0" y="0"/>
                  <wp:positionH relativeFrom="column">
                    <wp:posOffset>-1905</wp:posOffset>
                  </wp:positionH>
                  <wp:positionV relativeFrom="paragraph">
                    <wp:posOffset>0</wp:posOffset>
                  </wp:positionV>
                  <wp:extent cx="2628900" cy="1514475"/>
                  <wp:effectExtent l="0" t="0" r="0" b="9525"/>
                  <wp:wrapTopAndBottom/>
                  <wp:docPr id="4428810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81037" name="Picture 442881037"/>
                          <pic:cNvPicPr/>
                        </pic:nvPicPr>
                        <pic:blipFill>
                          <a:blip r:embed="rId118">
                            <a:extLst>
                              <a:ext uri="{28A0092B-C50C-407E-A947-70E740481C1C}">
                                <a14:useLocalDpi xmlns:a14="http://schemas.microsoft.com/office/drawing/2010/main" val="0"/>
                              </a:ext>
                            </a:extLst>
                          </a:blip>
                          <a:stretch>
                            <a:fillRect/>
                          </a:stretch>
                        </pic:blipFill>
                        <pic:spPr>
                          <a:xfrm>
                            <a:off x="0" y="0"/>
                            <a:ext cx="2628900" cy="1514475"/>
                          </a:xfrm>
                          <a:prstGeom prst="rect">
                            <a:avLst/>
                          </a:prstGeom>
                        </pic:spPr>
                      </pic:pic>
                    </a:graphicData>
                  </a:graphic>
                </wp:anchor>
              </w:drawing>
            </w:r>
          </w:p>
        </w:tc>
        <w:tc>
          <w:tcPr>
            <w:tcW w:w="4860" w:type="dxa"/>
            <w:tcMar>
              <w:left w:w="105" w:type="dxa"/>
              <w:right w:w="105" w:type="dxa"/>
            </w:tcMar>
          </w:tcPr>
          <w:p w14:paraId="007E10BD" w14:textId="77777777" w:rsidR="00765137" w:rsidRPr="000928E7" w:rsidRDefault="00765137" w:rsidP="000928E7">
            <w:pPr>
              <w:pStyle w:val="OikoTables03Content"/>
            </w:pPr>
            <w:r w:rsidRPr="000928E7">
              <w:rPr>
                <w:noProof/>
              </w:rPr>
              <w:drawing>
                <wp:anchor distT="0" distB="0" distL="114300" distR="114300" simplePos="0" relativeHeight="251658273" behindDoc="0" locked="0" layoutInCell="1" allowOverlap="1" wp14:anchorId="32C24E2B" wp14:editId="507589F3">
                  <wp:simplePos x="0" y="0"/>
                  <wp:positionH relativeFrom="column">
                    <wp:posOffset>0</wp:posOffset>
                  </wp:positionH>
                  <wp:positionV relativeFrom="paragraph">
                    <wp:posOffset>0</wp:posOffset>
                  </wp:positionV>
                  <wp:extent cx="2628900" cy="1476375"/>
                  <wp:effectExtent l="0" t="0" r="0" b="9525"/>
                  <wp:wrapTopAndBottom/>
                  <wp:docPr id="19555521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52126" name="Picture 1955552126"/>
                          <pic:cNvPicPr/>
                        </pic:nvPicPr>
                        <pic:blipFill>
                          <a:blip r:embed="rId119">
                            <a:extLst>
                              <a:ext uri="{28A0092B-C50C-407E-A947-70E740481C1C}">
                                <a14:useLocalDpi xmlns:a14="http://schemas.microsoft.com/office/drawing/2010/main" val="0"/>
                              </a:ext>
                            </a:extLst>
                          </a:blip>
                          <a:stretch>
                            <a:fillRect/>
                          </a:stretch>
                        </pic:blipFill>
                        <pic:spPr>
                          <a:xfrm>
                            <a:off x="0" y="0"/>
                            <a:ext cx="2628900" cy="1476375"/>
                          </a:xfrm>
                          <a:prstGeom prst="rect">
                            <a:avLst/>
                          </a:prstGeom>
                        </pic:spPr>
                      </pic:pic>
                    </a:graphicData>
                  </a:graphic>
                </wp:anchor>
              </w:drawing>
            </w:r>
          </w:p>
        </w:tc>
      </w:tr>
      <w:tr w:rsidR="00765137" w14:paraId="15A733C7" w14:textId="77777777" w:rsidTr="00BC467C">
        <w:trPr>
          <w:trHeight w:val="285"/>
        </w:trPr>
        <w:tc>
          <w:tcPr>
            <w:tcW w:w="9585" w:type="dxa"/>
            <w:gridSpan w:val="2"/>
            <w:tcMar>
              <w:left w:w="105" w:type="dxa"/>
              <w:right w:w="105" w:type="dxa"/>
            </w:tcMar>
          </w:tcPr>
          <w:p w14:paraId="7600BEDE" w14:textId="77777777" w:rsidR="00765137" w:rsidRPr="000928E7" w:rsidRDefault="00765137" w:rsidP="000928E7">
            <w:pPr>
              <w:pStyle w:val="OikoTables03Content"/>
            </w:pPr>
            <w:r w:rsidRPr="000928E7">
              <w:t>Netting – mot just overhead but also as windbreak along the sides – is absolutely essential</w:t>
            </w:r>
          </w:p>
        </w:tc>
      </w:tr>
      <w:tr w:rsidR="00765137" w14:paraId="69F8B102" w14:textId="77777777" w:rsidTr="00BC467C">
        <w:trPr>
          <w:trHeight w:val="285"/>
        </w:trPr>
        <w:tc>
          <w:tcPr>
            <w:tcW w:w="4725" w:type="dxa"/>
            <w:tcMar>
              <w:left w:w="105" w:type="dxa"/>
              <w:right w:w="105" w:type="dxa"/>
            </w:tcMar>
          </w:tcPr>
          <w:p w14:paraId="4A7A06C6" w14:textId="77777777" w:rsidR="00765137" w:rsidRPr="000928E7" w:rsidRDefault="00765137" w:rsidP="000928E7">
            <w:pPr>
              <w:pStyle w:val="OikoTables03Content"/>
            </w:pPr>
            <w:r w:rsidRPr="000928E7">
              <w:rPr>
                <w:noProof/>
              </w:rPr>
              <w:drawing>
                <wp:anchor distT="0" distB="0" distL="114300" distR="114300" simplePos="0" relativeHeight="251658274" behindDoc="0" locked="0" layoutInCell="1" allowOverlap="1" wp14:anchorId="4CB5F111" wp14:editId="17057CB1">
                  <wp:simplePos x="0" y="0"/>
                  <wp:positionH relativeFrom="column">
                    <wp:posOffset>-1905</wp:posOffset>
                  </wp:positionH>
                  <wp:positionV relativeFrom="paragraph">
                    <wp:posOffset>0</wp:posOffset>
                  </wp:positionV>
                  <wp:extent cx="1144443" cy="1238250"/>
                  <wp:effectExtent l="0" t="0" r="0" b="0"/>
                  <wp:wrapTopAndBottom/>
                  <wp:docPr id="15004149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14933" name="Picture 1500414933"/>
                          <pic:cNvPicPr/>
                        </pic:nvPicPr>
                        <pic:blipFill>
                          <a:blip r:embed="rId120">
                            <a:extLst>
                              <a:ext uri="{28A0092B-C50C-407E-A947-70E740481C1C}">
                                <a14:useLocalDpi xmlns:a14="http://schemas.microsoft.com/office/drawing/2010/main" val="0"/>
                              </a:ext>
                            </a:extLst>
                          </a:blip>
                          <a:stretch>
                            <a:fillRect/>
                          </a:stretch>
                        </pic:blipFill>
                        <pic:spPr>
                          <a:xfrm>
                            <a:off x="0" y="0"/>
                            <a:ext cx="1144443" cy="1238250"/>
                          </a:xfrm>
                          <a:prstGeom prst="rect">
                            <a:avLst/>
                          </a:prstGeom>
                        </pic:spPr>
                      </pic:pic>
                    </a:graphicData>
                  </a:graphic>
                </wp:anchor>
              </w:drawing>
            </w:r>
          </w:p>
        </w:tc>
        <w:tc>
          <w:tcPr>
            <w:tcW w:w="4860" w:type="dxa"/>
            <w:tcMar>
              <w:left w:w="105" w:type="dxa"/>
              <w:right w:w="105" w:type="dxa"/>
            </w:tcMar>
          </w:tcPr>
          <w:p w14:paraId="4662BD96" w14:textId="77777777" w:rsidR="00765137" w:rsidRPr="000928E7" w:rsidRDefault="00765137" w:rsidP="000928E7">
            <w:pPr>
              <w:pStyle w:val="OikoTables03Content"/>
            </w:pPr>
          </w:p>
          <w:p w14:paraId="550FED4C" w14:textId="77777777" w:rsidR="00765137" w:rsidRPr="000928E7" w:rsidRDefault="00765137" w:rsidP="000928E7">
            <w:pPr>
              <w:pStyle w:val="OikoTables03Content"/>
            </w:pPr>
          </w:p>
          <w:p w14:paraId="5F0F533A" w14:textId="22CF85E4" w:rsidR="00765137" w:rsidRPr="000928E7" w:rsidRDefault="00765137" w:rsidP="000928E7">
            <w:pPr>
              <w:pStyle w:val="OikoTables03Content"/>
            </w:pPr>
            <w:r w:rsidRPr="000928E7">
              <w:t>Simple mesh nets already have a major impact</w:t>
            </w:r>
          </w:p>
        </w:tc>
      </w:tr>
      <w:tr w:rsidR="00CA3643" w14:paraId="5C935330" w14:textId="77777777" w:rsidTr="003533C1">
        <w:trPr>
          <w:trHeight w:val="285"/>
        </w:trPr>
        <w:tc>
          <w:tcPr>
            <w:tcW w:w="9585" w:type="dxa"/>
            <w:gridSpan w:val="2"/>
            <w:tcMar>
              <w:left w:w="105" w:type="dxa"/>
              <w:right w:w="105" w:type="dxa"/>
            </w:tcMar>
          </w:tcPr>
          <w:p w14:paraId="79F8E5C3" w14:textId="24FF0710" w:rsidR="00CA3643" w:rsidRPr="000928E7" w:rsidRDefault="00CA3643" w:rsidP="000928E7">
            <w:pPr>
              <w:pStyle w:val="OikoTables03Content"/>
            </w:pPr>
            <w:proofErr w:type="gramStart"/>
            <w:r w:rsidRPr="00AE7A57">
              <w:rPr>
                <w:i/>
                <w:iCs/>
              </w:rPr>
              <w:t>o</w:t>
            </w:r>
            <w:r w:rsidR="00FF4369" w:rsidRPr="00FF4369">
              <w:rPr>
                <w:rFonts w:ascii="Times New Roman" w:hAnsi="Times New Roman"/>
                <w:b/>
                <w:bCs/>
                <w:sz w:val="22"/>
                <w:lang w:val="en-GB"/>
              </w:rPr>
              <w:t xml:space="preserve"> </w:t>
            </w:r>
            <w:r w:rsidR="00FF4369" w:rsidRPr="00FF4369">
              <w:rPr>
                <w:b/>
                <w:bCs/>
                <w:i/>
                <w:iCs/>
                <w:lang w:val="en-GB"/>
              </w:rPr>
              <w:t>Source</w:t>
            </w:r>
            <w:proofErr w:type="gramEnd"/>
            <w:r w:rsidR="00FF4369" w:rsidRPr="00FF4369">
              <w:rPr>
                <w:b/>
                <w:bCs/>
                <w:i/>
                <w:iCs/>
                <w:lang w:val="en-GB"/>
              </w:rPr>
              <w:t>:</w:t>
            </w:r>
            <w:r w:rsidR="00FF4369" w:rsidRPr="00FF4369">
              <w:rPr>
                <w:i/>
                <w:iCs/>
                <w:lang w:val="en-GB"/>
              </w:rPr>
              <w:t xml:space="preserve"> To be confirmed. Image included for internal review only.</w:t>
            </w:r>
          </w:p>
        </w:tc>
      </w:tr>
    </w:tbl>
    <w:p w14:paraId="04AB8ADF" w14:textId="77777777" w:rsidR="00765137" w:rsidRDefault="00765137" w:rsidP="00EB489E"/>
    <w:p w14:paraId="58ECA6B9" w14:textId="09C4F7AE" w:rsidR="00765137" w:rsidRDefault="00765137" w:rsidP="00AC55D3">
      <w:pPr>
        <w:spacing w:after="120" w:line="240" w:lineRule="auto"/>
        <w:contextualSpacing w:val="0"/>
        <w:rPr>
          <w:rFonts w:eastAsia="Times New Roman" w:cs="Times New Roman"/>
          <w:color w:val="000000"/>
        </w:rPr>
      </w:pPr>
    </w:p>
    <w:p w14:paraId="645E73F9" w14:textId="16940647" w:rsidR="00765137" w:rsidRDefault="00765137" w:rsidP="00AC55D3">
      <w:pPr>
        <w:spacing w:after="120" w:line="240" w:lineRule="auto"/>
        <w:contextualSpacing w:val="0"/>
        <w:rPr>
          <w:rFonts w:eastAsia="Times New Roman" w:cs="Times New Roman"/>
          <w:color w:val="000000"/>
        </w:rPr>
      </w:pPr>
    </w:p>
    <w:p w14:paraId="47C19E12" w14:textId="69D9EEEE" w:rsidR="00765137" w:rsidRDefault="00765137" w:rsidP="00AC55D3">
      <w:pPr>
        <w:spacing w:after="120" w:line="240" w:lineRule="auto"/>
        <w:contextualSpacing w:val="0"/>
        <w:rPr>
          <w:rFonts w:eastAsia="Times New Roman" w:cs="Times New Roman"/>
          <w:color w:val="000000"/>
        </w:rPr>
      </w:pPr>
    </w:p>
    <w:p w14:paraId="68B00ADB" w14:textId="449D7110" w:rsidR="00765137" w:rsidRDefault="00765137" w:rsidP="00AC55D3">
      <w:pPr>
        <w:spacing w:after="120" w:line="240" w:lineRule="auto"/>
        <w:contextualSpacing w:val="0"/>
        <w:rPr>
          <w:rFonts w:eastAsia="Times New Roman" w:cs="Times New Roman"/>
          <w:color w:val="000000"/>
        </w:rPr>
      </w:pPr>
    </w:p>
    <w:p w14:paraId="6707562A" w14:textId="1F8183EB" w:rsidR="00765137" w:rsidRDefault="00765137" w:rsidP="00AC55D3">
      <w:pPr>
        <w:spacing w:after="120" w:line="240" w:lineRule="auto"/>
        <w:contextualSpacing w:val="0"/>
        <w:rPr>
          <w:rFonts w:eastAsia="Times New Roman" w:cs="Times New Roman"/>
          <w:color w:val="000000"/>
        </w:rPr>
      </w:pPr>
    </w:p>
    <w:p w14:paraId="46AE8F1C" w14:textId="31B4FC9D" w:rsidR="00765137" w:rsidRDefault="00765137" w:rsidP="00AC55D3">
      <w:pPr>
        <w:spacing w:after="120" w:line="240" w:lineRule="auto"/>
        <w:contextualSpacing w:val="0"/>
        <w:rPr>
          <w:rFonts w:eastAsia="Times New Roman" w:cs="Times New Roman"/>
          <w:color w:val="000000"/>
        </w:rPr>
      </w:pPr>
    </w:p>
    <w:p w14:paraId="074BEBE7" w14:textId="06A5C0BB" w:rsidR="00765137" w:rsidRDefault="00765137" w:rsidP="00AC55D3">
      <w:pPr>
        <w:spacing w:after="120" w:line="240" w:lineRule="auto"/>
        <w:contextualSpacing w:val="0"/>
        <w:rPr>
          <w:rFonts w:eastAsia="Times New Roman" w:cs="Times New Roman"/>
          <w:color w:val="000000"/>
        </w:rPr>
      </w:pPr>
    </w:p>
    <w:p w14:paraId="1FDF882C" w14:textId="0E502F75" w:rsidR="00765137" w:rsidRDefault="00765137" w:rsidP="00AC55D3">
      <w:pPr>
        <w:spacing w:after="120" w:line="240" w:lineRule="auto"/>
        <w:contextualSpacing w:val="0"/>
        <w:rPr>
          <w:rFonts w:eastAsia="Times New Roman" w:cs="Times New Roman"/>
          <w:color w:val="000000"/>
        </w:rPr>
      </w:pPr>
    </w:p>
    <w:p w14:paraId="353954C0" w14:textId="73751AE5" w:rsidR="00765137" w:rsidRDefault="00765137" w:rsidP="00AC55D3">
      <w:pPr>
        <w:spacing w:after="120" w:line="240" w:lineRule="auto"/>
        <w:contextualSpacing w:val="0"/>
        <w:rPr>
          <w:rFonts w:eastAsia="Times New Roman" w:cs="Times New Roman"/>
          <w:color w:val="000000"/>
        </w:rPr>
      </w:pPr>
    </w:p>
    <w:p w14:paraId="6E95B887" w14:textId="00D4FE45" w:rsidR="00765137" w:rsidRDefault="00765137" w:rsidP="00AC55D3">
      <w:pPr>
        <w:spacing w:after="120" w:line="240" w:lineRule="auto"/>
        <w:contextualSpacing w:val="0"/>
        <w:rPr>
          <w:rFonts w:eastAsia="Times New Roman" w:cs="Times New Roman"/>
          <w:color w:val="000000"/>
        </w:rPr>
      </w:pPr>
    </w:p>
    <w:p w14:paraId="1DF72295" w14:textId="566C7E39" w:rsidR="00765137" w:rsidRDefault="00765137" w:rsidP="00765137">
      <w:pPr>
        <w:pStyle w:val="OikoSectionHeading1"/>
        <w:spacing w:line="240" w:lineRule="auto"/>
        <w:contextualSpacing w:val="0"/>
      </w:pPr>
      <w:bookmarkStart w:id="184" w:name="_Toc233981387"/>
      <w:r>
        <w:lastRenderedPageBreak/>
        <w:t>Annex 6: Application of solar energy in agriculture</w:t>
      </w:r>
      <w:bookmarkEnd w:id="184"/>
    </w:p>
    <w:p w14:paraId="1B013328" w14:textId="200C7729" w:rsidR="00AC55D3" w:rsidRPr="00840FE7" w:rsidRDefault="0094235A" w:rsidP="0094235A">
      <w:pPr>
        <w:pStyle w:val="Caption"/>
        <w:framePr w:wrap="notBeside"/>
        <w:rPr>
          <w:b/>
          <w:bCs/>
        </w:rPr>
      </w:pPr>
      <w:proofErr w:type="gramStart"/>
      <w:r>
        <w:rPr>
          <w:b/>
          <w:bCs/>
        </w:rPr>
        <w:t>Table  A6.1.</w:t>
      </w:r>
      <w:proofErr w:type="gramEnd"/>
      <w:r>
        <w:rPr>
          <w:b/>
          <w:bCs/>
        </w:rPr>
        <w:t xml:space="preserve"> </w:t>
      </w:r>
      <w:r>
        <w:t>Application of solar energy in agriculture</w:t>
      </w:r>
    </w:p>
    <w:tbl>
      <w:tblPr>
        <w:tblStyle w:val="TableGridLight"/>
        <w:tblW w:w="0" w:type="auto"/>
        <w:tblBorders>
          <w:top w:val="single" w:sz="6" w:space="0" w:color="BCBCBC" w:themeColor="background1"/>
          <w:left w:val="none" w:sz="0" w:space="0" w:color="auto"/>
          <w:bottom w:val="single" w:sz="6" w:space="0" w:color="BCBCBC" w:themeColor="background1"/>
          <w:right w:val="none" w:sz="0" w:space="0" w:color="auto"/>
          <w:insideV w:val="none" w:sz="0" w:space="0" w:color="auto"/>
        </w:tblBorders>
        <w:tblLook w:val="06A0" w:firstRow="1" w:lastRow="0" w:firstColumn="1" w:lastColumn="0" w:noHBand="1" w:noVBand="1"/>
      </w:tblPr>
      <w:tblGrid>
        <w:gridCol w:w="2739"/>
        <w:gridCol w:w="2812"/>
        <w:gridCol w:w="4087"/>
      </w:tblGrid>
      <w:tr w:rsidR="00AC55D3" w:rsidRPr="00840FE7" w14:paraId="72CD63D8" w14:textId="77777777" w:rsidTr="00D1547C">
        <w:trPr>
          <w:trHeight w:val="285"/>
        </w:trPr>
        <w:tc>
          <w:tcPr>
            <w:tcW w:w="2739" w:type="dxa"/>
            <w:shd w:val="clear" w:color="auto" w:fill="E99E6D" w:themeFill="accent3"/>
            <w:tcMar>
              <w:left w:w="105" w:type="dxa"/>
              <w:right w:w="105" w:type="dxa"/>
            </w:tcMar>
          </w:tcPr>
          <w:p w14:paraId="18144EE4" w14:textId="702135AA" w:rsidR="00AC55D3" w:rsidRPr="00840FE7" w:rsidRDefault="00765137" w:rsidP="000928E7">
            <w:pPr>
              <w:pStyle w:val="OikoTables02"/>
            </w:pPr>
            <w:r>
              <w:t>Purpose of application</w:t>
            </w:r>
          </w:p>
        </w:tc>
        <w:tc>
          <w:tcPr>
            <w:tcW w:w="2812" w:type="dxa"/>
            <w:shd w:val="clear" w:color="auto" w:fill="E99E6D" w:themeFill="accent3"/>
            <w:tcMar>
              <w:left w:w="105" w:type="dxa"/>
              <w:right w:w="105" w:type="dxa"/>
            </w:tcMar>
          </w:tcPr>
          <w:p w14:paraId="5E232DA2" w14:textId="77777777" w:rsidR="00AC55D3" w:rsidRPr="00840FE7" w:rsidRDefault="00AC55D3" w:rsidP="000928E7">
            <w:pPr>
              <w:pStyle w:val="OikoTables02"/>
            </w:pPr>
            <w:r>
              <w:t>Energy source</w:t>
            </w:r>
          </w:p>
        </w:tc>
        <w:tc>
          <w:tcPr>
            <w:tcW w:w="4087" w:type="dxa"/>
            <w:shd w:val="clear" w:color="auto" w:fill="E99E6D" w:themeFill="accent3"/>
            <w:tcMar>
              <w:left w:w="105" w:type="dxa"/>
              <w:right w:w="105" w:type="dxa"/>
            </w:tcMar>
          </w:tcPr>
          <w:p w14:paraId="069A9186" w14:textId="77777777" w:rsidR="00AC55D3" w:rsidRPr="00840FE7" w:rsidRDefault="00AC55D3" w:rsidP="000928E7">
            <w:pPr>
              <w:pStyle w:val="OikoTables02"/>
            </w:pPr>
            <w:r>
              <w:t>Technology</w:t>
            </w:r>
          </w:p>
        </w:tc>
      </w:tr>
      <w:tr w:rsidR="00AC55D3" w:rsidRPr="00840FE7" w14:paraId="5D3135D3" w14:textId="77777777" w:rsidTr="00D1547C">
        <w:trPr>
          <w:trHeight w:val="285"/>
        </w:trPr>
        <w:tc>
          <w:tcPr>
            <w:tcW w:w="2739" w:type="dxa"/>
            <w:tcMar>
              <w:left w:w="105" w:type="dxa"/>
              <w:right w:w="105" w:type="dxa"/>
            </w:tcMar>
          </w:tcPr>
          <w:p w14:paraId="4C7C4F14" w14:textId="77777777" w:rsidR="00AC55D3" w:rsidRPr="00840FE7" w:rsidRDefault="00AC55D3" w:rsidP="000928E7">
            <w:pPr>
              <w:pStyle w:val="OikoTables03Content"/>
            </w:pPr>
            <w:r>
              <w:t>Irrigation</w:t>
            </w:r>
          </w:p>
        </w:tc>
        <w:tc>
          <w:tcPr>
            <w:tcW w:w="2812" w:type="dxa"/>
            <w:tcMar>
              <w:left w:w="105" w:type="dxa"/>
              <w:right w:w="105" w:type="dxa"/>
            </w:tcMar>
          </w:tcPr>
          <w:p w14:paraId="57F2849C" w14:textId="77777777" w:rsidR="00AC55D3" w:rsidRPr="00840FE7" w:rsidRDefault="00AC55D3" w:rsidP="000928E7">
            <w:pPr>
              <w:pStyle w:val="OikoTables03Content"/>
            </w:pPr>
            <w:r>
              <w:t>Solar panels</w:t>
            </w:r>
          </w:p>
          <w:p w14:paraId="0DD6466B" w14:textId="77777777" w:rsidR="00AC55D3" w:rsidRPr="00840FE7" w:rsidRDefault="00AC55D3" w:rsidP="000928E7">
            <w:pPr>
              <w:pStyle w:val="OikoTables03Content"/>
            </w:pPr>
            <w:r>
              <w:t>Solar photo-voltaic cells</w:t>
            </w:r>
          </w:p>
          <w:p w14:paraId="70582001" w14:textId="77777777" w:rsidR="00AC55D3" w:rsidRPr="00840FE7" w:rsidRDefault="00AC55D3" w:rsidP="000928E7">
            <w:pPr>
              <w:pStyle w:val="OikoTables03Content"/>
            </w:pPr>
            <w:r>
              <w:t>PV panels</w:t>
            </w:r>
          </w:p>
          <w:p w14:paraId="7FD0BBD9" w14:textId="77777777" w:rsidR="00AC55D3" w:rsidRPr="00840FE7" w:rsidRDefault="00AC55D3" w:rsidP="000928E7">
            <w:pPr>
              <w:pStyle w:val="OikoTables03Content"/>
            </w:pPr>
            <w:r>
              <w:t>(Wind, geothermal energy)</w:t>
            </w:r>
          </w:p>
        </w:tc>
        <w:tc>
          <w:tcPr>
            <w:tcW w:w="4087" w:type="dxa"/>
            <w:tcMar>
              <w:left w:w="105" w:type="dxa"/>
              <w:right w:w="105" w:type="dxa"/>
            </w:tcMar>
          </w:tcPr>
          <w:p w14:paraId="05C36CD8" w14:textId="77777777" w:rsidR="00AC55D3" w:rsidRPr="00840FE7" w:rsidRDefault="00AC55D3" w:rsidP="000928E7">
            <w:pPr>
              <w:pStyle w:val="OikoTables03Content"/>
              <w:rPr>
                <w:rFonts w:eastAsia="Times New Roman" w:cs="Times New Roman"/>
              </w:rPr>
            </w:pPr>
            <w:r>
              <w:rPr>
                <w:rFonts w:eastAsia="Times New Roman" w:cs="Times New Roman"/>
              </w:rPr>
              <w:t>Pump for irrigation</w:t>
            </w:r>
          </w:p>
          <w:p w14:paraId="35335B6F" w14:textId="77777777" w:rsidR="00AC55D3" w:rsidRPr="00840FE7" w:rsidRDefault="00AC55D3" w:rsidP="000928E7">
            <w:pPr>
              <w:pStyle w:val="OikoTables03Content"/>
              <w:rPr>
                <w:rFonts w:eastAsia="Times New Roman" w:cs="Times New Roman"/>
              </w:rPr>
            </w:pPr>
            <w:r>
              <w:rPr>
                <w:rFonts w:eastAsia="Times New Roman" w:cs="Times New Roman"/>
              </w:rPr>
              <w:t>Field irrigation</w:t>
            </w:r>
          </w:p>
          <w:p w14:paraId="0E477750" w14:textId="77777777" w:rsidR="00AC55D3" w:rsidRPr="00840FE7" w:rsidRDefault="00AC55D3" w:rsidP="000928E7">
            <w:pPr>
              <w:pStyle w:val="OikoTables03Content"/>
              <w:rPr>
                <w:rFonts w:eastAsia="Times New Roman" w:cs="Times New Roman"/>
              </w:rPr>
            </w:pPr>
            <w:r>
              <w:rPr>
                <w:rFonts w:eastAsia="Times New Roman" w:cs="Times New Roman"/>
              </w:rPr>
              <w:t>Desalination system</w:t>
            </w:r>
          </w:p>
          <w:p w14:paraId="66B8DE33" w14:textId="77777777" w:rsidR="00AC55D3" w:rsidRPr="00840FE7" w:rsidRDefault="00AC55D3" w:rsidP="000928E7">
            <w:pPr>
              <w:pStyle w:val="OikoTables03Content"/>
              <w:rPr>
                <w:rFonts w:eastAsia="Times New Roman" w:cs="Times New Roman"/>
              </w:rPr>
            </w:pPr>
          </w:p>
        </w:tc>
      </w:tr>
      <w:tr w:rsidR="00AC55D3" w:rsidRPr="00840FE7" w14:paraId="05E4D96B" w14:textId="77777777" w:rsidTr="00D1547C">
        <w:trPr>
          <w:trHeight w:val="285"/>
        </w:trPr>
        <w:tc>
          <w:tcPr>
            <w:tcW w:w="2739" w:type="dxa"/>
            <w:tcMar>
              <w:left w:w="105" w:type="dxa"/>
              <w:right w:w="105" w:type="dxa"/>
            </w:tcMar>
          </w:tcPr>
          <w:p w14:paraId="43EABDB0" w14:textId="77777777" w:rsidR="00AC55D3" w:rsidRPr="00840FE7" w:rsidRDefault="00AC55D3" w:rsidP="000928E7">
            <w:pPr>
              <w:pStyle w:val="OikoTables03Content"/>
            </w:pPr>
            <w:r>
              <w:t>Greenhouse management</w:t>
            </w:r>
          </w:p>
        </w:tc>
        <w:tc>
          <w:tcPr>
            <w:tcW w:w="2812" w:type="dxa"/>
            <w:tcMar>
              <w:left w:w="105" w:type="dxa"/>
              <w:right w:w="105" w:type="dxa"/>
            </w:tcMar>
          </w:tcPr>
          <w:p w14:paraId="1F7BE135" w14:textId="77777777" w:rsidR="00AC55D3" w:rsidRPr="00840FE7" w:rsidRDefault="00AC55D3" w:rsidP="000928E7">
            <w:pPr>
              <w:pStyle w:val="OikoTables03Content"/>
            </w:pPr>
            <w:r>
              <w:t>Photo-voltaic (PV) generator</w:t>
            </w:r>
          </w:p>
          <w:p w14:paraId="6E7B60AE" w14:textId="77777777" w:rsidR="00AC55D3" w:rsidRPr="00840FE7" w:rsidRDefault="00AC55D3" w:rsidP="000928E7">
            <w:pPr>
              <w:pStyle w:val="OikoTables03Content"/>
            </w:pPr>
            <w:r>
              <w:t>PV panels</w:t>
            </w:r>
          </w:p>
        </w:tc>
        <w:tc>
          <w:tcPr>
            <w:tcW w:w="4087" w:type="dxa"/>
            <w:tcMar>
              <w:left w:w="105" w:type="dxa"/>
              <w:right w:w="105" w:type="dxa"/>
            </w:tcMar>
          </w:tcPr>
          <w:p w14:paraId="0E38D66B" w14:textId="77777777" w:rsidR="00AC55D3" w:rsidRPr="00840FE7" w:rsidRDefault="00AC55D3" w:rsidP="000928E7">
            <w:pPr>
              <w:pStyle w:val="OikoTables03Content"/>
              <w:rPr>
                <w:rFonts w:eastAsia="Times New Roman" w:cs="Times New Roman"/>
              </w:rPr>
            </w:pPr>
            <w:r>
              <w:rPr>
                <w:rFonts w:eastAsia="Times New Roman" w:cs="Times New Roman"/>
              </w:rPr>
              <w:t>Ventilation and heating</w:t>
            </w:r>
          </w:p>
          <w:p w14:paraId="35868D3B" w14:textId="77777777" w:rsidR="00AC55D3" w:rsidRPr="00840FE7" w:rsidRDefault="00AC55D3" w:rsidP="000928E7">
            <w:pPr>
              <w:pStyle w:val="OikoTables03Content"/>
              <w:rPr>
                <w:rFonts w:eastAsia="Times New Roman" w:cs="Times New Roman"/>
              </w:rPr>
            </w:pPr>
            <w:r>
              <w:rPr>
                <w:rFonts w:eastAsia="Times New Roman" w:cs="Times New Roman"/>
              </w:rPr>
              <w:t>Photovoltaic, greenhouse tunnel</w:t>
            </w:r>
          </w:p>
        </w:tc>
      </w:tr>
      <w:tr w:rsidR="00AC55D3" w:rsidRPr="00840FE7" w14:paraId="515191E3" w14:textId="77777777" w:rsidTr="00D1547C">
        <w:trPr>
          <w:trHeight w:val="285"/>
        </w:trPr>
        <w:tc>
          <w:tcPr>
            <w:tcW w:w="2739" w:type="dxa"/>
            <w:tcMar>
              <w:left w:w="105" w:type="dxa"/>
              <w:right w:w="105" w:type="dxa"/>
            </w:tcMar>
          </w:tcPr>
          <w:p w14:paraId="37758E33" w14:textId="77777777" w:rsidR="00AC55D3" w:rsidRPr="00840FE7" w:rsidRDefault="00AC55D3" w:rsidP="000928E7">
            <w:pPr>
              <w:pStyle w:val="OikoTables03Content"/>
            </w:pPr>
            <w:r>
              <w:t xml:space="preserve">Monitoring/ regulating </w:t>
            </w:r>
          </w:p>
          <w:p w14:paraId="33DD1A70" w14:textId="77777777" w:rsidR="00AC55D3" w:rsidRPr="00840FE7" w:rsidRDefault="00AC55D3" w:rsidP="000928E7">
            <w:pPr>
              <w:pStyle w:val="OikoTables03Content"/>
            </w:pPr>
            <w:r>
              <w:t>system</w:t>
            </w:r>
          </w:p>
        </w:tc>
        <w:tc>
          <w:tcPr>
            <w:tcW w:w="2812" w:type="dxa"/>
            <w:tcMar>
              <w:left w:w="105" w:type="dxa"/>
              <w:right w:w="105" w:type="dxa"/>
            </w:tcMar>
          </w:tcPr>
          <w:p w14:paraId="444C0158" w14:textId="77777777" w:rsidR="00AC55D3" w:rsidRPr="00840FE7" w:rsidRDefault="00AC55D3" w:rsidP="000928E7">
            <w:pPr>
              <w:pStyle w:val="OikoTables03Content"/>
            </w:pPr>
            <w:r>
              <w:t>Solar powered notes</w:t>
            </w:r>
          </w:p>
          <w:p w14:paraId="32DC71D3" w14:textId="77777777" w:rsidR="00AC55D3" w:rsidRPr="00840FE7" w:rsidRDefault="00AC55D3" w:rsidP="000928E7">
            <w:pPr>
              <w:pStyle w:val="OikoTables03Content"/>
            </w:pPr>
            <w:r>
              <w:t>Solar panels</w:t>
            </w:r>
          </w:p>
          <w:p w14:paraId="4E0771DC" w14:textId="77777777" w:rsidR="00AC55D3" w:rsidRPr="00840FE7" w:rsidRDefault="00AC55D3" w:rsidP="000928E7">
            <w:pPr>
              <w:pStyle w:val="OikoTables03Content"/>
            </w:pPr>
            <w:r>
              <w:t>Photovoltaic</w:t>
            </w:r>
          </w:p>
        </w:tc>
        <w:tc>
          <w:tcPr>
            <w:tcW w:w="4087" w:type="dxa"/>
            <w:tcMar>
              <w:left w:w="105" w:type="dxa"/>
              <w:right w:w="105" w:type="dxa"/>
            </w:tcMar>
          </w:tcPr>
          <w:p w14:paraId="0EA7E655" w14:textId="77777777" w:rsidR="00AC55D3" w:rsidRPr="00840FE7" w:rsidRDefault="00AC55D3" w:rsidP="000928E7">
            <w:pPr>
              <w:pStyle w:val="OikoTables03Content"/>
              <w:rPr>
                <w:rFonts w:eastAsia="Times New Roman" w:cs="Times New Roman"/>
              </w:rPr>
            </w:pPr>
            <w:r>
              <w:rPr>
                <w:rFonts w:eastAsia="Times New Roman" w:cs="Times New Roman"/>
              </w:rPr>
              <w:t>Precision agriculture</w:t>
            </w:r>
          </w:p>
          <w:p w14:paraId="5A3C0373" w14:textId="77777777" w:rsidR="00AC55D3" w:rsidRPr="00840FE7" w:rsidRDefault="00AC55D3" w:rsidP="000928E7">
            <w:pPr>
              <w:pStyle w:val="OikoTables03Content"/>
              <w:rPr>
                <w:rFonts w:eastAsia="Times New Roman" w:cs="Times New Roman"/>
              </w:rPr>
            </w:pPr>
            <w:r>
              <w:rPr>
                <w:rFonts w:eastAsia="Times New Roman" w:cs="Times New Roman"/>
              </w:rPr>
              <w:t>Wireless sensor network</w:t>
            </w:r>
          </w:p>
          <w:p w14:paraId="4B5D31F0" w14:textId="77777777" w:rsidR="00AC55D3" w:rsidRPr="00840FE7" w:rsidRDefault="00AC55D3" w:rsidP="000928E7">
            <w:pPr>
              <w:pStyle w:val="OikoTables03Content"/>
              <w:rPr>
                <w:rFonts w:eastAsia="Times New Roman" w:cs="Times New Roman"/>
              </w:rPr>
            </w:pPr>
            <w:r>
              <w:rPr>
                <w:rFonts w:eastAsia="Times New Roman" w:cs="Times New Roman"/>
              </w:rPr>
              <w:t>Humidity sensors</w:t>
            </w:r>
          </w:p>
        </w:tc>
      </w:tr>
      <w:tr w:rsidR="00AC55D3" w:rsidRPr="00840FE7" w14:paraId="1522D9A3" w14:textId="77777777" w:rsidTr="00D1547C">
        <w:trPr>
          <w:trHeight w:val="825"/>
        </w:trPr>
        <w:tc>
          <w:tcPr>
            <w:tcW w:w="2739" w:type="dxa"/>
            <w:tcMar>
              <w:left w:w="105" w:type="dxa"/>
              <w:right w:w="105" w:type="dxa"/>
            </w:tcMar>
          </w:tcPr>
          <w:p w14:paraId="4156992A" w14:textId="77777777" w:rsidR="00AC55D3" w:rsidRPr="00840FE7" w:rsidRDefault="00AC55D3" w:rsidP="000928E7">
            <w:pPr>
              <w:pStyle w:val="OikoTables03Content"/>
            </w:pPr>
            <w:r>
              <w:t>Water pumping system</w:t>
            </w:r>
          </w:p>
        </w:tc>
        <w:tc>
          <w:tcPr>
            <w:tcW w:w="2812" w:type="dxa"/>
            <w:tcMar>
              <w:left w:w="105" w:type="dxa"/>
              <w:right w:w="105" w:type="dxa"/>
            </w:tcMar>
          </w:tcPr>
          <w:p w14:paraId="323EC915" w14:textId="77777777" w:rsidR="00AC55D3" w:rsidRPr="00840FE7" w:rsidRDefault="00AC55D3" w:rsidP="000928E7">
            <w:pPr>
              <w:pStyle w:val="OikoTables03Content"/>
            </w:pPr>
            <w:r>
              <w:t>Solar PV water pumping system</w:t>
            </w:r>
          </w:p>
        </w:tc>
        <w:tc>
          <w:tcPr>
            <w:tcW w:w="4087" w:type="dxa"/>
            <w:tcMar>
              <w:left w:w="105" w:type="dxa"/>
              <w:right w:w="105" w:type="dxa"/>
            </w:tcMar>
          </w:tcPr>
          <w:p w14:paraId="2DB508E4" w14:textId="77777777" w:rsidR="00AC55D3" w:rsidRPr="00840FE7" w:rsidRDefault="00AC55D3" w:rsidP="000928E7">
            <w:pPr>
              <w:pStyle w:val="OikoTables03Content"/>
              <w:rPr>
                <w:rFonts w:eastAsia="Times New Roman" w:cs="Times New Roman"/>
              </w:rPr>
            </w:pPr>
            <w:r>
              <w:rPr>
                <w:rFonts w:eastAsia="Times New Roman" w:cs="Times New Roman"/>
              </w:rPr>
              <w:t>Brushless DC (direct current) motors, centrifugal and positive displacement pump</w:t>
            </w:r>
          </w:p>
        </w:tc>
      </w:tr>
      <w:tr w:rsidR="00AC55D3" w:rsidRPr="00840FE7" w14:paraId="7488AAF7" w14:textId="77777777" w:rsidTr="00D1547C">
        <w:trPr>
          <w:trHeight w:val="285"/>
        </w:trPr>
        <w:tc>
          <w:tcPr>
            <w:tcW w:w="2739" w:type="dxa"/>
            <w:tcMar>
              <w:left w:w="105" w:type="dxa"/>
              <w:right w:w="105" w:type="dxa"/>
            </w:tcMar>
          </w:tcPr>
          <w:p w14:paraId="75040EA4" w14:textId="77777777" w:rsidR="00AC55D3" w:rsidRPr="00840FE7" w:rsidRDefault="00AC55D3" w:rsidP="000928E7">
            <w:pPr>
              <w:pStyle w:val="OikoTables03Content"/>
            </w:pPr>
            <w:r>
              <w:t>Drying</w:t>
            </w:r>
          </w:p>
        </w:tc>
        <w:tc>
          <w:tcPr>
            <w:tcW w:w="2812" w:type="dxa"/>
            <w:tcMar>
              <w:left w:w="105" w:type="dxa"/>
              <w:right w:w="105" w:type="dxa"/>
            </w:tcMar>
          </w:tcPr>
          <w:p w14:paraId="37B28DE8" w14:textId="77777777" w:rsidR="00AC55D3" w:rsidRPr="00840FE7" w:rsidRDefault="00AC55D3" w:rsidP="000928E7">
            <w:pPr>
              <w:pStyle w:val="OikoTables03Content"/>
            </w:pPr>
            <w:r>
              <w:t>Solar drying system</w:t>
            </w:r>
          </w:p>
        </w:tc>
        <w:tc>
          <w:tcPr>
            <w:tcW w:w="4087" w:type="dxa"/>
            <w:tcMar>
              <w:left w:w="105" w:type="dxa"/>
              <w:right w:w="105" w:type="dxa"/>
            </w:tcMar>
          </w:tcPr>
          <w:p w14:paraId="57FADF83" w14:textId="77777777" w:rsidR="00AC55D3" w:rsidRPr="00840FE7" w:rsidRDefault="00AC55D3" w:rsidP="000928E7">
            <w:pPr>
              <w:pStyle w:val="OikoTables03Content"/>
              <w:rPr>
                <w:rFonts w:eastAsia="Times New Roman" w:cs="Times New Roman"/>
              </w:rPr>
            </w:pPr>
            <w:r>
              <w:rPr>
                <w:rFonts w:eastAsia="Times New Roman" w:cs="Times New Roman"/>
              </w:rPr>
              <w:t>Phase change material (PCM) based thermal storage</w:t>
            </w:r>
          </w:p>
          <w:p w14:paraId="4E5D8373" w14:textId="77777777" w:rsidR="00AC55D3" w:rsidRPr="00840FE7" w:rsidRDefault="00AC55D3" w:rsidP="000928E7">
            <w:pPr>
              <w:pStyle w:val="OikoTables03Content"/>
              <w:rPr>
                <w:rFonts w:eastAsia="Times New Roman" w:cs="Times New Roman"/>
              </w:rPr>
            </w:pPr>
            <w:r>
              <w:rPr>
                <w:rFonts w:eastAsia="Times New Roman" w:cs="Times New Roman"/>
              </w:rPr>
              <w:t>Heat pump based solar microwave drying</w:t>
            </w:r>
          </w:p>
        </w:tc>
      </w:tr>
      <w:tr w:rsidR="00AC55D3" w:rsidRPr="00840FE7" w14:paraId="40123C0F" w14:textId="77777777" w:rsidTr="00D1547C">
        <w:trPr>
          <w:trHeight w:val="285"/>
        </w:trPr>
        <w:tc>
          <w:tcPr>
            <w:tcW w:w="2739" w:type="dxa"/>
            <w:tcMar>
              <w:left w:w="105" w:type="dxa"/>
              <w:right w:w="105" w:type="dxa"/>
            </w:tcMar>
          </w:tcPr>
          <w:p w14:paraId="3A13BDEB" w14:textId="77777777" w:rsidR="00AC55D3" w:rsidRPr="00840FE7" w:rsidRDefault="00AC55D3" w:rsidP="000928E7">
            <w:pPr>
              <w:pStyle w:val="OikoTables03Content"/>
            </w:pPr>
            <w:r>
              <w:t>Desalination</w:t>
            </w:r>
          </w:p>
        </w:tc>
        <w:tc>
          <w:tcPr>
            <w:tcW w:w="2812" w:type="dxa"/>
            <w:tcMar>
              <w:left w:w="105" w:type="dxa"/>
              <w:right w:w="105" w:type="dxa"/>
            </w:tcMar>
          </w:tcPr>
          <w:p w14:paraId="2269A156" w14:textId="77777777" w:rsidR="00AC55D3" w:rsidRPr="00840FE7" w:rsidRDefault="00AC55D3" w:rsidP="000928E7">
            <w:pPr>
              <w:pStyle w:val="OikoTables03Content"/>
            </w:pPr>
            <w:r>
              <w:t>Solar collector, solar still</w:t>
            </w:r>
          </w:p>
          <w:p w14:paraId="495F263A" w14:textId="77777777" w:rsidR="00AC55D3" w:rsidRPr="00840FE7" w:rsidRDefault="00AC55D3" w:rsidP="000928E7">
            <w:pPr>
              <w:pStyle w:val="OikoTables03Content"/>
            </w:pPr>
          </w:p>
          <w:p w14:paraId="624A4B92" w14:textId="77777777" w:rsidR="00AC55D3" w:rsidRPr="00840FE7" w:rsidRDefault="00AC55D3" w:rsidP="000928E7">
            <w:pPr>
              <w:pStyle w:val="OikoTables03Content"/>
            </w:pPr>
            <w:r>
              <w:t>Air solar heater</w:t>
            </w:r>
          </w:p>
        </w:tc>
        <w:tc>
          <w:tcPr>
            <w:tcW w:w="4087" w:type="dxa"/>
            <w:tcMar>
              <w:left w:w="105" w:type="dxa"/>
              <w:right w:w="105" w:type="dxa"/>
            </w:tcMar>
          </w:tcPr>
          <w:p w14:paraId="57420B56" w14:textId="77777777" w:rsidR="00AC55D3" w:rsidRPr="00840FE7" w:rsidRDefault="00AC55D3" w:rsidP="000928E7">
            <w:pPr>
              <w:pStyle w:val="OikoTables03Content"/>
              <w:rPr>
                <w:rFonts w:eastAsia="Times New Roman" w:cs="Times New Roman"/>
              </w:rPr>
            </w:pPr>
            <w:r>
              <w:rPr>
                <w:rFonts w:eastAsia="Times New Roman" w:cs="Times New Roman"/>
              </w:rPr>
              <w:t>Solar assisted desalination system,</w:t>
            </w:r>
          </w:p>
          <w:p w14:paraId="1BB9C048" w14:textId="77777777" w:rsidR="00AC55D3" w:rsidRPr="00840FE7" w:rsidRDefault="00AC55D3" w:rsidP="000928E7">
            <w:pPr>
              <w:pStyle w:val="OikoTables03Content"/>
              <w:rPr>
                <w:rFonts w:eastAsia="Times New Roman" w:cs="Times New Roman"/>
              </w:rPr>
            </w:pPr>
            <w:r>
              <w:rPr>
                <w:rFonts w:eastAsia="Times New Roman" w:cs="Times New Roman"/>
              </w:rPr>
              <w:t>Desalination humidification system,    /reverse osmosis?</w:t>
            </w:r>
          </w:p>
        </w:tc>
      </w:tr>
      <w:tr w:rsidR="00AC55D3" w:rsidRPr="00840FE7" w14:paraId="1E1667DA" w14:textId="77777777" w:rsidTr="00D1547C">
        <w:trPr>
          <w:trHeight w:val="285"/>
        </w:trPr>
        <w:tc>
          <w:tcPr>
            <w:tcW w:w="2739" w:type="dxa"/>
            <w:tcMar>
              <w:left w:w="105" w:type="dxa"/>
              <w:right w:w="105" w:type="dxa"/>
            </w:tcMar>
          </w:tcPr>
          <w:p w14:paraId="1696E43E" w14:textId="77777777" w:rsidR="00AC55D3" w:rsidRPr="00840FE7" w:rsidRDefault="00AC55D3" w:rsidP="000928E7">
            <w:pPr>
              <w:pStyle w:val="OikoTables03Content"/>
            </w:pPr>
            <w:r>
              <w:t>Refrigeration</w:t>
            </w:r>
          </w:p>
        </w:tc>
        <w:tc>
          <w:tcPr>
            <w:tcW w:w="2812" w:type="dxa"/>
            <w:tcMar>
              <w:left w:w="105" w:type="dxa"/>
              <w:right w:w="105" w:type="dxa"/>
            </w:tcMar>
          </w:tcPr>
          <w:p w14:paraId="35BEDB5E" w14:textId="77777777" w:rsidR="00AC55D3" w:rsidRPr="00840FE7" w:rsidRDefault="00AC55D3" w:rsidP="000928E7">
            <w:pPr>
              <w:pStyle w:val="OikoTables03Content"/>
            </w:pPr>
            <w:r>
              <w:t>Photovoltaic panel</w:t>
            </w:r>
          </w:p>
          <w:p w14:paraId="75F26B81" w14:textId="77777777" w:rsidR="00AC55D3" w:rsidRPr="00840FE7" w:rsidRDefault="00AC55D3" w:rsidP="000928E7">
            <w:pPr>
              <w:pStyle w:val="OikoTables03Content"/>
            </w:pPr>
            <w:r>
              <w:t>Solar thermal collector</w:t>
            </w:r>
          </w:p>
          <w:p w14:paraId="70132334" w14:textId="77777777" w:rsidR="00AC55D3" w:rsidRPr="00840FE7" w:rsidRDefault="00AC55D3" w:rsidP="000928E7">
            <w:pPr>
              <w:pStyle w:val="OikoTables03Content"/>
            </w:pPr>
            <w:r>
              <w:t>Solar energy</w:t>
            </w:r>
          </w:p>
        </w:tc>
        <w:tc>
          <w:tcPr>
            <w:tcW w:w="4087" w:type="dxa"/>
            <w:tcMar>
              <w:left w:w="105" w:type="dxa"/>
              <w:right w:w="105" w:type="dxa"/>
            </w:tcMar>
          </w:tcPr>
          <w:p w14:paraId="293A7F19" w14:textId="77777777" w:rsidR="00AC55D3" w:rsidRPr="00840FE7" w:rsidRDefault="00AC55D3" w:rsidP="000928E7">
            <w:pPr>
              <w:pStyle w:val="OikoTables03Content"/>
              <w:rPr>
                <w:rFonts w:eastAsia="Times New Roman" w:cs="Times New Roman"/>
              </w:rPr>
            </w:pPr>
            <w:r>
              <w:rPr>
                <w:rFonts w:eastAsia="Times New Roman" w:cs="Times New Roman"/>
              </w:rPr>
              <w:t>Vapor compression cycle</w:t>
            </w:r>
          </w:p>
          <w:p w14:paraId="442AA9A3" w14:textId="77777777" w:rsidR="00AC55D3" w:rsidRPr="00840FE7" w:rsidRDefault="00AC55D3" w:rsidP="000928E7">
            <w:pPr>
              <w:pStyle w:val="OikoTables03Content"/>
              <w:rPr>
                <w:rFonts w:eastAsia="Times New Roman" w:cs="Times New Roman"/>
              </w:rPr>
            </w:pPr>
            <w:r>
              <w:rPr>
                <w:rFonts w:eastAsia="Times New Roman" w:cs="Times New Roman"/>
              </w:rPr>
              <w:t>Steam jet cycle</w:t>
            </w:r>
          </w:p>
          <w:p w14:paraId="33BABDF6" w14:textId="77777777" w:rsidR="00AC55D3" w:rsidRPr="00840FE7" w:rsidRDefault="00AC55D3" w:rsidP="000928E7">
            <w:pPr>
              <w:pStyle w:val="OikoTables03Content"/>
              <w:rPr>
                <w:rFonts w:eastAsia="Times New Roman" w:cs="Times New Roman"/>
              </w:rPr>
            </w:pPr>
            <w:r>
              <w:rPr>
                <w:rFonts w:eastAsia="Times New Roman" w:cs="Times New Roman"/>
              </w:rPr>
              <w:t xml:space="preserve">Adsorption </w:t>
            </w:r>
            <w:proofErr w:type="spellStart"/>
            <w:r>
              <w:rPr>
                <w:rFonts w:eastAsia="Times New Roman" w:cs="Times New Roman"/>
              </w:rPr>
              <w:t>refrigiration</w:t>
            </w:r>
            <w:proofErr w:type="spellEnd"/>
            <w:r>
              <w:rPr>
                <w:rFonts w:eastAsia="Times New Roman" w:cs="Times New Roman"/>
              </w:rPr>
              <w:t xml:space="preserve"> technology</w:t>
            </w:r>
          </w:p>
        </w:tc>
      </w:tr>
      <w:tr w:rsidR="00AC55D3" w:rsidRPr="00840FE7" w14:paraId="587E9A9A" w14:textId="77777777" w:rsidTr="00D1547C">
        <w:trPr>
          <w:trHeight w:val="285"/>
        </w:trPr>
        <w:tc>
          <w:tcPr>
            <w:tcW w:w="2739" w:type="dxa"/>
            <w:tcMar>
              <w:left w:w="105" w:type="dxa"/>
              <w:right w:w="105" w:type="dxa"/>
            </w:tcMar>
          </w:tcPr>
          <w:p w14:paraId="5C9AD5BC" w14:textId="77777777" w:rsidR="00AC55D3" w:rsidRPr="00840FE7" w:rsidRDefault="00AC55D3" w:rsidP="000928E7">
            <w:pPr>
              <w:pStyle w:val="OikoTables03Content"/>
            </w:pPr>
            <w:r>
              <w:t>Distillation</w:t>
            </w:r>
          </w:p>
        </w:tc>
        <w:tc>
          <w:tcPr>
            <w:tcW w:w="2812" w:type="dxa"/>
            <w:tcMar>
              <w:left w:w="105" w:type="dxa"/>
              <w:right w:w="105" w:type="dxa"/>
            </w:tcMar>
          </w:tcPr>
          <w:p w14:paraId="3B066856" w14:textId="77777777" w:rsidR="00AC55D3" w:rsidRPr="00840FE7" w:rsidRDefault="00AC55D3" w:rsidP="000928E7">
            <w:pPr>
              <w:pStyle w:val="OikoTables03Content"/>
            </w:pPr>
            <w:r>
              <w:t>Solar driven</w:t>
            </w:r>
          </w:p>
          <w:p w14:paraId="7FDD7950" w14:textId="77777777" w:rsidR="00AC55D3" w:rsidRPr="00840FE7" w:rsidRDefault="00AC55D3" w:rsidP="000928E7">
            <w:pPr>
              <w:pStyle w:val="OikoTables03Content"/>
            </w:pPr>
            <w:r>
              <w:t>Solar energy</w:t>
            </w:r>
          </w:p>
        </w:tc>
        <w:tc>
          <w:tcPr>
            <w:tcW w:w="4087" w:type="dxa"/>
            <w:tcMar>
              <w:left w:w="105" w:type="dxa"/>
              <w:right w:w="105" w:type="dxa"/>
            </w:tcMar>
          </w:tcPr>
          <w:p w14:paraId="6E83FC9A" w14:textId="77777777" w:rsidR="00AC55D3" w:rsidRPr="00840FE7" w:rsidRDefault="00AC55D3" w:rsidP="000928E7">
            <w:pPr>
              <w:pStyle w:val="OikoTables03Content"/>
              <w:rPr>
                <w:rFonts w:eastAsia="Times New Roman" w:cs="Times New Roman"/>
              </w:rPr>
            </w:pPr>
            <w:r>
              <w:rPr>
                <w:rFonts w:eastAsia="Times New Roman" w:cs="Times New Roman"/>
              </w:rPr>
              <w:t xml:space="preserve">Direct contact </w:t>
            </w:r>
            <w:proofErr w:type="spellStart"/>
            <w:r>
              <w:rPr>
                <w:rFonts w:eastAsia="Times New Roman" w:cs="Times New Roman"/>
              </w:rPr>
              <w:t>membran</w:t>
            </w:r>
            <w:proofErr w:type="spellEnd"/>
            <w:r>
              <w:rPr>
                <w:rFonts w:eastAsia="Times New Roman" w:cs="Times New Roman"/>
              </w:rPr>
              <w:t xml:space="preserve"> distillation (essential oils)</w:t>
            </w:r>
          </w:p>
        </w:tc>
      </w:tr>
      <w:tr w:rsidR="00D1547C" w:rsidRPr="00840FE7" w14:paraId="452AD288" w14:textId="77777777" w:rsidTr="00221FEE">
        <w:trPr>
          <w:trHeight w:val="285"/>
        </w:trPr>
        <w:tc>
          <w:tcPr>
            <w:tcW w:w="9638" w:type="dxa"/>
            <w:gridSpan w:val="3"/>
            <w:tcMar>
              <w:left w:w="105" w:type="dxa"/>
              <w:right w:w="105" w:type="dxa"/>
            </w:tcMar>
          </w:tcPr>
          <w:p w14:paraId="195DF91F" w14:textId="03397A3E" w:rsidR="00D1547C" w:rsidRPr="00D1547C" w:rsidRDefault="00D1547C" w:rsidP="000928E7">
            <w:pPr>
              <w:pStyle w:val="OikoTables03Content"/>
              <w:rPr>
                <w:rFonts w:eastAsia="Times New Roman" w:cs="Times New Roman"/>
                <w:i/>
                <w:iCs/>
              </w:rPr>
            </w:pPr>
            <w:r w:rsidRPr="00D1547C">
              <w:rPr>
                <w:rFonts w:eastAsia="Times New Roman" w:cs="Times New Roman"/>
                <w:i/>
                <w:iCs/>
              </w:rPr>
              <w:t>Source: OIKO elaboration based on the renewable-energy assessment in Section 7.4, Global Solar Atlas solar-resource data for Mongolia, CTCN field mission observations in Dundgovi and Uvurkhangai, and expert inputs on agricultural photovoltaic applications</w:t>
            </w:r>
          </w:p>
        </w:tc>
      </w:tr>
    </w:tbl>
    <w:p w14:paraId="28C11CE1" w14:textId="5587413E" w:rsidR="00DF75F8" w:rsidRDefault="00DF75F8" w:rsidP="00D16E24">
      <w:pPr>
        <w:spacing w:after="120" w:line="240" w:lineRule="auto"/>
        <w:contextualSpacing w:val="0"/>
        <w:jc w:val="left"/>
      </w:pPr>
    </w:p>
    <w:p w14:paraId="0622C81D" w14:textId="0F72CE0B" w:rsidR="00DF75F8" w:rsidRDefault="00DF75F8" w:rsidP="00D16E24">
      <w:pPr>
        <w:spacing w:after="120" w:line="240" w:lineRule="auto"/>
        <w:contextualSpacing w:val="0"/>
        <w:jc w:val="left"/>
      </w:pPr>
    </w:p>
    <w:p w14:paraId="6DE41C61" w14:textId="7DEE8D22" w:rsidR="00DF75F8" w:rsidRDefault="00DF75F8" w:rsidP="00D16E24">
      <w:pPr>
        <w:spacing w:after="120" w:line="240" w:lineRule="auto"/>
        <w:contextualSpacing w:val="0"/>
        <w:jc w:val="left"/>
      </w:pPr>
    </w:p>
    <w:p w14:paraId="694CA175" w14:textId="3BDAF73F" w:rsidR="0092738E" w:rsidRDefault="0092738E" w:rsidP="00D16E24">
      <w:pPr>
        <w:spacing w:after="120" w:line="240" w:lineRule="auto"/>
        <w:contextualSpacing w:val="0"/>
        <w:jc w:val="left"/>
      </w:pPr>
    </w:p>
    <w:p w14:paraId="5A4BFB62" w14:textId="2FF7D417" w:rsidR="0092738E" w:rsidRDefault="0092738E" w:rsidP="00D16E24">
      <w:pPr>
        <w:spacing w:after="120" w:line="240" w:lineRule="auto"/>
        <w:contextualSpacing w:val="0"/>
        <w:jc w:val="left"/>
      </w:pPr>
    </w:p>
    <w:p w14:paraId="603EB8A0" w14:textId="613DC91C" w:rsidR="0092738E" w:rsidRDefault="0092738E" w:rsidP="00D16E24">
      <w:pPr>
        <w:spacing w:after="120" w:line="240" w:lineRule="auto"/>
        <w:contextualSpacing w:val="0"/>
        <w:jc w:val="left"/>
      </w:pPr>
    </w:p>
    <w:sectPr w:rsidR="0092738E" w:rsidSect="00DB5947">
      <w:headerReference w:type="default" r:id="rId121"/>
      <w:footerReference w:type="default" r:id="rId122"/>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4FBF0" w14:textId="77777777" w:rsidR="002C6363" w:rsidRPr="00E35798" w:rsidRDefault="002C6363" w:rsidP="00AE4FDA">
      <w:pPr>
        <w:spacing w:line="240" w:lineRule="auto"/>
      </w:pPr>
      <w:r w:rsidRPr="00E35798">
        <w:separator/>
      </w:r>
    </w:p>
  </w:endnote>
  <w:endnote w:type="continuationSeparator" w:id="0">
    <w:p w14:paraId="030DA85D" w14:textId="77777777" w:rsidR="002C6363" w:rsidRPr="00E35798" w:rsidRDefault="002C6363" w:rsidP="00AE4FDA">
      <w:pPr>
        <w:spacing w:line="240" w:lineRule="auto"/>
      </w:pPr>
      <w:r w:rsidRPr="00E35798">
        <w:continuationSeparator/>
      </w:r>
    </w:p>
  </w:endnote>
  <w:endnote w:type="continuationNotice" w:id="1">
    <w:p w14:paraId="39C2A602" w14:textId="77777777" w:rsidR="002C6363" w:rsidRPr="00E35798" w:rsidRDefault="002C63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raphik Semibold">
    <w:altName w:val="苹方-简"/>
    <w:panose1 w:val="020B070303020206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raphik Extralight">
    <w:altName w:val="苹方-简"/>
    <w:panose1 w:val="020B0303030202060203"/>
    <w:charset w:val="00"/>
    <w:family w:val="swiss"/>
    <w:pitch w:val="variable"/>
    <w:sig w:usb0="00000007" w:usb1="00000000" w:usb2="00000000" w:usb3="00000000" w:csb0="00000093" w:csb1="00000000"/>
  </w:font>
  <w:font w:name="Graphik Regular">
    <w:altName w:val="苹方-简"/>
    <w:panose1 w:val="020B0503030202060203"/>
    <w:charset w:val="00"/>
    <w:family w:val="swiss"/>
    <w:pitch w:val="variable"/>
    <w:sig w:usb0="00000007" w:usb1="00000000" w:usb2="00000000" w:usb3="00000000" w:csb0="00000093" w:csb1="00000000"/>
  </w:font>
  <w:font w:name="Saol Text Light">
    <w:altName w:val="苹方-简"/>
    <w:panose1 w:val="00000400000000000000"/>
    <w:charset w:val="00"/>
    <w:family w:val="auto"/>
    <w:pitch w:val="variable"/>
    <w:sig w:usb0="00000007" w:usb1="00000001" w:usb2="00000000" w:usb3="00000000" w:csb0="00000093" w:csb1="00000000"/>
  </w:font>
  <w:font w:name="Graphik Bold">
    <w:altName w:val="苹方-简"/>
    <w:panose1 w:val="020B0803030202060203"/>
    <w:charset w:val="00"/>
    <w:family w:val="swiss"/>
    <w:pitch w:val="variable"/>
    <w:sig w:usb0="00000007" w:usb1="00000000" w:usb2="00000000" w:usb3="00000000" w:csb0="00000093" w:csb1="00000000"/>
  </w:font>
  <w:font w:name="Graphik Light">
    <w:altName w:val="苹方-简"/>
    <w:panose1 w:val="020B0403030202060203"/>
    <w:charset w:val="00"/>
    <w:family w:val="swiss"/>
    <w:pitch w:val="variable"/>
    <w:sig w:usb0="00000007" w:usb1="00000000" w:usb2="00000000" w:usb3="00000000" w:csb0="00000093" w:csb1="00000000"/>
  </w:font>
  <w:font w:name="Aptos Extra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F441" w14:textId="7037CF68" w:rsidR="005E76D1" w:rsidRPr="00E35798" w:rsidRDefault="00B371A3" w:rsidP="00B371A3">
    <w:pPr>
      <w:pStyle w:val="Footer"/>
    </w:pPr>
    <w:r w:rsidRPr="00E35798">
      <w:rPr>
        <w:noProof/>
      </w:rPr>
      <w:drawing>
        <wp:anchor distT="0" distB="0" distL="114300" distR="114300" simplePos="0" relativeHeight="251658242" behindDoc="1" locked="0" layoutInCell="1" allowOverlap="1" wp14:anchorId="2CFDD32F" wp14:editId="4680B422">
          <wp:simplePos x="0" y="0"/>
          <wp:positionH relativeFrom="rightMargin">
            <wp:posOffset>-720090</wp:posOffset>
          </wp:positionH>
          <wp:positionV relativeFrom="bottomMargin">
            <wp:posOffset>337185</wp:posOffset>
          </wp:positionV>
          <wp:extent cx="720000" cy="180000"/>
          <wp:effectExtent l="0" t="0" r="4445" b="0"/>
          <wp:wrapNone/>
          <wp:docPr id="2038636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20000" cy="18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5CA8C" w14:textId="77777777" w:rsidR="002C6363" w:rsidRPr="00E35798" w:rsidRDefault="002C6363" w:rsidP="00AE4FDA">
      <w:pPr>
        <w:spacing w:line="240" w:lineRule="auto"/>
      </w:pPr>
      <w:r w:rsidRPr="00E35798">
        <w:separator/>
      </w:r>
    </w:p>
  </w:footnote>
  <w:footnote w:type="continuationSeparator" w:id="0">
    <w:p w14:paraId="5D3D9FED" w14:textId="77777777" w:rsidR="002C6363" w:rsidRPr="00E35798" w:rsidRDefault="002C6363" w:rsidP="00AE4FDA">
      <w:pPr>
        <w:spacing w:line="240" w:lineRule="auto"/>
      </w:pPr>
      <w:r w:rsidRPr="00E35798">
        <w:continuationSeparator/>
      </w:r>
    </w:p>
  </w:footnote>
  <w:footnote w:type="continuationNotice" w:id="1">
    <w:p w14:paraId="7FDC5744" w14:textId="77777777" w:rsidR="002C6363" w:rsidRPr="00E35798" w:rsidRDefault="002C6363">
      <w:pPr>
        <w:spacing w:line="240" w:lineRule="auto"/>
      </w:pPr>
    </w:p>
  </w:footnote>
  <w:footnote w:id="2">
    <w:p w14:paraId="28D7549B" w14:textId="66357C13" w:rsidR="001852F2" w:rsidRDefault="001852F2" w:rsidP="001852F2">
      <w:pPr>
        <w:spacing w:line="230" w:lineRule="auto"/>
      </w:pPr>
      <w:r>
        <w:rPr>
          <w:rStyle w:val="FootnoteReference"/>
        </w:rPr>
        <w:footnoteRef/>
      </w:r>
      <w:r w:rsidR="00563935">
        <w:rPr>
          <w:rFonts w:eastAsia="Times New Roman" w:cs="Times New Roman"/>
          <w:sz w:val="18"/>
          <w:szCs w:val="18"/>
        </w:rPr>
        <w:t xml:space="preserve"> Agriculture accounts for about 10–11% of GDP and one third of employment; livestock represents roughly 80% of agricultural output and pasture about 73% of agricultural </w:t>
      </w:r>
      <w:proofErr w:type="gramStart"/>
      <w:r w:rsidR="00563935">
        <w:rPr>
          <w:rFonts w:eastAsia="Times New Roman" w:cs="Times New Roman"/>
          <w:sz w:val="18"/>
          <w:szCs w:val="18"/>
        </w:rPr>
        <w:t>land[</w:t>
      </w:r>
      <w:proofErr w:type="gramEnd"/>
      <w:r w:rsidR="00563935">
        <w:rPr>
          <w:rFonts w:eastAsia="Times New Roman" w:cs="Times New Roman"/>
          <w:sz w:val="18"/>
          <w:szCs w:val="18"/>
        </w:rPr>
        <w:t>18, 19].</w:t>
      </w:r>
    </w:p>
  </w:footnote>
  <w:footnote w:id="3">
    <w:p w14:paraId="67D57E4C" w14:textId="77249BF6" w:rsidR="001852F2" w:rsidRDefault="001852F2" w:rsidP="001852F2">
      <w:pPr>
        <w:spacing w:line="230" w:lineRule="auto"/>
      </w:pPr>
      <w:r>
        <w:rPr>
          <w:rStyle w:val="FootnoteReference"/>
        </w:rPr>
        <w:footnoteRef/>
      </w:r>
      <w:r w:rsidR="00563935">
        <w:rPr>
          <w:rFonts w:eastAsia="Times New Roman" w:cs="Times New Roman"/>
          <w:sz w:val="18"/>
          <w:szCs w:val="18"/>
        </w:rPr>
        <w:t xml:space="preserve"> National self-sufficiency for potato is estimated at about 100%, while roughly 30–40% of vegetable consumption is met through imports, concentrated in the off-season. [43]</w:t>
      </w:r>
    </w:p>
  </w:footnote>
  <w:footnote w:id="4">
    <w:p w14:paraId="045B0819" w14:textId="2249823F" w:rsidR="001852F2" w:rsidRDefault="001852F2" w:rsidP="001852F2">
      <w:pPr>
        <w:spacing w:line="230" w:lineRule="auto"/>
      </w:pPr>
      <w:r>
        <w:rPr>
          <w:rStyle w:val="FootnoteReference"/>
        </w:rPr>
        <w:footnoteRef/>
      </w:r>
      <w:r w:rsidR="00563935">
        <w:rPr>
          <w:rFonts w:eastAsia="Times New Roman" w:cs="Times New Roman"/>
          <w:sz w:val="18"/>
          <w:szCs w:val="18"/>
        </w:rPr>
        <w:t xml:space="preserve"> About 80% of vegetables are produced by small and medium-sized farmers on less than three hectares. [30]</w:t>
      </w:r>
    </w:p>
  </w:footnote>
  <w:footnote w:id="5">
    <w:p w14:paraId="153F736B" w14:textId="64F0AD98" w:rsidR="001852F2" w:rsidRDefault="001852F2" w:rsidP="001852F2">
      <w:pPr>
        <w:spacing w:line="230" w:lineRule="auto"/>
      </w:pPr>
      <w:r>
        <w:rPr>
          <w:rStyle w:val="FootnoteReference"/>
        </w:rPr>
        <w:footnoteRef/>
      </w:r>
      <w:r w:rsidR="0054308E">
        <w:rPr>
          <w:rFonts w:eastAsia="Times New Roman" w:cs="Times New Roman"/>
          <w:sz w:val="18"/>
          <w:szCs w:val="18"/>
        </w:rPr>
        <w:t xml:space="preserve"> According to Article 6 of the Constitution of Mongolia, land is State public property except limited plots owned by citizens.[48] The Land Law specifies that crop land is held under possession rights for 15–60 years by certificate; wells and water points on pastureland are common-tenure resources. [50] Registration is administered through the national e-land platform (egazar.gov.mn).</w:t>
      </w:r>
    </w:p>
  </w:footnote>
  <w:footnote w:id="6">
    <w:p w14:paraId="1CEAC842" w14:textId="6C42390A" w:rsidR="001852F2" w:rsidRDefault="001852F2" w:rsidP="001852F2">
      <w:pPr>
        <w:spacing w:line="230" w:lineRule="auto"/>
      </w:pPr>
      <w:bookmarkStart w:id="87" w:name="_Hlk233741716"/>
      <w:r>
        <w:rPr>
          <w:rStyle w:val="FootnoteReference"/>
        </w:rPr>
        <w:footnoteRef/>
      </w:r>
      <w:r>
        <w:rPr>
          <w:rFonts w:eastAsia="Times New Roman" w:cs="Times New Roman"/>
          <w:sz w:val="18"/>
          <w:szCs w:val="18"/>
        </w:rPr>
        <w:t xml:space="preserve"> Asset ownership and State production incentives are frequently registered to the (male) household head, although women perform a large share of the work.[19]</w:t>
      </w:r>
    </w:p>
    <w:bookmarkEnd w:id="87"/>
  </w:footnote>
  <w:footnote w:id="7">
    <w:p w14:paraId="7E25E0CE" w14:textId="77777777" w:rsidR="001852F2" w:rsidRDefault="001852F2" w:rsidP="001852F2">
      <w:pPr>
        <w:spacing w:line="230" w:lineRule="auto"/>
      </w:pPr>
      <w:r>
        <w:rPr>
          <w:rStyle w:val="FootnoteReference"/>
        </w:rPr>
        <w:footnoteRef/>
      </w:r>
      <w:r>
        <w:rPr>
          <w:rFonts w:eastAsia="Times New Roman" w:cs="Times New Roman"/>
          <w:sz w:val="18"/>
          <w:szCs w:val="18"/>
        </w:rPr>
        <w:t>Indicative beneficiary ranges are working estimates for project design, to be confirmed through household-level verification during implementation; they represent a subset of the active vegetable-producing households and enterprises in each province.</w:t>
      </w:r>
    </w:p>
  </w:footnote>
  <w:footnote w:id="8">
    <w:p w14:paraId="50276C3D" w14:textId="03999FAE" w:rsidR="00CA3072" w:rsidRDefault="00CA3072" w:rsidP="00CA3072">
      <w:pPr>
        <w:spacing w:line="230" w:lineRule="auto"/>
      </w:pPr>
      <w:bookmarkStart w:id="104" w:name="_Hlk233741947"/>
      <w:r>
        <w:rPr>
          <w:rStyle w:val="FootnoteReference"/>
        </w:rPr>
        <w:footnoteRef/>
      </w:r>
      <w:r w:rsidR="002551F8">
        <w:rPr>
          <w:rFonts w:eastAsia="Times New Roman" w:cs="Times New Roman"/>
          <w:sz w:val="18"/>
          <w:szCs w:val="18"/>
        </w:rPr>
        <w:t xml:space="preserve"> Mongolia's population in 2024 was about 3.5 million, of which roughly three quarters is urban and close to half lives in Ulaanbaatar. [44, 66]</w:t>
      </w:r>
    </w:p>
    <w:bookmarkEnd w:id="104"/>
  </w:footnote>
  <w:footnote w:id="9">
    <w:p w14:paraId="0E963D4C" w14:textId="74CB7975" w:rsidR="00CA3072" w:rsidRDefault="00CA3072" w:rsidP="00CA3072">
      <w:pPr>
        <w:spacing w:line="230" w:lineRule="auto"/>
      </w:pPr>
      <w:r>
        <w:rPr>
          <w:rStyle w:val="FootnoteReference"/>
        </w:rPr>
        <w:footnoteRef/>
      </w:r>
      <w:r w:rsidR="002551F8">
        <w:rPr>
          <w:rFonts w:eastAsia="Times New Roman" w:cs="Times New Roman"/>
          <w:sz w:val="18"/>
          <w:szCs w:val="18"/>
        </w:rPr>
        <w:t xml:space="preserve"> </w:t>
      </w:r>
      <w:r>
        <w:rPr>
          <w:rFonts w:eastAsia="Times New Roman" w:cs="Times New Roman"/>
          <w:sz w:val="18"/>
          <w:szCs w:val="18"/>
        </w:rPr>
        <w:t>Total market supply is defined as domestic production + imports − exports; national vegetable self-sufficiency in 2024 was 69.3%.</w:t>
      </w:r>
    </w:p>
  </w:footnote>
  <w:footnote w:id="10">
    <w:p w14:paraId="34BA3DFD" w14:textId="70DE7C3B" w:rsidR="00CA3072" w:rsidRDefault="00CA3072" w:rsidP="00CA3072">
      <w:pPr>
        <w:spacing w:line="230" w:lineRule="auto"/>
      </w:pPr>
      <w:r>
        <w:rPr>
          <w:rStyle w:val="FootnoteReference"/>
        </w:rPr>
        <w:footnoteRef/>
      </w:r>
      <w:r w:rsidR="002551F8">
        <w:rPr>
          <w:rFonts w:eastAsia="Times New Roman" w:cs="Times New Roman"/>
          <w:sz w:val="18"/>
          <w:szCs w:val="18"/>
        </w:rPr>
        <w:t xml:space="preserve"> Ministry of Health of Mongolia recommended dietary intake (260 g of vegetables per person per day, ≈ 95 kg per </w:t>
      </w:r>
      <w:proofErr w:type="gramStart"/>
      <w:r w:rsidR="002551F8">
        <w:rPr>
          <w:rFonts w:eastAsia="Times New Roman" w:cs="Times New Roman"/>
          <w:sz w:val="18"/>
          <w:szCs w:val="18"/>
        </w:rPr>
        <w:t>year)[</w:t>
      </w:r>
      <w:proofErr w:type="gramEnd"/>
      <w:r w:rsidR="002551F8">
        <w:rPr>
          <w:rFonts w:eastAsia="Times New Roman" w:cs="Times New Roman"/>
          <w:sz w:val="18"/>
          <w:szCs w:val="18"/>
        </w:rPr>
        <w:t xml:space="preserve">5]; and </w:t>
      </w:r>
      <w:proofErr w:type="spellStart"/>
      <w:r w:rsidR="002551F8">
        <w:rPr>
          <w:rFonts w:eastAsia="Times New Roman" w:cs="Times New Roman"/>
          <w:sz w:val="18"/>
          <w:szCs w:val="18"/>
        </w:rPr>
        <w:t>Azjaragl</w:t>
      </w:r>
      <w:proofErr w:type="spellEnd"/>
      <w:r w:rsidR="002551F8">
        <w:rPr>
          <w:rFonts w:eastAsia="Times New Roman" w:cs="Times New Roman"/>
          <w:sz w:val="18"/>
          <w:szCs w:val="18"/>
        </w:rPr>
        <w:t xml:space="preserve"> et al. (2023) found that actual vegetable intake is well below recommended and EAT-Lancet planetary-health-diet levels.[3]</w:t>
      </w:r>
    </w:p>
  </w:footnote>
  <w:footnote w:id="11">
    <w:p w14:paraId="0053EC55" w14:textId="4094DE57" w:rsidR="00CA3072" w:rsidRDefault="00CA3072" w:rsidP="00CA3072">
      <w:pPr>
        <w:spacing w:line="230" w:lineRule="auto"/>
      </w:pPr>
      <w:r>
        <w:rPr>
          <w:rStyle w:val="FootnoteReference"/>
        </w:rPr>
        <w:footnoteRef/>
      </w:r>
      <w:r w:rsidR="002551F8">
        <w:rPr>
          <w:rFonts w:eastAsia="Times New Roman" w:cs="Times New Roman"/>
          <w:sz w:val="18"/>
          <w:szCs w:val="18"/>
        </w:rPr>
        <w:t xml:space="preserve"> Provincial vegetable self-sufficiency is reported below 30% in Uvurkhangai and about 6.5% (vegetables) / 23% (potato and vegetables combined) in </w:t>
      </w:r>
      <w:proofErr w:type="gramStart"/>
      <w:r w:rsidR="002551F8">
        <w:rPr>
          <w:rFonts w:eastAsia="Times New Roman" w:cs="Times New Roman"/>
          <w:sz w:val="18"/>
          <w:szCs w:val="18"/>
        </w:rPr>
        <w:t>Dundgovi.[</w:t>
      </w:r>
      <w:proofErr w:type="gramEnd"/>
      <w:r w:rsidR="002551F8">
        <w:rPr>
          <w:rFonts w:eastAsia="Times New Roman" w:cs="Times New Roman"/>
          <w:sz w:val="18"/>
          <w:szCs w:val="18"/>
        </w:rPr>
        <w:t>12, 13, 14, 45, 46]</w:t>
      </w:r>
    </w:p>
  </w:footnote>
  <w:footnote w:id="12">
    <w:p w14:paraId="7CB1EAB7" w14:textId="504A0296" w:rsidR="00CA3072" w:rsidRDefault="00CA3072" w:rsidP="00CA3072">
      <w:pPr>
        <w:spacing w:line="230" w:lineRule="auto"/>
      </w:pPr>
      <w:r>
        <w:rPr>
          <w:rStyle w:val="FootnoteReference"/>
        </w:rPr>
        <w:footnoteRef/>
      </w:r>
      <w:r w:rsidR="004F2A8F">
        <w:rPr>
          <w:rFonts w:eastAsia="Times New Roman" w:cs="Times New Roman"/>
          <w:sz w:val="18"/>
          <w:szCs w:val="18"/>
        </w:rPr>
        <w:t xml:space="preserve"> About 80% of vegetables are produced by small and medium-sized farmers on less than three hectares.[30]</w:t>
      </w:r>
    </w:p>
  </w:footnote>
  <w:footnote w:id="13">
    <w:p w14:paraId="09B2E19B" w14:textId="77777777" w:rsidR="00926DAA" w:rsidRDefault="00CF1518">
      <w:pPr>
        <w:pStyle w:val="FootnoteText"/>
        <w:rPr>
          <w:rFonts w:ascii="Times New Roman" w:hAnsi="Times New Roman" w:cs="Times New Roman"/>
          <w:sz w:val="20"/>
        </w:rPr>
      </w:pPr>
      <w:r>
        <w:rPr>
          <w:rStyle w:val="FootnoteReference"/>
          <w:rFonts w:ascii="Times New Roman" w:hAnsi="Times New Roman" w:cs="Times New Roman"/>
          <w:sz w:val="20"/>
        </w:rPr>
        <w:footnoteRef/>
      </w:r>
      <w:r>
        <w:rPr>
          <w:rFonts w:ascii="Times New Roman" w:hAnsi="Times New Roman" w:cs="Times New Roman"/>
          <w:sz w:val="20"/>
        </w:rPr>
        <w:t xml:space="preserve"> FAO (2015). Agroforestry — Definitional framework. Food and Agriculture Organization of the United Nations, Rome, https://www.fao.org/forestry/agroforestry/80338/en/; USDA National Agroforestry </w:t>
      </w:r>
      <w:proofErr w:type="spellStart"/>
      <w:r>
        <w:rPr>
          <w:rFonts w:ascii="Times New Roman" w:hAnsi="Times New Roman" w:cs="Times New Roman"/>
          <w:sz w:val="20"/>
        </w:rPr>
        <w:t>Center</w:t>
      </w:r>
      <w:proofErr w:type="spellEnd"/>
      <w:r>
        <w:rPr>
          <w:rFonts w:ascii="Times New Roman" w:hAnsi="Times New Roman" w:cs="Times New Roman"/>
          <w:sz w:val="20"/>
        </w:rPr>
        <w:t xml:space="preserve"> (2019). What is Agroforestry? United States Department of Agriculture, https://www.fs.usda.gov/nac/.</w:t>
      </w:r>
    </w:p>
  </w:footnote>
  <w:footnote w:id="14">
    <w:p w14:paraId="27364F38" w14:textId="1E7E4616" w:rsidR="00765137" w:rsidRPr="00006770" w:rsidRDefault="00765137">
      <w:pPr>
        <w:pStyle w:val="FootnoteText"/>
        <w:rPr>
          <w:rFonts w:ascii="Times New Roman" w:hAnsi="Times New Roman" w:cs="Times New Roman"/>
          <w:i w:val="0"/>
          <w:iCs/>
          <w:sz w:val="20"/>
          <w:lang w:val="en-US"/>
        </w:rPr>
      </w:pPr>
      <w:r w:rsidRPr="00006770">
        <w:rPr>
          <w:rStyle w:val="FootnoteReference"/>
          <w:rFonts w:ascii="Times New Roman" w:hAnsi="Times New Roman" w:cs="Times New Roman"/>
          <w:i w:val="0"/>
          <w:iCs/>
          <w:color w:val="auto"/>
          <w:sz w:val="20"/>
        </w:rPr>
        <w:footnoteRef/>
      </w:r>
      <w:r w:rsidRPr="00006770">
        <w:rPr>
          <w:rFonts w:ascii="Times New Roman" w:hAnsi="Times New Roman" w:cs="Times New Roman"/>
          <w:i w:val="0"/>
          <w:iCs/>
          <w:color w:val="auto"/>
          <w:sz w:val="20"/>
        </w:rPr>
        <w:t xml:space="preserve"> </w:t>
      </w:r>
      <w:r w:rsidR="00006770" w:rsidRPr="00006770">
        <w:rPr>
          <w:rFonts w:ascii="Times New Roman" w:hAnsi="Times New Roman" w:cs="Times New Roman"/>
          <w:i w:val="0"/>
          <w:iCs/>
          <w:color w:val="auto"/>
          <w:sz w:val="20"/>
          <w:lang w:val="en-US"/>
        </w:rPr>
        <w:t xml:space="preserve">Source: </w:t>
      </w:r>
      <w:proofErr w:type="spellStart"/>
      <w:r w:rsidR="00006770">
        <w:rPr>
          <w:rFonts w:ascii="Times New Roman" w:hAnsi="Times New Roman" w:cs="Times New Roman"/>
          <w:i w:val="0"/>
          <w:iCs/>
          <w:color w:val="auto"/>
          <w:sz w:val="20"/>
          <w:lang w:val="en-US"/>
        </w:rPr>
        <w:t>Tegshbayar</w:t>
      </w:r>
      <w:proofErr w:type="spellEnd"/>
      <w:r w:rsidR="00006770">
        <w:rPr>
          <w:rFonts w:ascii="Times New Roman" w:hAnsi="Times New Roman" w:cs="Times New Roman"/>
          <w:i w:val="0"/>
          <w:iCs/>
          <w:color w:val="auto"/>
          <w:sz w:val="20"/>
          <w:lang w:val="en-US"/>
        </w:rPr>
        <w:t xml:space="preserve">, S. (2023). Technology manual for construction of solar winter greenhouses. Deutsche Gesellschaft für </w:t>
      </w:r>
      <w:proofErr w:type="spellStart"/>
      <w:r w:rsidR="00006770">
        <w:rPr>
          <w:rFonts w:ascii="Times New Roman" w:hAnsi="Times New Roman" w:cs="Times New Roman"/>
          <w:i w:val="0"/>
          <w:iCs/>
          <w:color w:val="auto"/>
          <w:sz w:val="20"/>
          <w:lang w:val="en-US"/>
        </w:rPr>
        <w:t>Internationale</w:t>
      </w:r>
      <w:proofErr w:type="spellEnd"/>
      <w:r w:rsidR="00006770">
        <w:rPr>
          <w:rFonts w:ascii="Times New Roman" w:hAnsi="Times New Roman" w:cs="Times New Roman"/>
          <w:i w:val="0"/>
          <w:iCs/>
          <w:color w:val="auto"/>
          <w:sz w:val="20"/>
          <w:lang w:val="en-US"/>
        </w:rPr>
        <w:t xml:space="preserve"> Zusammenarbeit GmbH (GIZ).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8A22" w14:textId="5CF3F560" w:rsidR="00AE4FDA" w:rsidRPr="00E35798" w:rsidRDefault="00782B92" w:rsidP="006D4974">
    <w:r w:rsidRPr="00E35798">
      <w:rPr>
        <w:caps/>
        <w:noProof/>
        <w:color w:val="BCBCBC" w:themeColor="background1"/>
      </w:rPr>
      <mc:AlternateContent>
        <mc:Choice Requires="wps">
          <w:drawing>
            <wp:anchor distT="0" distB="0" distL="114300" distR="114300" simplePos="0" relativeHeight="251658241" behindDoc="0" locked="0" layoutInCell="0" allowOverlap="1" wp14:anchorId="2CADF120" wp14:editId="786833F8">
              <wp:simplePos x="0" y="0"/>
              <wp:positionH relativeFrom="margin">
                <wp:posOffset>-176530</wp:posOffset>
              </wp:positionH>
              <wp:positionV relativeFrom="topMargin">
                <wp:posOffset>219075</wp:posOffset>
              </wp:positionV>
              <wp:extent cx="5828665" cy="359410"/>
              <wp:effectExtent l="0" t="0" r="0" b="2540"/>
              <wp:wrapNone/>
              <wp:docPr id="60098295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66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B90D7" w14:textId="47E88D14" w:rsidR="005E76D1" w:rsidRPr="00E35798" w:rsidRDefault="00080091" w:rsidP="00C268B1">
                          <w:pPr>
                            <w:pStyle w:val="Header"/>
                            <w:tabs>
                              <w:tab w:val="clear" w:pos="4419"/>
                            </w:tabs>
                            <w:ind w:right="-51"/>
                          </w:pPr>
                          <w:r w:rsidRPr="00E35798">
                            <w:t>Reducing Smallholder Farmers vulnerability to climate change impacts including water scarcity in Mongolia through ecosystem-based adaptation (</w:t>
                          </w:r>
                          <w:proofErr w:type="spellStart"/>
                          <w:r w:rsidRPr="00E35798">
                            <w:t>EbA</w:t>
                          </w:r>
                          <w:proofErr w:type="spellEnd"/>
                          <w:r w:rsidRPr="00E35798">
                            <w:t>) and digitalized risk mitigation insurance solutions</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CADF120" id="_x0000_t202" coordsize="21600,21600" o:spt="202" path="m,l,21600r21600,l21600,xe">
              <v:stroke joinstyle="miter"/>
              <v:path gradientshapeok="t" o:connecttype="rect"/>
            </v:shapetype>
            <v:shape id="Text Box 220" o:spid="_x0000_s1028" type="#_x0000_t202" style="position:absolute;left:0;text-align:left;margin-left:-13.9pt;margin-top:17.25pt;width:458.95pt;height:28.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pn3gEAAJsDAAAOAAAAZHJzL2Uyb0RvYy54bWysU9tu2zAMfR+wfxD0vjjOkiA14hRdiw4D&#10;ugvQ7QNkWbKF2aJGKbGzrx8lJ2m3vhV7EUSKPjznkN5ej33HDgq9AVvyfDbnTFkJtbFNyX98v3+3&#10;4cwHYWvRgVUlPyrPr3dv32wHV6gFtNDVChmBWF8MruRtCK7IMi9b1Qs/A6csPWrAXgQKsclqFAOh&#10;9122mM/X2QBYOwSpvKfs3fTIdwlfayXDV629CqwrOXEL6cR0VvHMdltRNChca+SJhngFi14YS00v&#10;UHciCLZH8wKqNxLBgw4zCX0GWhupkgZSk8//UfPYCqeSFjLHu4tN/v/Byi+HR/cNWRg/wEgDTCK8&#10;ewD50zMLt62wjbpBhKFVoqbGebQsG5wvTp9Gq33hI0g1fIaahiz2ARLQqLGPrpBORug0gOPFdDUG&#10;Jim52iw26/WKM0lv71dXyzxNJRPF+WuHPnxU0LN4KTnSUBO6ODz4ENmI4lwSm1m4N12XBtvZvxJU&#10;GDOJfSQ8UQ9jNVJ1VFFBfSQdCNOe0F7TpQX8zdlAO1Jy/2svUHHWfbLkxVW+XMalSgFd8Hm2OmeF&#10;lQRRchmQsym4DdMK7h2apqUek+8Wbsg5bZKoJz4nxrQBSetpW+OKPY9T1dM/tfsDAAD//wMAUEsD&#10;BBQABgAIAAAAIQBEP5xL4QAAAAkBAAAPAAAAZHJzL2Rvd25yZXYueG1sTI/NTsMwEITvSLyDtUhc&#10;UGu7f7QhToUqFcGxpUX05sZLErDXUey24e0xJziOZjTzTb7snWVn7ELjSYEcCmBIpTcNVQp2r+vB&#10;HFiImoy2nlDBNwZYFtdXuc6Mv9AGz9tYsVRCIdMK6hjbjPNQ1uh0GPoWKXkfvnM6JtlV3HT6ksqd&#10;5SMhZtzphtJCrVtc1Vh+bU9OgX0bH/h+vxL0spZPh+nm+f3zbqLU7U3/+AAsYh//wvCLn9ChSExH&#10;fyITmFUwGN0n9KhgPJkCS4H5QkhgRwULKYEXOf//oPgBAAD//wMAUEsBAi0AFAAGAAgAAAAhALaD&#10;OJL+AAAA4QEAABMAAAAAAAAAAAAAAAAAAAAAAFtDb250ZW50X1R5cGVzXS54bWxQSwECLQAUAAYA&#10;CAAAACEAOP0h/9YAAACUAQAACwAAAAAAAAAAAAAAAAAvAQAAX3JlbHMvLnJlbHNQSwECLQAUAAYA&#10;CAAAACEAAyMaZ94BAACbAwAADgAAAAAAAAAAAAAAAAAuAgAAZHJzL2Uyb0RvYy54bWxQSwECLQAU&#10;AAYACAAAACEARD+cS+EAAAAJAQAADwAAAAAAAAAAAAAAAAA4BAAAZHJzL2Rvd25yZXYueG1sUEsF&#10;BgAAAAAEAAQA8wAAAEYFAAAAAA==&#10;" o:allowincell="f" filled="f" stroked="f">
              <v:textbox inset=",0,,0">
                <w:txbxContent>
                  <w:p w14:paraId="122B90D7" w14:textId="47E88D14" w:rsidR="005E76D1" w:rsidRPr="00E35798" w:rsidRDefault="00080091" w:rsidP="00C268B1">
                    <w:pPr>
                      <w:pStyle w:val="Header"/>
                      <w:tabs>
                        <w:tab w:val="clear" w:pos="4419"/>
                      </w:tabs>
                      <w:ind w:right="-51"/>
                    </w:pPr>
                    <w:r w:rsidRPr="00E35798">
                      <w:t>Reducing Smallholder Farmers vulnerability to climate change impacts including water scarcity in Mongolia through ecosystem-based adaptation (</w:t>
                    </w:r>
                    <w:proofErr w:type="spellStart"/>
                    <w:r w:rsidRPr="00E35798">
                      <w:t>EbA</w:t>
                    </w:r>
                    <w:proofErr w:type="spellEnd"/>
                    <w:r w:rsidRPr="00E35798">
                      <w:t>) and digitalized risk mitigation insurance solutions</w:t>
                    </w:r>
                  </w:p>
                </w:txbxContent>
              </v:textbox>
              <w10:wrap anchorx="margin" anchory="margin"/>
            </v:shape>
          </w:pict>
        </mc:Fallback>
      </mc:AlternateContent>
    </w:r>
    <w:r w:rsidR="005E76D1" w:rsidRPr="00E35798">
      <w:rPr>
        <w:caps/>
        <w:noProof/>
        <w:color w:val="BCBCBC" w:themeColor="background1"/>
      </w:rPr>
      <mc:AlternateContent>
        <mc:Choice Requires="wps">
          <w:drawing>
            <wp:anchor distT="0" distB="0" distL="114300" distR="114300" simplePos="0" relativeHeight="251658240" behindDoc="0" locked="0" layoutInCell="0" allowOverlap="1" wp14:anchorId="5C45BF42" wp14:editId="4AC1F0D2">
              <wp:simplePos x="0" y="0"/>
              <wp:positionH relativeFrom="rightMargin">
                <wp:posOffset>-900430</wp:posOffset>
              </wp:positionH>
              <wp:positionV relativeFrom="topMargin">
                <wp:posOffset>288290</wp:posOffset>
              </wp:positionV>
              <wp:extent cx="911860" cy="126000"/>
              <wp:effectExtent l="0" t="0" r="0" b="7620"/>
              <wp:wrapNone/>
              <wp:docPr id="21437468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26000"/>
                      </a:xfrm>
                      <a:prstGeom prst="rect">
                        <a:avLst/>
                      </a:prstGeom>
                      <a:noFill/>
                      <a:ln>
                        <a:noFill/>
                      </a:ln>
                    </wps:spPr>
                    <wps:txbx>
                      <w:txbxContent>
                        <w:p w14:paraId="2C603118" w14:textId="77777777" w:rsidR="005E76D1" w:rsidRPr="00E35798" w:rsidRDefault="005E76D1" w:rsidP="005E76D1">
                          <w:pPr>
                            <w:spacing w:line="240" w:lineRule="auto"/>
                            <w:jc w:val="right"/>
                            <w:rPr>
                              <w:rStyle w:val="PageNumber"/>
                            </w:rPr>
                          </w:pPr>
                          <w:r w:rsidRPr="00E35798">
                            <w:rPr>
                              <w:rStyle w:val="PageNumber"/>
                            </w:rPr>
                            <w:fldChar w:fldCharType="begin"/>
                          </w:r>
                          <w:r w:rsidRPr="00E35798">
                            <w:rPr>
                              <w:rStyle w:val="PageNumber"/>
                            </w:rPr>
                            <w:instrText xml:space="preserve"> PAGE   \* MERGEFORMAT </w:instrText>
                          </w:r>
                          <w:r w:rsidRPr="00E35798">
                            <w:rPr>
                              <w:rStyle w:val="PageNumber"/>
                            </w:rPr>
                            <w:fldChar w:fldCharType="separate"/>
                          </w:r>
                          <w:r w:rsidRPr="00E35798">
                            <w:rPr>
                              <w:rStyle w:val="PageNumber"/>
                            </w:rPr>
                            <w:t>2</w:t>
                          </w:r>
                          <w:r w:rsidRPr="00E35798">
                            <w:rPr>
                              <w:rStyle w:val="PageNumber"/>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C45BF42" id="Text Box 221" o:spid="_x0000_s1029" type="#_x0000_t202" style="position:absolute;left:0;text-align:left;margin-left:-70.9pt;margin-top:22.7pt;width:71.8pt;height:9.9pt;z-index:251658240;visibility:visible;mso-wrap-style:square;mso-width-percent:1000;mso-height-percent:0;mso-wrap-distance-left:9pt;mso-wrap-distance-top:0;mso-wrap-distance-right:9pt;mso-wrap-distance-bottom:0;mso-position-horizontal:absolute;mso-position-horizontal-relative:right-margin-area;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c83QEAAKEDAAAOAAAAZHJzL2Uyb0RvYy54bWysU9tu2zAMfR+wfxD0vtgOiqA14hRdiwwD&#10;ugvQ7gMYWbaF2aJGKbGzrx8lJ2m3vQ17EURSPjznkF7fTkMvDpq8QVvJYpFLoa3C2ti2kt+et++u&#10;pfABbA09Wl3Jo/bydvP2zXp0pV5ih32tSTCI9eXoKtmF4Mos86rTA/gFOm252CANEDikNqsJRkYf&#10;+myZ56tsRKododLec/ZhLspNwm8arcKXpvE6iL6SzC2kk9K5i2e2WUPZErjOqBMN+AcWAxjLTS9Q&#10;DxBA7Mn8BTUYReixCQuFQ4ZNY5ROGlhNkf+h5qkDp5MWNse7i03+/8Gqz4cn95VEmN7jxANMIrx7&#10;RPXdC4v3HdhW3xHh2GmouXERLctG58vTp9FqX/oIshs/Yc1Dhn3ABDQ1NERXWKdgdB7A8WK6noJQ&#10;nLwpiusVVxSXiuUqz9NQMijPHzvy4YPGQcRLJYlnmsDh8OhDJAPl+UnsZXFr+j7Ntbe/JfhhzCTy&#10;ke/MPEy7SZj6pCxq2WF9ZDWE87bwdvOlQ/opxcibUkn/Yw+kpeg/Wnbkpri6iquVAr7Q6+zunAWr&#10;GKKSKpAUc3Af5kXcOzJtxz3O7t+xf1uTtL3wORHnPUiSTzsbF+11nF69/FmbXwAAAP//AwBQSwME&#10;FAAGAAgAAAAhAPVWwhneAAAACAEAAA8AAABkcnMvZG93bnJldi54bWxMj8FOwzAQRO9I/IO1SNxa&#10;J5VbQYhTISQ4oAIiILhu48WJiNchdtv073FPcBzNaOZNuZ5cL/Y0hs6zhnyegSBuvOnYanh/u59d&#10;gQgR2WDvmTQcKcC6Oj8rsTD+wK+0r6MVqYRDgRraGIdCytC05DDM/UCcvC8/OoxJjlaaEQ+p3PVy&#10;kWUr6bDjtNDiQHctNd/1zqWRjyc8Pmcb99I8/lw/fG5srZTV+vJiur0BEWmKf2E44Sd0qBLT1u/Y&#10;BNFrmOUqT+xRg1oqEKdEklsNq+UCZFXK/weqXwAAAP//AwBQSwECLQAUAAYACAAAACEAtoM4kv4A&#10;AADhAQAAEwAAAAAAAAAAAAAAAAAAAAAAW0NvbnRlbnRfVHlwZXNdLnhtbFBLAQItABQABgAIAAAA&#10;IQA4/SH/1gAAAJQBAAALAAAAAAAAAAAAAAAAAC8BAABfcmVscy8ucmVsc1BLAQItABQABgAIAAAA&#10;IQBSGyc83QEAAKEDAAAOAAAAAAAAAAAAAAAAAC4CAABkcnMvZTJvRG9jLnhtbFBLAQItABQABgAI&#10;AAAAIQD1VsIZ3gAAAAgBAAAPAAAAAAAAAAAAAAAAADcEAABkcnMvZG93bnJldi54bWxQSwUGAAAA&#10;AAQABADzAAAAQgUAAAAA&#10;" o:allowincell="f" filled="f" stroked="f">
              <v:textbox style="mso-fit-shape-to-text:t" inset=",0,,0">
                <w:txbxContent>
                  <w:p w14:paraId="2C603118" w14:textId="77777777" w:rsidR="005E76D1" w:rsidRPr="00E35798" w:rsidRDefault="005E76D1" w:rsidP="005E76D1">
                    <w:pPr>
                      <w:spacing w:line="240" w:lineRule="auto"/>
                      <w:jc w:val="right"/>
                      <w:rPr>
                        <w:rStyle w:val="PageNumber"/>
                      </w:rPr>
                    </w:pPr>
                    <w:r w:rsidRPr="00E35798">
                      <w:rPr>
                        <w:rStyle w:val="PageNumber"/>
                      </w:rPr>
                      <w:fldChar w:fldCharType="begin"/>
                    </w:r>
                    <w:r w:rsidRPr="00E35798">
                      <w:rPr>
                        <w:rStyle w:val="PageNumber"/>
                      </w:rPr>
                      <w:instrText xml:space="preserve"> PAGE   \* MERGEFORMAT </w:instrText>
                    </w:r>
                    <w:r w:rsidRPr="00E35798">
                      <w:rPr>
                        <w:rStyle w:val="PageNumber"/>
                      </w:rPr>
                      <w:fldChar w:fldCharType="separate"/>
                    </w:r>
                    <w:r w:rsidRPr="00E35798">
                      <w:rPr>
                        <w:rStyle w:val="PageNumber"/>
                      </w:rPr>
                      <w:t>2</w:t>
                    </w:r>
                    <w:r w:rsidRPr="00E35798">
                      <w:rPr>
                        <w:rStyle w:val="PageNumber"/>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DF6F89C"/>
    <w:lvl w:ilvl="0">
      <w:start w:val="1"/>
      <w:numFmt w:val="decimal"/>
      <w:pStyle w:val="ListNumber2"/>
      <w:lvlText w:val="%1."/>
      <w:lvlJc w:val="left"/>
      <w:pPr>
        <w:tabs>
          <w:tab w:val="num" w:pos="643"/>
        </w:tabs>
        <w:ind w:left="643" w:hanging="360"/>
      </w:pPr>
    </w:lvl>
  </w:abstractNum>
  <w:abstractNum w:abstractNumId="1" w15:restartNumberingAfterBreak="0">
    <w:nsid w:val="FFFFFF80"/>
    <w:multiLevelType w:val="singleLevel"/>
    <w:tmpl w:val="7D64C516"/>
    <w:lvl w:ilvl="0">
      <w:start w:val="1"/>
      <w:numFmt w:val="decimal"/>
      <w:pStyle w:val="ListBullet5"/>
      <w:lvlText w:val="%1."/>
      <w:lvlJc w:val="left"/>
      <w:pPr>
        <w:ind w:left="1211" w:hanging="360"/>
      </w:pPr>
      <w:rPr>
        <w:color w:val="F1C4A7" w:themeColor="accent3" w:themeTint="99"/>
        <w:sz w:val="24"/>
      </w:rPr>
    </w:lvl>
  </w:abstractNum>
  <w:abstractNum w:abstractNumId="2" w15:restartNumberingAfterBreak="0">
    <w:nsid w:val="FFFFFF81"/>
    <w:multiLevelType w:val="singleLevel"/>
    <w:tmpl w:val="5F20BBBA"/>
    <w:lvl w:ilvl="0">
      <w:start w:val="1"/>
      <w:numFmt w:val="bullet"/>
      <w:pStyle w:val="ListBullet4"/>
      <w:lvlText w:val="■"/>
      <w:lvlJc w:val="left"/>
      <w:pPr>
        <w:ind w:left="927" w:hanging="360"/>
      </w:pPr>
      <w:rPr>
        <w:rFonts w:ascii="Arial" w:hAnsi="Arial" w:hint="default"/>
        <w:color w:val="E99E6D" w:themeColor="accent3"/>
        <w:sz w:val="24"/>
      </w:rPr>
    </w:lvl>
  </w:abstractNum>
  <w:abstractNum w:abstractNumId="3" w15:restartNumberingAfterBreak="0">
    <w:nsid w:val="FFFFFF82"/>
    <w:multiLevelType w:val="singleLevel"/>
    <w:tmpl w:val="E02EDF6C"/>
    <w:lvl w:ilvl="0">
      <w:start w:val="1"/>
      <w:numFmt w:val="bullet"/>
      <w:pStyle w:val="ListBullet3"/>
      <w:lvlText w:val="■"/>
      <w:lvlJc w:val="left"/>
      <w:pPr>
        <w:ind w:left="927" w:hanging="360"/>
      </w:pPr>
      <w:rPr>
        <w:rFonts w:ascii="Arial" w:hAnsi="Arial" w:hint="default"/>
        <w:color w:val="DD6B22" w:themeColor="accent3" w:themeShade="BF"/>
        <w:sz w:val="24"/>
      </w:rPr>
    </w:lvl>
  </w:abstractNum>
  <w:abstractNum w:abstractNumId="4" w15:restartNumberingAfterBreak="0">
    <w:nsid w:val="FFFFFF83"/>
    <w:multiLevelType w:val="singleLevel"/>
    <w:tmpl w:val="FECA4C8E"/>
    <w:lvl w:ilvl="0">
      <w:start w:val="1"/>
      <w:numFmt w:val="bullet"/>
      <w:pStyle w:val="ListBullet2"/>
      <w:lvlText w:val="■"/>
      <w:lvlJc w:val="left"/>
      <w:pPr>
        <w:ind w:left="927" w:hanging="360"/>
      </w:pPr>
      <w:rPr>
        <w:rFonts w:ascii="Arial" w:hAnsi="Arial" w:hint="default"/>
        <w:color w:val="954816" w:themeColor="accent3" w:themeShade="80"/>
        <w:sz w:val="24"/>
      </w:rPr>
    </w:lvl>
  </w:abstractNum>
  <w:abstractNum w:abstractNumId="5" w15:restartNumberingAfterBreak="0">
    <w:nsid w:val="FFFFFF88"/>
    <w:multiLevelType w:val="singleLevel"/>
    <w:tmpl w:val="0A92C176"/>
    <w:lvl w:ilvl="0">
      <w:start w:val="1"/>
      <w:numFmt w:val="upperLetter"/>
      <w:pStyle w:val="ListNumber"/>
      <w:lvlText w:val="%1."/>
      <w:lvlJc w:val="left"/>
      <w:pPr>
        <w:ind w:left="360" w:hanging="360"/>
      </w:pPr>
    </w:lvl>
  </w:abstractNum>
  <w:abstractNum w:abstractNumId="6" w15:restartNumberingAfterBreak="0">
    <w:nsid w:val="FFFFFF89"/>
    <w:multiLevelType w:val="singleLevel"/>
    <w:tmpl w:val="EBF0E1E2"/>
    <w:lvl w:ilvl="0">
      <w:start w:val="1"/>
      <w:numFmt w:val="bullet"/>
      <w:pStyle w:val="ListBullet"/>
      <w:lvlText w:val="■"/>
      <w:lvlJc w:val="left"/>
      <w:pPr>
        <w:ind w:left="927" w:hanging="360"/>
      </w:pPr>
      <w:rPr>
        <w:rFonts w:ascii="Arial" w:hAnsi="Arial" w:hint="default"/>
        <w:color w:val="9F9F9F" w:themeColor="background1" w:themeShade="D9"/>
        <w:sz w:val="24"/>
      </w:rPr>
    </w:lvl>
  </w:abstractNum>
  <w:abstractNum w:abstractNumId="7" w15:restartNumberingAfterBreak="0">
    <w:nsid w:val="0000A991"/>
    <w:multiLevelType w:val="multilevel"/>
    <w:tmpl w:val="001462C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1D44C45"/>
    <w:multiLevelType w:val="hybridMultilevel"/>
    <w:tmpl w:val="50F65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DB2FFD"/>
    <w:multiLevelType w:val="hybridMultilevel"/>
    <w:tmpl w:val="C9C41E2A"/>
    <w:lvl w:ilvl="0" w:tplc="8B6A0710">
      <w:start w:val="1"/>
      <w:numFmt w:val="upperRoman"/>
      <w:lvlText w:val="%1."/>
      <w:lvlJc w:val="right"/>
      <w:pPr>
        <w:ind w:left="720" w:hanging="360"/>
      </w:pPr>
    </w:lvl>
    <w:lvl w:ilvl="1" w:tplc="3B081A10">
      <w:start w:val="1"/>
      <w:numFmt w:val="lowerLetter"/>
      <w:lvlText w:val="%2."/>
      <w:lvlJc w:val="left"/>
      <w:pPr>
        <w:ind w:left="1440" w:hanging="360"/>
      </w:pPr>
    </w:lvl>
    <w:lvl w:ilvl="2" w:tplc="5F88662E">
      <w:start w:val="1"/>
      <w:numFmt w:val="lowerRoman"/>
      <w:lvlText w:val="%3."/>
      <w:lvlJc w:val="right"/>
      <w:pPr>
        <w:ind w:left="2160" w:hanging="180"/>
      </w:pPr>
    </w:lvl>
    <w:lvl w:ilvl="3" w:tplc="53F67FA0">
      <w:start w:val="1"/>
      <w:numFmt w:val="decimal"/>
      <w:lvlText w:val="%4."/>
      <w:lvlJc w:val="left"/>
      <w:pPr>
        <w:ind w:left="2880" w:hanging="360"/>
      </w:pPr>
    </w:lvl>
    <w:lvl w:ilvl="4" w:tplc="B3E26264">
      <w:start w:val="1"/>
      <w:numFmt w:val="lowerLetter"/>
      <w:lvlText w:val="%5."/>
      <w:lvlJc w:val="left"/>
      <w:pPr>
        <w:ind w:left="3600" w:hanging="360"/>
      </w:pPr>
    </w:lvl>
    <w:lvl w:ilvl="5" w:tplc="FC2CA84C">
      <w:start w:val="1"/>
      <w:numFmt w:val="lowerRoman"/>
      <w:lvlText w:val="%6."/>
      <w:lvlJc w:val="right"/>
      <w:pPr>
        <w:ind w:left="4320" w:hanging="180"/>
      </w:pPr>
    </w:lvl>
    <w:lvl w:ilvl="6" w:tplc="D530167C">
      <w:start w:val="1"/>
      <w:numFmt w:val="decimal"/>
      <w:lvlText w:val="%7."/>
      <w:lvlJc w:val="left"/>
      <w:pPr>
        <w:ind w:left="5040" w:hanging="360"/>
      </w:pPr>
    </w:lvl>
    <w:lvl w:ilvl="7" w:tplc="DE5632DE">
      <w:start w:val="1"/>
      <w:numFmt w:val="lowerLetter"/>
      <w:lvlText w:val="%8."/>
      <w:lvlJc w:val="left"/>
      <w:pPr>
        <w:ind w:left="5760" w:hanging="360"/>
      </w:pPr>
    </w:lvl>
    <w:lvl w:ilvl="8" w:tplc="E716C95C">
      <w:start w:val="1"/>
      <w:numFmt w:val="lowerRoman"/>
      <w:lvlText w:val="%9."/>
      <w:lvlJc w:val="right"/>
      <w:pPr>
        <w:ind w:left="6480" w:hanging="180"/>
      </w:pPr>
    </w:lvl>
  </w:abstractNum>
  <w:abstractNum w:abstractNumId="10" w15:restartNumberingAfterBreak="0">
    <w:nsid w:val="06232ABB"/>
    <w:multiLevelType w:val="hybridMultilevel"/>
    <w:tmpl w:val="1BE8F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BB3AB2"/>
    <w:multiLevelType w:val="hybridMultilevel"/>
    <w:tmpl w:val="C49899D0"/>
    <w:lvl w:ilvl="0" w:tplc="DAF8DD24">
      <w:start w:val="1"/>
      <w:numFmt w:val="bullet"/>
      <w:pStyle w:val="OikoTables11"/>
      <w:lvlText w:val="■"/>
      <w:lvlJc w:val="left"/>
      <w:pPr>
        <w:ind w:left="360" w:hanging="360"/>
      </w:pPr>
      <w:rPr>
        <w:rFonts w:ascii="Arial" w:hAnsi="Arial" w:hint="default"/>
        <w:color w:val="FFDA27" w:themeColor="accent4"/>
        <w:sz w:val="24"/>
      </w:rPr>
    </w:lvl>
    <w:lvl w:ilvl="1" w:tplc="0ED0C628" w:tentative="1">
      <w:start w:val="1"/>
      <w:numFmt w:val="bullet"/>
      <w:lvlText w:val="o"/>
      <w:lvlJc w:val="left"/>
      <w:pPr>
        <w:ind w:left="1440" w:hanging="360"/>
      </w:pPr>
      <w:rPr>
        <w:rFonts w:ascii="Courier New" w:hAnsi="Courier New" w:cs="Courier New" w:hint="default"/>
      </w:rPr>
    </w:lvl>
    <w:lvl w:ilvl="2" w:tplc="A7F4AE40" w:tentative="1">
      <w:start w:val="1"/>
      <w:numFmt w:val="bullet"/>
      <w:lvlText w:val=""/>
      <w:lvlJc w:val="left"/>
      <w:pPr>
        <w:ind w:left="2160" w:hanging="360"/>
      </w:pPr>
      <w:rPr>
        <w:rFonts w:ascii="Wingdings" w:hAnsi="Wingdings" w:hint="default"/>
      </w:rPr>
    </w:lvl>
    <w:lvl w:ilvl="3" w:tplc="5156D4F4" w:tentative="1">
      <w:start w:val="1"/>
      <w:numFmt w:val="bullet"/>
      <w:lvlText w:val=""/>
      <w:lvlJc w:val="left"/>
      <w:pPr>
        <w:ind w:left="2880" w:hanging="360"/>
      </w:pPr>
      <w:rPr>
        <w:rFonts w:ascii="Symbol" w:hAnsi="Symbol" w:hint="default"/>
      </w:rPr>
    </w:lvl>
    <w:lvl w:ilvl="4" w:tplc="44469A78" w:tentative="1">
      <w:start w:val="1"/>
      <w:numFmt w:val="bullet"/>
      <w:lvlText w:val="o"/>
      <w:lvlJc w:val="left"/>
      <w:pPr>
        <w:ind w:left="3600" w:hanging="360"/>
      </w:pPr>
      <w:rPr>
        <w:rFonts w:ascii="Courier New" w:hAnsi="Courier New" w:cs="Courier New" w:hint="default"/>
      </w:rPr>
    </w:lvl>
    <w:lvl w:ilvl="5" w:tplc="84427D66" w:tentative="1">
      <w:start w:val="1"/>
      <w:numFmt w:val="bullet"/>
      <w:lvlText w:val=""/>
      <w:lvlJc w:val="left"/>
      <w:pPr>
        <w:ind w:left="4320" w:hanging="360"/>
      </w:pPr>
      <w:rPr>
        <w:rFonts w:ascii="Wingdings" w:hAnsi="Wingdings" w:hint="default"/>
      </w:rPr>
    </w:lvl>
    <w:lvl w:ilvl="6" w:tplc="2F9E208A" w:tentative="1">
      <w:start w:val="1"/>
      <w:numFmt w:val="bullet"/>
      <w:lvlText w:val=""/>
      <w:lvlJc w:val="left"/>
      <w:pPr>
        <w:ind w:left="5040" w:hanging="360"/>
      </w:pPr>
      <w:rPr>
        <w:rFonts w:ascii="Symbol" w:hAnsi="Symbol" w:hint="default"/>
      </w:rPr>
    </w:lvl>
    <w:lvl w:ilvl="7" w:tplc="C66E166E" w:tentative="1">
      <w:start w:val="1"/>
      <w:numFmt w:val="bullet"/>
      <w:lvlText w:val="o"/>
      <w:lvlJc w:val="left"/>
      <w:pPr>
        <w:ind w:left="5760" w:hanging="360"/>
      </w:pPr>
      <w:rPr>
        <w:rFonts w:ascii="Courier New" w:hAnsi="Courier New" w:cs="Courier New" w:hint="default"/>
      </w:rPr>
    </w:lvl>
    <w:lvl w:ilvl="8" w:tplc="C0B0C406" w:tentative="1">
      <w:start w:val="1"/>
      <w:numFmt w:val="bullet"/>
      <w:lvlText w:val=""/>
      <w:lvlJc w:val="left"/>
      <w:pPr>
        <w:ind w:left="6480" w:hanging="360"/>
      </w:pPr>
      <w:rPr>
        <w:rFonts w:ascii="Wingdings" w:hAnsi="Wingdings" w:hint="default"/>
      </w:rPr>
    </w:lvl>
  </w:abstractNum>
  <w:abstractNum w:abstractNumId="12" w15:restartNumberingAfterBreak="0">
    <w:nsid w:val="11F8DEF7"/>
    <w:multiLevelType w:val="hybridMultilevel"/>
    <w:tmpl w:val="50F41F4E"/>
    <w:lvl w:ilvl="0" w:tplc="3948CF1A">
      <w:start w:val="1"/>
      <w:numFmt w:val="lowerRoman"/>
      <w:lvlText w:val="(%1)"/>
      <w:lvlJc w:val="right"/>
      <w:pPr>
        <w:ind w:left="360" w:hanging="360"/>
      </w:pPr>
      <w:rPr>
        <w:rFonts w:ascii="Times New Roman" w:hAnsi="Times New Roman" w:hint="default"/>
      </w:rPr>
    </w:lvl>
    <w:lvl w:ilvl="1" w:tplc="986AAF3E">
      <w:start w:val="1"/>
      <w:numFmt w:val="lowerLetter"/>
      <w:lvlText w:val="%2."/>
      <w:lvlJc w:val="left"/>
      <w:pPr>
        <w:ind w:left="1440" w:hanging="360"/>
      </w:pPr>
    </w:lvl>
    <w:lvl w:ilvl="2" w:tplc="6F8CDF26">
      <w:start w:val="1"/>
      <w:numFmt w:val="lowerRoman"/>
      <w:lvlText w:val="%3."/>
      <w:lvlJc w:val="right"/>
      <w:pPr>
        <w:ind w:left="2160" w:hanging="180"/>
      </w:pPr>
    </w:lvl>
    <w:lvl w:ilvl="3" w:tplc="4AD8C43A">
      <w:start w:val="1"/>
      <w:numFmt w:val="decimal"/>
      <w:lvlText w:val="%4."/>
      <w:lvlJc w:val="left"/>
      <w:pPr>
        <w:ind w:left="2880" w:hanging="360"/>
      </w:pPr>
    </w:lvl>
    <w:lvl w:ilvl="4" w:tplc="72E8C3F2">
      <w:start w:val="1"/>
      <w:numFmt w:val="lowerLetter"/>
      <w:lvlText w:val="%5."/>
      <w:lvlJc w:val="left"/>
      <w:pPr>
        <w:ind w:left="3600" w:hanging="360"/>
      </w:pPr>
    </w:lvl>
    <w:lvl w:ilvl="5" w:tplc="AA0E5CC2">
      <w:start w:val="1"/>
      <w:numFmt w:val="lowerRoman"/>
      <w:lvlText w:val="%6."/>
      <w:lvlJc w:val="right"/>
      <w:pPr>
        <w:ind w:left="4320" w:hanging="180"/>
      </w:pPr>
    </w:lvl>
    <w:lvl w:ilvl="6" w:tplc="0A70D104">
      <w:start w:val="1"/>
      <w:numFmt w:val="decimal"/>
      <w:lvlText w:val="%7."/>
      <w:lvlJc w:val="left"/>
      <w:pPr>
        <w:ind w:left="5040" w:hanging="360"/>
      </w:pPr>
    </w:lvl>
    <w:lvl w:ilvl="7" w:tplc="068A4284">
      <w:start w:val="1"/>
      <w:numFmt w:val="lowerLetter"/>
      <w:lvlText w:val="%8."/>
      <w:lvlJc w:val="left"/>
      <w:pPr>
        <w:ind w:left="5760" w:hanging="360"/>
      </w:pPr>
    </w:lvl>
    <w:lvl w:ilvl="8" w:tplc="561CE72A">
      <w:start w:val="1"/>
      <w:numFmt w:val="lowerRoman"/>
      <w:lvlText w:val="%9."/>
      <w:lvlJc w:val="right"/>
      <w:pPr>
        <w:ind w:left="6480" w:hanging="180"/>
      </w:pPr>
    </w:lvl>
  </w:abstractNum>
  <w:abstractNum w:abstractNumId="13" w15:restartNumberingAfterBreak="0">
    <w:nsid w:val="15A345FF"/>
    <w:multiLevelType w:val="hybridMultilevel"/>
    <w:tmpl w:val="0AF81D2E"/>
    <w:lvl w:ilvl="0" w:tplc="2DD0EA04">
      <w:start w:val="1"/>
      <w:numFmt w:val="bullet"/>
      <w:pStyle w:val="StyleOikoTables07Firstline0cm"/>
      <w:lvlText w:val="■"/>
      <w:lvlJc w:val="left"/>
      <w:pPr>
        <w:ind w:left="1080" w:hanging="360"/>
      </w:pPr>
      <w:rPr>
        <w:rFonts w:ascii="Arial" w:hAnsi="Arial" w:hint="default"/>
        <w:color w:val="00946D" w:themeColor="accent2"/>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7443026"/>
    <w:multiLevelType w:val="multilevel"/>
    <w:tmpl w:val="0E202D54"/>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color w:val="DD6B22" w:themeColor="accent3" w:themeShade="BF"/>
        <w:specVanish w:val="0"/>
      </w:rPr>
    </w:lvl>
    <w:lvl w:ilvl="2">
      <w:start w:val="1"/>
      <w:numFmt w:val="decimal"/>
      <w:pStyle w:val="Heading3"/>
      <w:lvlText w:val="%1.%2.%3"/>
      <w:lvlJc w:val="left"/>
      <w:pPr>
        <w:ind w:left="1560" w:hanging="851"/>
      </w:p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964" w:hanging="9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ABD308E"/>
    <w:multiLevelType w:val="hybridMultilevel"/>
    <w:tmpl w:val="0E8208F2"/>
    <w:lvl w:ilvl="0" w:tplc="A35EBD66">
      <w:start w:val="1"/>
      <w:numFmt w:val="bullet"/>
      <w:lvlText w:val="■"/>
      <w:lvlJc w:val="left"/>
      <w:pPr>
        <w:ind w:left="360" w:hanging="360"/>
      </w:pPr>
      <w:rPr>
        <w:rFonts w:ascii="Arial" w:hAnsi="Arial" w:hint="default"/>
      </w:rPr>
    </w:lvl>
    <w:lvl w:ilvl="1" w:tplc="866EA5CA">
      <w:start w:val="1"/>
      <w:numFmt w:val="bullet"/>
      <w:lvlText w:val="o"/>
      <w:lvlJc w:val="left"/>
      <w:pPr>
        <w:ind w:left="1080" w:hanging="360"/>
      </w:pPr>
      <w:rPr>
        <w:rFonts w:ascii="Courier New" w:hAnsi="Courier New" w:hint="default"/>
      </w:rPr>
    </w:lvl>
    <w:lvl w:ilvl="2" w:tplc="BFA0DEBC">
      <w:start w:val="1"/>
      <w:numFmt w:val="bullet"/>
      <w:lvlText w:val=""/>
      <w:lvlJc w:val="left"/>
      <w:pPr>
        <w:ind w:left="1800" w:hanging="360"/>
      </w:pPr>
      <w:rPr>
        <w:rFonts w:ascii="Wingdings" w:hAnsi="Wingdings" w:hint="default"/>
      </w:rPr>
    </w:lvl>
    <w:lvl w:ilvl="3" w:tplc="6810C134">
      <w:start w:val="1"/>
      <w:numFmt w:val="bullet"/>
      <w:lvlText w:val=""/>
      <w:lvlJc w:val="left"/>
      <w:pPr>
        <w:ind w:left="2520" w:hanging="360"/>
      </w:pPr>
      <w:rPr>
        <w:rFonts w:ascii="Symbol" w:hAnsi="Symbol" w:hint="default"/>
      </w:rPr>
    </w:lvl>
    <w:lvl w:ilvl="4" w:tplc="5D726702">
      <w:start w:val="1"/>
      <w:numFmt w:val="bullet"/>
      <w:lvlText w:val="o"/>
      <w:lvlJc w:val="left"/>
      <w:pPr>
        <w:ind w:left="3240" w:hanging="360"/>
      </w:pPr>
      <w:rPr>
        <w:rFonts w:ascii="Courier New" w:hAnsi="Courier New" w:hint="default"/>
      </w:rPr>
    </w:lvl>
    <w:lvl w:ilvl="5" w:tplc="2EE46C70">
      <w:start w:val="1"/>
      <w:numFmt w:val="bullet"/>
      <w:lvlText w:val=""/>
      <w:lvlJc w:val="left"/>
      <w:pPr>
        <w:ind w:left="3960" w:hanging="360"/>
      </w:pPr>
      <w:rPr>
        <w:rFonts w:ascii="Wingdings" w:hAnsi="Wingdings" w:hint="default"/>
      </w:rPr>
    </w:lvl>
    <w:lvl w:ilvl="6" w:tplc="859A074E">
      <w:start w:val="1"/>
      <w:numFmt w:val="bullet"/>
      <w:lvlText w:val=""/>
      <w:lvlJc w:val="left"/>
      <w:pPr>
        <w:ind w:left="4680" w:hanging="360"/>
      </w:pPr>
      <w:rPr>
        <w:rFonts w:ascii="Symbol" w:hAnsi="Symbol" w:hint="default"/>
      </w:rPr>
    </w:lvl>
    <w:lvl w:ilvl="7" w:tplc="7E94991C">
      <w:start w:val="1"/>
      <w:numFmt w:val="bullet"/>
      <w:lvlText w:val="o"/>
      <w:lvlJc w:val="left"/>
      <w:pPr>
        <w:ind w:left="5400" w:hanging="360"/>
      </w:pPr>
      <w:rPr>
        <w:rFonts w:ascii="Courier New" w:hAnsi="Courier New" w:hint="default"/>
      </w:rPr>
    </w:lvl>
    <w:lvl w:ilvl="8" w:tplc="3F587D2C">
      <w:start w:val="1"/>
      <w:numFmt w:val="bullet"/>
      <w:lvlText w:val=""/>
      <w:lvlJc w:val="left"/>
      <w:pPr>
        <w:ind w:left="6120" w:hanging="360"/>
      </w:pPr>
      <w:rPr>
        <w:rFonts w:ascii="Wingdings" w:hAnsi="Wingdings" w:hint="default"/>
      </w:rPr>
    </w:lvl>
  </w:abstractNum>
  <w:abstractNum w:abstractNumId="16" w15:restartNumberingAfterBreak="0">
    <w:nsid w:val="1B6643F8"/>
    <w:multiLevelType w:val="hybridMultilevel"/>
    <w:tmpl w:val="A9F0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912D32"/>
    <w:multiLevelType w:val="hybridMultilevel"/>
    <w:tmpl w:val="411AE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F2A2B"/>
    <w:multiLevelType w:val="hybridMultilevel"/>
    <w:tmpl w:val="902ED246"/>
    <w:lvl w:ilvl="0" w:tplc="A544B1D6">
      <w:start w:val="1"/>
      <w:numFmt w:val="bullet"/>
      <w:pStyle w:val="OikoTables09"/>
      <w:lvlText w:val="■"/>
      <w:lvlJc w:val="left"/>
      <w:pPr>
        <w:ind w:left="360" w:hanging="360"/>
      </w:pPr>
      <w:rPr>
        <w:rFonts w:ascii="Arial" w:hAnsi="Arial" w:hint="default"/>
        <w:color w:val="E99E6D" w:themeColor="accent3"/>
        <w:sz w:val="24"/>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28F757BF"/>
    <w:multiLevelType w:val="multilevel"/>
    <w:tmpl w:val="E2F43786"/>
    <w:styleLink w:val="OikoStyleRomans"/>
    <w:lvl w:ilvl="0">
      <w:start w:val="1"/>
      <w:numFmt w:val="upperRoman"/>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49828F"/>
    <w:multiLevelType w:val="hybridMultilevel"/>
    <w:tmpl w:val="7C123BE0"/>
    <w:lvl w:ilvl="0" w:tplc="7752ED0C">
      <w:start w:val="1"/>
      <w:numFmt w:val="bullet"/>
      <w:lvlText w:val=""/>
      <w:lvlJc w:val="left"/>
      <w:pPr>
        <w:ind w:left="360" w:hanging="360"/>
      </w:pPr>
      <w:rPr>
        <w:rFonts w:ascii="Symbol" w:hAnsi="Symbol" w:hint="default"/>
      </w:rPr>
    </w:lvl>
    <w:lvl w:ilvl="1" w:tplc="6622A2E2">
      <w:start w:val="1"/>
      <w:numFmt w:val="bullet"/>
      <w:lvlText w:val="o"/>
      <w:lvlJc w:val="left"/>
      <w:pPr>
        <w:ind w:left="1440" w:hanging="360"/>
      </w:pPr>
      <w:rPr>
        <w:rFonts w:ascii="Courier New" w:hAnsi="Courier New" w:hint="default"/>
      </w:rPr>
    </w:lvl>
    <w:lvl w:ilvl="2" w:tplc="38463978">
      <w:start w:val="1"/>
      <w:numFmt w:val="bullet"/>
      <w:lvlText w:val=""/>
      <w:lvlJc w:val="left"/>
      <w:pPr>
        <w:ind w:left="2160" w:hanging="360"/>
      </w:pPr>
      <w:rPr>
        <w:rFonts w:ascii="Wingdings" w:hAnsi="Wingdings" w:hint="default"/>
      </w:rPr>
    </w:lvl>
    <w:lvl w:ilvl="3" w:tplc="10583BB4">
      <w:start w:val="1"/>
      <w:numFmt w:val="bullet"/>
      <w:lvlText w:val=""/>
      <w:lvlJc w:val="left"/>
      <w:pPr>
        <w:ind w:left="2880" w:hanging="360"/>
      </w:pPr>
      <w:rPr>
        <w:rFonts w:ascii="Symbol" w:hAnsi="Symbol" w:hint="default"/>
      </w:rPr>
    </w:lvl>
    <w:lvl w:ilvl="4" w:tplc="F158574A">
      <w:start w:val="1"/>
      <w:numFmt w:val="bullet"/>
      <w:lvlText w:val="o"/>
      <w:lvlJc w:val="left"/>
      <w:pPr>
        <w:ind w:left="3600" w:hanging="360"/>
      </w:pPr>
      <w:rPr>
        <w:rFonts w:ascii="Courier New" w:hAnsi="Courier New" w:hint="default"/>
      </w:rPr>
    </w:lvl>
    <w:lvl w:ilvl="5" w:tplc="2596675C">
      <w:start w:val="1"/>
      <w:numFmt w:val="bullet"/>
      <w:lvlText w:val=""/>
      <w:lvlJc w:val="left"/>
      <w:pPr>
        <w:ind w:left="4320" w:hanging="360"/>
      </w:pPr>
      <w:rPr>
        <w:rFonts w:ascii="Wingdings" w:hAnsi="Wingdings" w:hint="default"/>
      </w:rPr>
    </w:lvl>
    <w:lvl w:ilvl="6" w:tplc="A97444E4">
      <w:start w:val="1"/>
      <w:numFmt w:val="bullet"/>
      <w:lvlText w:val=""/>
      <w:lvlJc w:val="left"/>
      <w:pPr>
        <w:ind w:left="5040" w:hanging="360"/>
      </w:pPr>
      <w:rPr>
        <w:rFonts w:ascii="Symbol" w:hAnsi="Symbol" w:hint="default"/>
      </w:rPr>
    </w:lvl>
    <w:lvl w:ilvl="7" w:tplc="69FC7C58">
      <w:start w:val="1"/>
      <w:numFmt w:val="bullet"/>
      <w:lvlText w:val="o"/>
      <w:lvlJc w:val="left"/>
      <w:pPr>
        <w:ind w:left="5760" w:hanging="360"/>
      </w:pPr>
      <w:rPr>
        <w:rFonts w:ascii="Courier New" w:hAnsi="Courier New" w:hint="default"/>
      </w:rPr>
    </w:lvl>
    <w:lvl w:ilvl="8" w:tplc="D92C2DAE">
      <w:start w:val="1"/>
      <w:numFmt w:val="bullet"/>
      <w:lvlText w:val=""/>
      <w:lvlJc w:val="left"/>
      <w:pPr>
        <w:ind w:left="6480" w:hanging="360"/>
      </w:pPr>
      <w:rPr>
        <w:rFonts w:ascii="Wingdings" w:hAnsi="Wingdings" w:hint="default"/>
      </w:rPr>
    </w:lvl>
  </w:abstractNum>
  <w:abstractNum w:abstractNumId="21" w15:restartNumberingAfterBreak="0">
    <w:nsid w:val="2F940A09"/>
    <w:multiLevelType w:val="hybridMultilevel"/>
    <w:tmpl w:val="7EC4B80C"/>
    <w:lvl w:ilvl="0" w:tplc="D6063012">
      <w:start w:val="1"/>
      <w:numFmt w:val="bullet"/>
      <w:pStyle w:val="OikoTables10"/>
      <w:lvlText w:val="■"/>
      <w:lvlJc w:val="left"/>
      <w:pPr>
        <w:ind w:left="720" w:hanging="360"/>
      </w:pPr>
      <w:rPr>
        <w:rFonts w:ascii="Arial" w:hAnsi="Arial" w:hint="default"/>
        <w:color w:val="F1C4A7" w:themeColor="accent3" w:themeTint="99"/>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E39F5"/>
    <w:multiLevelType w:val="multilevel"/>
    <w:tmpl w:val="E74E1B04"/>
    <w:styleLink w:val="OikoStyleNumbers"/>
    <w:lvl w:ilvl="0">
      <w:start w:val="1"/>
      <w:numFmt w:val="decimal"/>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BC34F5"/>
    <w:multiLevelType w:val="hybridMultilevel"/>
    <w:tmpl w:val="A3ECF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076A52"/>
    <w:multiLevelType w:val="hybridMultilevel"/>
    <w:tmpl w:val="65D87172"/>
    <w:lvl w:ilvl="0" w:tplc="FFFFFFFF">
      <w:start w:val="1"/>
      <w:numFmt w:val="bullet"/>
      <w:pStyle w:val="OikoTables07"/>
      <w:lvlText w:val="■"/>
      <w:lvlJc w:val="left"/>
      <w:pPr>
        <w:ind w:left="360" w:hanging="360"/>
      </w:pPr>
      <w:rPr>
        <w:rFonts w:ascii="Arial" w:hAnsi="Arial" w:hint="default"/>
        <w:color w:val="954816" w:themeColor="accent3" w:themeShade="80"/>
        <w:sz w:val="24"/>
      </w:rPr>
    </w:lvl>
    <w:lvl w:ilvl="1" w:tplc="61349284" w:tentative="1">
      <w:start w:val="1"/>
      <w:numFmt w:val="bullet"/>
      <w:lvlText w:val="o"/>
      <w:lvlJc w:val="left"/>
      <w:pPr>
        <w:ind w:left="1440" w:hanging="360"/>
      </w:pPr>
      <w:rPr>
        <w:rFonts w:ascii="Courier New" w:hAnsi="Courier New" w:cs="Courier New" w:hint="default"/>
      </w:rPr>
    </w:lvl>
    <w:lvl w:ilvl="2" w:tplc="46A0DA98" w:tentative="1">
      <w:start w:val="1"/>
      <w:numFmt w:val="bullet"/>
      <w:lvlText w:val=""/>
      <w:lvlJc w:val="left"/>
      <w:pPr>
        <w:ind w:left="2160" w:hanging="360"/>
      </w:pPr>
      <w:rPr>
        <w:rFonts w:ascii="Wingdings" w:hAnsi="Wingdings" w:hint="default"/>
      </w:rPr>
    </w:lvl>
    <w:lvl w:ilvl="3" w:tplc="7CAC53EA" w:tentative="1">
      <w:start w:val="1"/>
      <w:numFmt w:val="bullet"/>
      <w:lvlText w:val=""/>
      <w:lvlJc w:val="left"/>
      <w:pPr>
        <w:ind w:left="2880" w:hanging="360"/>
      </w:pPr>
      <w:rPr>
        <w:rFonts w:ascii="Symbol" w:hAnsi="Symbol" w:hint="default"/>
      </w:rPr>
    </w:lvl>
    <w:lvl w:ilvl="4" w:tplc="AE76971E" w:tentative="1">
      <w:start w:val="1"/>
      <w:numFmt w:val="bullet"/>
      <w:lvlText w:val="o"/>
      <w:lvlJc w:val="left"/>
      <w:pPr>
        <w:ind w:left="3600" w:hanging="360"/>
      </w:pPr>
      <w:rPr>
        <w:rFonts w:ascii="Courier New" w:hAnsi="Courier New" w:cs="Courier New" w:hint="default"/>
      </w:rPr>
    </w:lvl>
    <w:lvl w:ilvl="5" w:tplc="D6B21260" w:tentative="1">
      <w:start w:val="1"/>
      <w:numFmt w:val="bullet"/>
      <w:lvlText w:val=""/>
      <w:lvlJc w:val="left"/>
      <w:pPr>
        <w:ind w:left="4320" w:hanging="360"/>
      </w:pPr>
      <w:rPr>
        <w:rFonts w:ascii="Wingdings" w:hAnsi="Wingdings" w:hint="default"/>
      </w:rPr>
    </w:lvl>
    <w:lvl w:ilvl="6" w:tplc="41B4F2B0" w:tentative="1">
      <w:start w:val="1"/>
      <w:numFmt w:val="bullet"/>
      <w:lvlText w:val=""/>
      <w:lvlJc w:val="left"/>
      <w:pPr>
        <w:ind w:left="5040" w:hanging="360"/>
      </w:pPr>
      <w:rPr>
        <w:rFonts w:ascii="Symbol" w:hAnsi="Symbol" w:hint="default"/>
      </w:rPr>
    </w:lvl>
    <w:lvl w:ilvl="7" w:tplc="12DE54D2" w:tentative="1">
      <w:start w:val="1"/>
      <w:numFmt w:val="bullet"/>
      <w:lvlText w:val="o"/>
      <w:lvlJc w:val="left"/>
      <w:pPr>
        <w:ind w:left="5760" w:hanging="360"/>
      </w:pPr>
      <w:rPr>
        <w:rFonts w:ascii="Courier New" w:hAnsi="Courier New" w:cs="Courier New" w:hint="default"/>
      </w:rPr>
    </w:lvl>
    <w:lvl w:ilvl="8" w:tplc="688C1912" w:tentative="1">
      <w:start w:val="1"/>
      <w:numFmt w:val="bullet"/>
      <w:lvlText w:val=""/>
      <w:lvlJc w:val="left"/>
      <w:pPr>
        <w:ind w:left="6480" w:hanging="360"/>
      </w:pPr>
      <w:rPr>
        <w:rFonts w:ascii="Wingdings" w:hAnsi="Wingdings" w:hint="default"/>
      </w:rPr>
    </w:lvl>
  </w:abstractNum>
  <w:abstractNum w:abstractNumId="25" w15:restartNumberingAfterBreak="0">
    <w:nsid w:val="402877FD"/>
    <w:multiLevelType w:val="singleLevel"/>
    <w:tmpl w:val="711499BA"/>
    <w:lvl w:ilvl="0">
      <w:start w:val="1"/>
      <w:numFmt w:val="upperLetter"/>
      <w:pStyle w:val="OikoListLetters"/>
      <w:lvlText w:val="%1."/>
      <w:lvlJc w:val="left"/>
      <w:pPr>
        <w:tabs>
          <w:tab w:val="num" w:pos="567"/>
        </w:tabs>
        <w:ind w:left="851" w:hanging="284"/>
      </w:pPr>
      <w:rPr>
        <w:rFonts w:hint="default"/>
      </w:rPr>
    </w:lvl>
  </w:abstractNum>
  <w:abstractNum w:abstractNumId="26" w15:restartNumberingAfterBreak="0">
    <w:nsid w:val="405415A8"/>
    <w:multiLevelType w:val="hybridMultilevel"/>
    <w:tmpl w:val="20BE5976"/>
    <w:lvl w:ilvl="0" w:tplc="569ADC92">
      <w:start w:val="1"/>
      <w:numFmt w:val="bullet"/>
      <w:pStyle w:val="OikoTables08"/>
      <w:lvlText w:val="■"/>
      <w:lvlJc w:val="left"/>
      <w:pPr>
        <w:ind w:left="360" w:hanging="360"/>
      </w:pPr>
      <w:rPr>
        <w:rFonts w:ascii="Arial" w:hAnsi="Arial" w:hint="default"/>
        <w:color w:val="DD6B22" w:themeColor="accent3" w:themeShade="BF"/>
        <w:sz w:val="24"/>
      </w:rPr>
    </w:lvl>
    <w:lvl w:ilvl="1" w:tplc="B192CBF6" w:tentative="1">
      <w:start w:val="1"/>
      <w:numFmt w:val="bullet"/>
      <w:lvlText w:val="o"/>
      <w:lvlJc w:val="left"/>
      <w:pPr>
        <w:ind w:left="1440" w:hanging="360"/>
      </w:pPr>
      <w:rPr>
        <w:rFonts w:ascii="Courier New" w:hAnsi="Courier New" w:cs="Courier New" w:hint="default"/>
      </w:rPr>
    </w:lvl>
    <w:lvl w:ilvl="2" w:tplc="13C85A2C" w:tentative="1">
      <w:start w:val="1"/>
      <w:numFmt w:val="bullet"/>
      <w:lvlText w:val=""/>
      <w:lvlJc w:val="left"/>
      <w:pPr>
        <w:ind w:left="2160" w:hanging="360"/>
      </w:pPr>
      <w:rPr>
        <w:rFonts w:ascii="Wingdings" w:hAnsi="Wingdings" w:hint="default"/>
      </w:rPr>
    </w:lvl>
    <w:lvl w:ilvl="3" w:tplc="C37013AE" w:tentative="1">
      <w:start w:val="1"/>
      <w:numFmt w:val="bullet"/>
      <w:lvlText w:val=""/>
      <w:lvlJc w:val="left"/>
      <w:pPr>
        <w:ind w:left="2880" w:hanging="360"/>
      </w:pPr>
      <w:rPr>
        <w:rFonts w:ascii="Symbol" w:hAnsi="Symbol" w:hint="default"/>
      </w:rPr>
    </w:lvl>
    <w:lvl w:ilvl="4" w:tplc="468E2756" w:tentative="1">
      <w:start w:val="1"/>
      <w:numFmt w:val="bullet"/>
      <w:lvlText w:val="o"/>
      <w:lvlJc w:val="left"/>
      <w:pPr>
        <w:ind w:left="3600" w:hanging="360"/>
      </w:pPr>
      <w:rPr>
        <w:rFonts w:ascii="Courier New" w:hAnsi="Courier New" w:cs="Courier New" w:hint="default"/>
      </w:rPr>
    </w:lvl>
    <w:lvl w:ilvl="5" w:tplc="901606A0" w:tentative="1">
      <w:start w:val="1"/>
      <w:numFmt w:val="bullet"/>
      <w:lvlText w:val=""/>
      <w:lvlJc w:val="left"/>
      <w:pPr>
        <w:ind w:left="4320" w:hanging="360"/>
      </w:pPr>
      <w:rPr>
        <w:rFonts w:ascii="Wingdings" w:hAnsi="Wingdings" w:hint="default"/>
      </w:rPr>
    </w:lvl>
    <w:lvl w:ilvl="6" w:tplc="73D2C4C0" w:tentative="1">
      <w:start w:val="1"/>
      <w:numFmt w:val="bullet"/>
      <w:lvlText w:val=""/>
      <w:lvlJc w:val="left"/>
      <w:pPr>
        <w:ind w:left="5040" w:hanging="360"/>
      </w:pPr>
      <w:rPr>
        <w:rFonts w:ascii="Symbol" w:hAnsi="Symbol" w:hint="default"/>
      </w:rPr>
    </w:lvl>
    <w:lvl w:ilvl="7" w:tplc="93B29A06" w:tentative="1">
      <w:start w:val="1"/>
      <w:numFmt w:val="bullet"/>
      <w:lvlText w:val="o"/>
      <w:lvlJc w:val="left"/>
      <w:pPr>
        <w:ind w:left="5760" w:hanging="360"/>
      </w:pPr>
      <w:rPr>
        <w:rFonts w:ascii="Courier New" w:hAnsi="Courier New" w:cs="Courier New" w:hint="default"/>
      </w:rPr>
    </w:lvl>
    <w:lvl w:ilvl="8" w:tplc="61B009A2" w:tentative="1">
      <w:start w:val="1"/>
      <w:numFmt w:val="bullet"/>
      <w:lvlText w:val=""/>
      <w:lvlJc w:val="left"/>
      <w:pPr>
        <w:ind w:left="6480" w:hanging="360"/>
      </w:pPr>
      <w:rPr>
        <w:rFonts w:ascii="Wingdings" w:hAnsi="Wingdings" w:hint="default"/>
      </w:rPr>
    </w:lvl>
  </w:abstractNum>
  <w:abstractNum w:abstractNumId="27" w15:restartNumberingAfterBreak="0">
    <w:nsid w:val="423DE672"/>
    <w:multiLevelType w:val="hybridMultilevel"/>
    <w:tmpl w:val="67687B2A"/>
    <w:lvl w:ilvl="0" w:tplc="9C40BB74">
      <w:start w:val="1"/>
      <w:numFmt w:val="bullet"/>
      <w:lvlText w:val=""/>
      <w:lvlJc w:val="left"/>
      <w:pPr>
        <w:ind w:left="360" w:hanging="360"/>
      </w:pPr>
      <w:rPr>
        <w:rFonts w:ascii="Symbol" w:hAnsi="Symbol" w:hint="default"/>
      </w:rPr>
    </w:lvl>
    <w:lvl w:ilvl="1" w:tplc="DDF6DA54">
      <w:start w:val="1"/>
      <w:numFmt w:val="bullet"/>
      <w:lvlText w:val="o"/>
      <w:lvlJc w:val="left"/>
      <w:pPr>
        <w:ind w:left="1440" w:hanging="360"/>
      </w:pPr>
      <w:rPr>
        <w:rFonts w:ascii="Courier New" w:hAnsi="Courier New" w:hint="default"/>
      </w:rPr>
    </w:lvl>
    <w:lvl w:ilvl="2" w:tplc="4A12F172">
      <w:start w:val="1"/>
      <w:numFmt w:val="bullet"/>
      <w:lvlText w:val=""/>
      <w:lvlJc w:val="left"/>
      <w:pPr>
        <w:ind w:left="2160" w:hanging="360"/>
      </w:pPr>
      <w:rPr>
        <w:rFonts w:ascii="Wingdings" w:hAnsi="Wingdings" w:hint="default"/>
      </w:rPr>
    </w:lvl>
    <w:lvl w:ilvl="3" w:tplc="5186FAAA">
      <w:start w:val="1"/>
      <w:numFmt w:val="bullet"/>
      <w:lvlText w:val=""/>
      <w:lvlJc w:val="left"/>
      <w:pPr>
        <w:ind w:left="2880" w:hanging="360"/>
      </w:pPr>
      <w:rPr>
        <w:rFonts w:ascii="Symbol" w:hAnsi="Symbol" w:hint="default"/>
      </w:rPr>
    </w:lvl>
    <w:lvl w:ilvl="4" w:tplc="0B5C39E2">
      <w:start w:val="1"/>
      <w:numFmt w:val="bullet"/>
      <w:lvlText w:val="o"/>
      <w:lvlJc w:val="left"/>
      <w:pPr>
        <w:ind w:left="3600" w:hanging="360"/>
      </w:pPr>
      <w:rPr>
        <w:rFonts w:ascii="Courier New" w:hAnsi="Courier New" w:hint="default"/>
      </w:rPr>
    </w:lvl>
    <w:lvl w:ilvl="5" w:tplc="0D22520A">
      <w:start w:val="1"/>
      <w:numFmt w:val="bullet"/>
      <w:lvlText w:val=""/>
      <w:lvlJc w:val="left"/>
      <w:pPr>
        <w:ind w:left="4320" w:hanging="360"/>
      </w:pPr>
      <w:rPr>
        <w:rFonts w:ascii="Wingdings" w:hAnsi="Wingdings" w:hint="default"/>
      </w:rPr>
    </w:lvl>
    <w:lvl w:ilvl="6" w:tplc="CECC11D2">
      <w:start w:val="1"/>
      <w:numFmt w:val="bullet"/>
      <w:lvlText w:val=""/>
      <w:lvlJc w:val="left"/>
      <w:pPr>
        <w:ind w:left="5040" w:hanging="360"/>
      </w:pPr>
      <w:rPr>
        <w:rFonts w:ascii="Symbol" w:hAnsi="Symbol" w:hint="default"/>
      </w:rPr>
    </w:lvl>
    <w:lvl w:ilvl="7" w:tplc="F384A81E">
      <w:start w:val="1"/>
      <w:numFmt w:val="bullet"/>
      <w:lvlText w:val="o"/>
      <w:lvlJc w:val="left"/>
      <w:pPr>
        <w:ind w:left="5760" w:hanging="360"/>
      </w:pPr>
      <w:rPr>
        <w:rFonts w:ascii="Courier New" w:hAnsi="Courier New" w:hint="default"/>
      </w:rPr>
    </w:lvl>
    <w:lvl w:ilvl="8" w:tplc="3A7E4A0E">
      <w:start w:val="1"/>
      <w:numFmt w:val="bullet"/>
      <w:lvlText w:val=""/>
      <w:lvlJc w:val="left"/>
      <w:pPr>
        <w:ind w:left="6480" w:hanging="360"/>
      </w:pPr>
      <w:rPr>
        <w:rFonts w:ascii="Wingdings" w:hAnsi="Wingdings" w:hint="default"/>
      </w:rPr>
    </w:lvl>
  </w:abstractNum>
  <w:abstractNum w:abstractNumId="28" w15:restartNumberingAfterBreak="0">
    <w:nsid w:val="437F1C88"/>
    <w:multiLevelType w:val="multilevel"/>
    <w:tmpl w:val="A970D0C4"/>
    <w:lvl w:ilvl="0">
      <w:start w:val="1"/>
      <w:numFmt w:val="decimal"/>
      <w:lvlText w:val="%1."/>
      <w:lvlJc w:val="left"/>
      <w:pPr>
        <w:tabs>
          <w:tab w:val="num" w:pos="0"/>
        </w:tabs>
        <w:ind w:left="720" w:hanging="480"/>
      </w:pPr>
    </w:lvl>
    <w:lvl w:ilvl="1">
      <w:start w:val="1"/>
      <w:numFmt w:val="decimal"/>
      <w:lvlText w:val="%2."/>
      <w:lvlJc w:val="left"/>
      <w:pPr>
        <w:tabs>
          <w:tab w:val="num" w:pos="0"/>
        </w:tabs>
        <w:ind w:left="1440" w:hanging="480"/>
      </w:pPr>
    </w:lvl>
    <w:lvl w:ilvl="2">
      <w:start w:val="1"/>
      <w:numFmt w:val="decimal"/>
      <w:lvlText w:val="%3."/>
      <w:lvlJc w:val="left"/>
      <w:pPr>
        <w:tabs>
          <w:tab w:val="num" w:pos="0"/>
        </w:tabs>
        <w:ind w:left="216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600" w:hanging="480"/>
      </w:pPr>
    </w:lvl>
    <w:lvl w:ilvl="5">
      <w:start w:val="1"/>
      <w:numFmt w:val="decimal"/>
      <w:lvlText w:val="%6."/>
      <w:lvlJc w:val="left"/>
      <w:pPr>
        <w:tabs>
          <w:tab w:val="num" w:pos="0"/>
        </w:tabs>
        <w:ind w:left="4320" w:hanging="480"/>
      </w:pPr>
    </w:lvl>
    <w:lvl w:ilvl="6">
      <w:start w:val="1"/>
      <w:numFmt w:val="decimal"/>
      <w:lvlText w:val="%7."/>
      <w:lvlJc w:val="left"/>
      <w:pPr>
        <w:tabs>
          <w:tab w:val="num" w:pos="0"/>
        </w:tabs>
        <w:ind w:left="5040" w:hanging="480"/>
      </w:pPr>
    </w:lvl>
    <w:lvl w:ilvl="7">
      <w:start w:val="1"/>
      <w:numFmt w:val="decimal"/>
      <w:lvlText w:val="%8."/>
      <w:lvlJc w:val="left"/>
      <w:pPr>
        <w:tabs>
          <w:tab w:val="num" w:pos="0"/>
        </w:tabs>
        <w:ind w:left="5760" w:hanging="480"/>
      </w:pPr>
    </w:lvl>
    <w:lvl w:ilvl="8">
      <w:start w:val="1"/>
      <w:numFmt w:val="decimal"/>
      <w:lvlText w:val="%9."/>
      <w:lvlJc w:val="left"/>
      <w:pPr>
        <w:tabs>
          <w:tab w:val="num" w:pos="0"/>
        </w:tabs>
        <w:ind w:left="6480" w:hanging="480"/>
      </w:pPr>
    </w:lvl>
  </w:abstractNum>
  <w:abstractNum w:abstractNumId="29" w15:restartNumberingAfterBreak="0">
    <w:nsid w:val="438802F2"/>
    <w:multiLevelType w:val="hybridMultilevel"/>
    <w:tmpl w:val="445A9140"/>
    <w:lvl w:ilvl="0" w:tplc="9CC6DD68">
      <w:start w:val="1"/>
      <w:numFmt w:val="bullet"/>
      <w:pStyle w:val="OikoListBullet6"/>
      <w:lvlText w:val="■"/>
      <w:lvlJc w:val="left"/>
      <w:pPr>
        <w:ind w:left="927" w:hanging="360"/>
      </w:pPr>
      <w:rPr>
        <w:rFonts w:ascii="Arial" w:hAnsi="Arial" w:hint="default"/>
        <w:color w:val="DCB600" w:themeColor="accent4" w:themeShade="BF"/>
        <w:sz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43E14FBD"/>
    <w:multiLevelType w:val="multilevel"/>
    <w:tmpl w:val="91027EB0"/>
    <w:lvl w:ilvl="0">
      <w:numFmt w:val="bullet"/>
      <w:lvlText w:val=""/>
      <w:lvlJc w:val="left"/>
      <w:pPr>
        <w:tabs>
          <w:tab w:val="num" w:pos="0"/>
        </w:tabs>
        <w:ind w:left="720" w:hanging="480"/>
      </w:pPr>
      <w:rPr>
        <w:rFonts w:ascii="Symbol" w:hAnsi="Symbol" w:cs="Symbol" w:hint="default"/>
      </w:rPr>
    </w:lvl>
    <w:lvl w:ilvl="1">
      <w:numFmt w:val="bullet"/>
      <w:lvlText w:val=""/>
      <w:lvlJc w:val="left"/>
      <w:pPr>
        <w:tabs>
          <w:tab w:val="num" w:pos="0"/>
        </w:tabs>
        <w:ind w:left="1440" w:hanging="480"/>
      </w:pPr>
      <w:rPr>
        <w:rFonts w:ascii="Symbol" w:hAnsi="Symbol" w:cs="Symbol" w:hint="default"/>
      </w:rPr>
    </w:lvl>
    <w:lvl w:ilvl="2">
      <w:numFmt w:val="bullet"/>
      <w:lvlText w:val=""/>
      <w:lvlJc w:val="left"/>
      <w:pPr>
        <w:tabs>
          <w:tab w:val="num" w:pos="0"/>
        </w:tabs>
        <w:ind w:left="2160" w:hanging="480"/>
      </w:pPr>
      <w:rPr>
        <w:rFonts w:ascii="Symbol" w:hAnsi="Symbol" w:cs="Symbol" w:hint="default"/>
      </w:rPr>
    </w:lvl>
    <w:lvl w:ilvl="3">
      <w:numFmt w:val="bullet"/>
      <w:lvlText w:val=""/>
      <w:lvlJc w:val="left"/>
      <w:pPr>
        <w:tabs>
          <w:tab w:val="num" w:pos="0"/>
        </w:tabs>
        <w:ind w:left="2880" w:hanging="480"/>
      </w:pPr>
      <w:rPr>
        <w:rFonts w:ascii="Symbol" w:hAnsi="Symbol" w:cs="Symbol" w:hint="default"/>
      </w:rPr>
    </w:lvl>
    <w:lvl w:ilvl="4">
      <w:numFmt w:val="bullet"/>
      <w:lvlText w:val=""/>
      <w:lvlJc w:val="left"/>
      <w:pPr>
        <w:tabs>
          <w:tab w:val="num" w:pos="0"/>
        </w:tabs>
        <w:ind w:left="3600" w:hanging="480"/>
      </w:pPr>
      <w:rPr>
        <w:rFonts w:ascii="Symbol" w:hAnsi="Symbol" w:cs="Symbol" w:hint="default"/>
      </w:rPr>
    </w:lvl>
    <w:lvl w:ilvl="5">
      <w:numFmt w:val="bullet"/>
      <w:lvlText w:val=""/>
      <w:lvlJc w:val="left"/>
      <w:pPr>
        <w:tabs>
          <w:tab w:val="num" w:pos="0"/>
        </w:tabs>
        <w:ind w:left="4320" w:hanging="480"/>
      </w:pPr>
      <w:rPr>
        <w:rFonts w:ascii="Symbol" w:hAnsi="Symbol" w:cs="Symbol" w:hint="default"/>
      </w:rPr>
    </w:lvl>
    <w:lvl w:ilvl="6">
      <w:numFmt w:val="bullet"/>
      <w:lvlText w:val=""/>
      <w:lvlJc w:val="left"/>
      <w:pPr>
        <w:tabs>
          <w:tab w:val="num" w:pos="0"/>
        </w:tabs>
        <w:ind w:left="5040" w:hanging="480"/>
      </w:pPr>
      <w:rPr>
        <w:rFonts w:ascii="Symbol" w:hAnsi="Symbol" w:cs="Symbol" w:hint="default"/>
      </w:rPr>
    </w:lvl>
    <w:lvl w:ilvl="7">
      <w:numFmt w:val="bullet"/>
      <w:lvlText w:val=""/>
      <w:lvlJc w:val="left"/>
      <w:pPr>
        <w:tabs>
          <w:tab w:val="num" w:pos="0"/>
        </w:tabs>
        <w:ind w:left="5760" w:hanging="480"/>
      </w:pPr>
      <w:rPr>
        <w:rFonts w:ascii="Symbol" w:hAnsi="Symbol" w:cs="Symbol" w:hint="default"/>
      </w:rPr>
    </w:lvl>
    <w:lvl w:ilvl="8">
      <w:numFmt w:val="bullet"/>
      <w:lvlText w:val=""/>
      <w:lvlJc w:val="left"/>
      <w:pPr>
        <w:tabs>
          <w:tab w:val="num" w:pos="0"/>
        </w:tabs>
        <w:ind w:left="6480" w:hanging="480"/>
      </w:pPr>
      <w:rPr>
        <w:rFonts w:ascii="Symbol" w:hAnsi="Symbol" w:cs="Symbol" w:hint="default"/>
      </w:rPr>
    </w:lvl>
  </w:abstractNum>
  <w:abstractNum w:abstractNumId="31" w15:restartNumberingAfterBreak="0">
    <w:nsid w:val="45DF3E77"/>
    <w:multiLevelType w:val="hybridMultilevel"/>
    <w:tmpl w:val="59CECCF0"/>
    <w:lvl w:ilvl="0" w:tplc="C944B27A">
      <w:start w:val="1"/>
      <w:numFmt w:val="bullet"/>
      <w:lvlText w:val=""/>
      <w:lvlJc w:val="left"/>
      <w:pPr>
        <w:ind w:left="1080" w:hanging="360"/>
      </w:pPr>
      <w:rPr>
        <w:rFonts w:ascii="Symbol" w:hAnsi="Symbol"/>
      </w:rPr>
    </w:lvl>
    <w:lvl w:ilvl="1" w:tplc="7E3E995E">
      <w:start w:val="1"/>
      <w:numFmt w:val="bullet"/>
      <w:lvlText w:val=""/>
      <w:lvlJc w:val="left"/>
      <w:pPr>
        <w:ind w:left="1080" w:hanging="360"/>
      </w:pPr>
      <w:rPr>
        <w:rFonts w:ascii="Symbol" w:hAnsi="Symbol"/>
      </w:rPr>
    </w:lvl>
    <w:lvl w:ilvl="2" w:tplc="332EB540">
      <w:start w:val="1"/>
      <w:numFmt w:val="bullet"/>
      <w:lvlText w:val=""/>
      <w:lvlJc w:val="left"/>
      <w:pPr>
        <w:ind w:left="1080" w:hanging="360"/>
      </w:pPr>
      <w:rPr>
        <w:rFonts w:ascii="Symbol" w:hAnsi="Symbol"/>
      </w:rPr>
    </w:lvl>
    <w:lvl w:ilvl="3" w:tplc="CAC6A22C">
      <w:start w:val="1"/>
      <w:numFmt w:val="bullet"/>
      <w:lvlText w:val=""/>
      <w:lvlJc w:val="left"/>
      <w:pPr>
        <w:ind w:left="1080" w:hanging="360"/>
      </w:pPr>
      <w:rPr>
        <w:rFonts w:ascii="Symbol" w:hAnsi="Symbol"/>
      </w:rPr>
    </w:lvl>
    <w:lvl w:ilvl="4" w:tplc="1CDEDFAE">
      <w:start w:val="1"/>
      <w:numFmt w:val="bullet"/>
      <w:lvlText w:val=""/>
      <w:lvlJc w:val="left"/>
      <w:pPr>
        <w:ind w:left="1080" w:hanging="360"/>
      </w:pPr>
      <w:rPr>
        <w:rFonts w:ascii="Symbol" w:hAnsi="Symbol"/>
      </w:rPr>
    </w:lvl>
    <w:lvl w:ilvl="5" w:tplc="D4CC1638">
      <w:start w:val="1"/>
      <w:numFmt w:val="bullet"/>
      <w:lvlText w:val=""/>
      <w:lvlJc w:val="left"/>
      <w:pPr>
        <w:ind w:left="1080" w:hanging="360"/>
      </w:pPr>
      <w:rPr>
        <w:rFonts w:ascii="Symbol" w:hAnsi="Symbol"/>
      </w:rPr>
    </w:lvl>
    <w:lvl w:ilvl="6" w:tplc="A69E9FFE">
      <w:start w:val="1"/>
      <w:numFmt w:val="bullet"/>
      <w:lvlText w:val=""/>
      <w:lvlJc w:val="left"/>
      <w:pPr>
        <w:ind w:left="1080" w:hanging="360"/>
      </w:pPr>
      <w:rPr>
        <w:rFonts w:ascii="Symbol" w:hAnsi="Symbol"/>
      </w:rPr>
    </w:lvl>
    <w:lvl w:ilvl="7" w:tplc="6CDA604A">
      <w:start w:val="1"/>
      <w:numFmt w:val="bullet"/>
      <w:lvlText w:val=""/>
      <w:lvlJc w:val="left"/>
      <w:pPr>
        <w:ind w:left="1080" w:hanging="360"/>
      </w:pPr>
      <w:rPr>
        <w:rFonts w:ascii="Symbol" w:hAnsi="Symbol"/>
      </w:rPr>
    </w:lvl>
    <w:lvl w:ilvl="8" w:tplc="70AE2D7E">
      <w:start w:val="1"/>
      <w:numFmt w:val="bullet"/>
      <w:lvlText w:val=""/>
      <w:lvlJc w:val="left"/>
      <w:pPr>
        <w:ind w:left="1080" w:hanging="360"/>
      </w:pPr>
      <w:rPr>
        <w:rFonts w:ascii="Symbol" w:hAnsi="Symbol"/>
      </w:rPr>
    </w:lvl>
  </w:abstractNum>
  <w:abstractNum w:abstractNumId="32" w15:restartNumberingAfterBreak="0">
    <w:nsid w:val="47345D2C"/>
    <w:multiLevelType w:val="hybridMultilevel"/>
    <w:tmpl w:val="7BF4AB86"/>
    <w:lvl w:ilvl="0" w:tplc="0409000F">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15:restartNumberingAfterBreak="0">
    <w:nsid w:val="4D370C40"/>
    <w:multiLevelType w:val="multilevel"/>
    <w:tmpl w:val="56E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2906BC"/>
    <w:multiLevelType w:val="multilevel"/>
    <w:tmpl w:val="7A885436"/>
    <w:styleLink w:val="OikoStyleLetters"/>
    <w:lvl w:ilvl="0">
      <w:start w:val="1"/>
      <w:numFmt w:val="upperLetter"/>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54D2A2F"/>
    <w:multiLevelType w:val="hybridMultilevel"/>
    <w:tmpl w:val="0E0EA484"/>
    <w:lvl w:ilvl="0" w:tplc="0F20ADFC">
      <w:start w:val="1"/>
      <w:numFmt w:val="bullet"/>
      <w:lvlText w:val="■"/>
      <w:lvlJc w:val="left"/>
      <w:pPr>
        <w:ind w:left="360" w:hanging="360"/>
      </w:pPr>
      <w:rPr>
        <w:rFonts w:ascii="Arial" w:hAnsi="Arial" w:hint="default"/>
        <w:color w:val="00946D" w:themeColor="accent2"/>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FC7118"/>
    <w:multiLevelType w:val="hybridMultilevel"/>
    <w:tmpl w:val="E3FE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486429"/>
    <w:multiLevelType w:val="singleLevel"/>
    <w:tmpl w:val="6B9EF836"/>
    <w:lvl w:ilvl="0">
      <w:start w:val="1"/>
      <w:numFmt w:val="decimal"/>
      <w:pStyle w:val="OikoListNumbers"/>
      <w:lvlText w:val="%1."/>
      <w:lvlJc w:val="left"/>
      <w:pPr>
        <w:tabs>
          <w:tab w:val="num" w:pos="567"/>
        </w:tabs>
        <w:ind w:left="851" w:hanging="284"/>
      </w:pPr>
      <w:rPr>
        <w:rFonts w:hint="default"/>
      </w:rPr>
    </w:lvl>
  </w:abstractNum>
  <w:abstractNum w:abstractNumId="38" w15:restartNumberingAfterBreak="0">
    <w:nsid w:val="5BF75513"/>
    <w:multiLevelType w:val="hybridMultilevel"/>
    <w:tmpl w:val="F8A80680"/>
    <w:lvl w:ilvl="0" w:tplc="C8947E74">
      <w:start w:val="1"/>
      <w:numFmt w:val="bullet"/>
      <w:pStyle w:val="TablesList2"/>
      <w:lvlText w:val="▲"/>
      <w:lvlJc w:val="left"/>
      <w:pPr>
        <w:ind w:left="360" w:hanging="360"/>
      </w:pPr>
      <w:rPr>
        <w:rFonts w:ascii="Arial" w:hAnsi="Arial" w:hint="default"/>
        <w:color w:val="185A7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FB21B3"/>
    <w:multiLevelType w:val="hybridMultilevel"/>
    <w:tmpl w:val="E7E49FB0"/>
    <w:lvl w:ilvl="0" w:tplc="95B82B54">
      <w:start w:val="1"/>
      <w:numFmt w:val="bullet"/>
      <w:lvlText w:val=""/>
      <w:lvlJc w:val="left"/>
      <w:pPr>
        <w:ind w:left="360" w:hanging="360"/>
      </w:pPr>
      <w:rPr>
        <w:rFonts w:ascii="Symbol" w:hAnsi="Symbol" w:hint="default"/>
      </w:rPr>
    </w:lvl>
    <w:lvl w:ilvl="1" w:tplc="ABC66F7C">
      <w:start w:val="1"/>
      <w:numFmt w:val="bullet"/>
      <w:lvlText w:val="o"/>
      <w:lvlJc w:val="left"/>
      <w:pPr>
        <w:ind w:left="1440" w:hanging="360"/>
      </w:pPr>
      <w:rPr>
        <w:rFonts w:ascii="Courier New" w:hAnsi="Courier New" w:hint="default"/>
      </w:rPr>
    </w:lvl>
    <w:lvl w:ilvl="2" w:tplc="44DC0804">
      <w:start w:val="1"/>
      <w:numFmt w:val="bullet"/>
      <w:lvlText w:val=""/>
      <w:lvlJc w:val="left"/>
      <w:pPr>
        <w:ind w:left="2160" w:hanging="360"/>
      </w:pPr>
      <w:rPr>
        <w:rFonts w:ascii="Wingdings" w:hAnsi="Wingdings" w:hint="default"/>
      </w:rPr>
    </w:lvl>
    <w:lvl w:ilvl="3" w:tplc="DA2E9534">
      <w:start w:val="1"/>
      <w:numFmt w:val="bullet"/>
      <w:lvlText w:val=""/>
      <w:lvlJc w:val="left"/>
      <w:pPr>
        <w:ind w:left="2880" w:hanging="360"/>
      </w:pPr>
      <w:rPr>
        <w:rFonts w:ascii="Symbol" w:hAnsi="Symbol" w:hint="default"/>
      </w:rPr>
    </w:lvl>
    <w:lvl w:ilvl="4" w:tplc="7826CADC">
      <w:start w:val="1"/>
      <w:numFmt w:val="bullet"/>
      <w:lvlText w:val="o"/>
      <w:lvlJc w:val="left"/>
      <w:pPr>
        <w:ind w:left="3600" w:hanging="360"/>
      </w:pPr>
      <w:rPr>
        <w:rFonts w:ascii="Courier New" w:hAnsi="Courier New" w:hint="default"/>
      </w:rPr>
    </w:lvl>
    <w:lvl w:ilvl="5" w:tplc="E84425FE">
      <w:start w:val="1"/>
      <w:numFmt w:val="bullet"/>
      <w:lvlText w:val=""/>
      <w:lvlJc w:val="left"/>
      <w:pPr>
        <w:ind w:left="4320" w:hanging="360"/>
      </w:pPr>
      <w:rPr>
        <w:rFonts w:ascii="Wingdings" w:hAnsi="Wingdings" w:hint="default"/>
      </w:rPr>
    </w:lvl>
    <w:lvl w:ilvl="6" w:tplc="090A3D30">
      <w:start w:val="1"/>
      <w:numFmt w:val="bullet"/>
      <w:lvlText w:val=""/>
      <w:lvlJc w:val="left"/>
      <w:pPr>
        <w:ind w:left="5040" w:hanging="360"/>
      </w:pPr>
      <w:rPr>
        <w:rFonts w:ascii="Symbol" w:hAnsi="Symbol" w:hint="default"/>
      </w:rPr>
    </w:lvl>
    <w:lvl w:ilvl="7" w:tplc="A6B29DF2">
      <w:start w:val="1"/>
      <w:numFmt w:val="bullet"/>
      <w:lvlText w:val="o"/>
      <w:lvlJc w:val="left"/>
      <w:pPr>
        <w:ind w:left="5760" w:hanging="360"/>
      </w:pPr>
      <w:rPr>
        <w:rFonts w:ascii="Courier New" w:hAnsi="Courier New" w:hint="default"/>
      </w:rPr>
    </w:lvl>
    <w:lvl w:ilvl="8" w:tplc="CE80AE12">
      <w:start w:val="1"/>
      <w:numFmt w:val="bullet"/>
      <w:lvlText w:val=""/>
      <w:lvlJc w:val="left"/>
      <w:pPr>
        <w:ind w:left="6480" w:hanging="360"/>
      </w:pPr>
      <w:rPr>
        <w:rFonts w:ascii="Wingdings" w:hAnsi="Wingdings" w:hint="default"/>
      </w:rPr>
    </w:lvl>
  </w:abstractNum>
  <w:abstractNum w:abstractNumId="40" w15:restartNumberingAfterBreak="0">
    <w:nsid w:val="622E4467"/>
    <w:multiLevelType w:val="singleLevel"/>
    <w:tmpl w:val="AA0E8F5A"/>
    <w:lvl w:ilvl="0">
      <w:start w:val="1"/>
      <w:numFmt w:val="upperRoman"/>
      <w:pStyle w:val="OikoListRomans"/>
      <w:lvlText w:val="%1."/>
      <w:lvlJc w:val="right"/>
      <w:pPr>
        <w:tabs>
          <w:tab w:val="num" w:pos="964"/>
        </w:tabs>
        <w:ind w:left="851" w:hanging="114"/>
      </w:pPr>
      <w:rPr>
        <w:rFonts w:hint="default"/>
      </w:rPr>
    </w:lvl>
  </w:abstractNum>
  <w:abstractNum w:abstractNumId="41" w15:restartNumberingAfterBreak="0">
    <w:nsid w:val="66D537AA"/>
    <w:multiLevelType w:val="hybridMultilevel"/>
    <w:tmpl w:val="26E2099A"/>
    <w:lvl w:ilvl="0" w:tplc="618EEE7E">
      <w:start w:val="1"/>
      <w:numFmt w:val="bullet"/>
      <w:pStyle w:val="OikoTables06"/>
      <w:lvlText w:val="■"/>
      <w:lvlJc w:val="left"/>
      <w:pPr>
        <w:ind w:left="360" w:hanging="360"/>
      </w:pPr>
      <w:rPr>
        <w:rFonts w:ascii="Arial" w:hAnsi="Arial" w:hint="default"/>
        <w:color w:val="5D6770" w:themeColor="background2"/>
        <w:sz w:val="24"/>
      </w:rPr>
    </w:lvl>
    <w:lvl w:ilvl="1" w:tplc="FD72AB40" w:tentative="1">
      <w:start w:val="1"/>
      <w:numFmt w:val="bullet"/>
      <w:lvlText w:val="o"/>
      <w:lvlJc w:val="left"/>
      <w:pPr>
        <w:ind w:left="1440" w:hanging="360"/>
      </w:pPr>
      <w:rPr>
        <w:rFonts w:ascii="Courier New" w:hAnsi="Courier New" w:cs="Courier New" w:hint="default"/>
      </w:rPr>
    </w:lvl>
    <w:lvl w:ilvl="2" w:tplc="61D491BE" w:tentative="1">
      <w:start w:val="1"/>
      <w:numFmt w:val="bullet"/>
      <w:lvlText w:val=""/>
      <w:lvlJc w:val="left"/>
      <w:pPr>
        <w:ind w:left="2160" w:hanging="360"/>
      </w:pPr>
      <w:rPr>
        <w:rFonts w:ascii="Wingdings" w:hAnsi="Wingdings" w:hint="default"/>
      </w:rPr>
    </w:lvl>
    <w:lvl w:ilvl="3" w:tplc="99E20796" w:tentative="1">
      <w:start w:val="1"/>
      <w:numFmt w:val="bullet"/>
      <w:lvlText w:val=""/>
      <w:lvlJc w:val="left"/>
      <w:pPr>
        <w:ind w:left="2880" w:hanging="360"/>
      </w:pPr>
      <w:rPr>
        <w:rFonts w:ascii="Symbol" w:hAnsi="Symbol" w:hint="default"/>
      </w:rPr>
    </w:lvl>
    <w:lvl w:ilvl="4" w:tplc="4E849266" w:tentative="1">
      <w:start w:val="1"/>
      <w:numFmt w:val="bullet"/>
      <w:lvlText w:val="o"/>
      <w:lvlJc w:val="left"/>
      <w:pPr>
        <w:ind w:left="3600" w:hanging="360"/>
      </w:pPr>
      <w:rPr>
        <w:rFonts w:ascii="Courier New" w:hAnsi="Courier New" w:cs="Courier New" w:hint="default"/>
      </w:rPr>
    </w:lvl>
    <w:lvl w:ilvl="5" w:tplc="F0B25CE0" w:tentative="1">
      <w:start w:val="1"/>
      <w:numFmt w:val="bullet"/>
      <w:lvlText w:val=""/>
      <w:lvlJc w:val="left"/>
      <w:pPr>
        <w:ind w:left="4320" w:hanging="360"/>
      </w:pPr>
      <w:rPr>
        <w:rFonts w:ascii="Wingdings" w:hAnsi="Wingdings" w:hint="default"/>
      </w:rPr>
    </w:lvl>
    <w:lvl w:ilvl="6" w:tplc="5FF47F1C" w:tentative="1">
      <w:start w:val="1"/>
      <w:numFmt w:val="bullet"/>
      <w:lvlText w:val=""/>
      <w:lvlJc w:val="left"/>
      <w:pPr>
        <w:ind w:left="5040" w:hanging="360"/>
      </w:pPr>
      <w:rPr>
        <w:rFonts w:ascii="Symbol" w:hAnsi="Symbol" w:hint="default"/>
      </w:rPr>
    </w:lvl>
    <w:lvl w:ilvl="7" w:tplc="F09AFB42" w:tentative="1">
      <w:start w:val="1"/>
      <w:numFmt w:val="bullet"/>
      <w:lvlText w:val="o"/>
      <w:lvlJc w:val="left"/>
      <w:pPr>
        <w:ind w:left="5760" w:hanging="360"/>
      </w:pPr>
      <w:rPr>
        <w:rFonts w:ascii="Courier New" w:hAnsi="Courier New" w:cs="Courier New" w:hint="default"/>
      </w:rPr>
    </w:lvl>
    <w:lvl w:ilvl="8" w:tplc="AC90BA80" w:tentative="1">
      <w:start w:val="1"/>
      <w:numFmt w:val="bullet"/>
      <w:lvlText w:val=""/>
      <w:lvlJc w:val="left"/>
      <w:pPr>
        <w:ind w:left="6480" w:hanging="360"/>
      </w:pPr>
      <w:rPr>
        <w:rFonts w:ascii="Wingdings" w:hAnsi="Wingdings" w:hint="default"/>
      </w:rPr>
    </w:lvl>
  </w:abstractNum>
  <w:abstractNum w:abstractNumId="42" w15:restartNumberingAfterBreak="0">
    <w:nsid w:val="6AEE74E3"/>
    <w:multiLevelType w:val="hybridMultilevel"/>
    <w:tmpl w:val="1DDA92F6"/>
    <w:lvl w:ilvl="0" w:tplc="974E1F5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0B1372"/>
    <w:multiLevelType w:val="hybridMultilevel"/>
    <w:tmpl w:val="6C1860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0B52D73"/>
    <w:multiLevelType w:val="hybridMultilevel"/>
    <w:tmpl w:val="A75024BA"/>
    <w:lvl w:ilvl="0" w:tplc="4BECFB4E">
      <w:start w:val="1"/>
      <w:numFmt w:val="bullet"/>
      <w:lvlText w:val="•"/>
      <w:lvlJc w:val="left"/>
      <w:pPr>
        <w:ind w:left="928" w:hanging="360"/>
      </w:pPr>
    </w:lvl>
    <w:lvl w:ilvl="1" w:tplc="AA2E3BA2">
      <w:start w:val="1"/>
      <w:numFmt w:val="bullet"/>
      <w:lvlText w:val="◦"/>
      <w:lvlJc w:val="left"/>
      <w:pPr>
        <w:ind w:left="1440" w:hanging="360"/>
      </w:pPr>
    </w:lvl>
    <w:lvl w:ilvl="2" w:tplc="3912D518">
      <w:numFmt w:val="decimal"/>
      <w:lvlText w:val=""/>
      <w:lvlJc w:val="left"/>
    </w:lvl>
    <w:lvl w:ilvl="3" w:tplc="77FA2B0A">
      <w:numFmt w:val="decimal"/>
      <w:lvlText w:val=""/>
      <w:lvlJc w:val="left"/>
    </w:lvl>
    <w:lvl w:ilvl="4" w:tplc="76200CAE">
      <w:numFmt w:val="decimal"/>
      <w:lvlText w:val=""/>
      <w:lvlJc w:val="left"/>
    </w:lvl>
    <w:lvl w:ilvl="5" w:tplc="AAE0050A">
      <w:numFmt w:val="decimal"/>
      <w:lvlText w:val=""/>
      <w:lvlJc w:val="left"/>
    </w:lvl>
    <w:lvl w:ilvl="6" w:tplc="8A8827A2">
      <w:numFmt w:val="decimal"/>
      <w:lvlText w:val=""/>
      <w:lvlJc w:val="left"/>
    </w:lvl>
    <w:lvl w:ilvl="7" w:tplc="B584F9F0">
      <w:numFmt w:val="decimal"/>
      <w:lvlText w:val=""/>
      <w:lvlJc w:val="left"/>
    </w:lvl>
    <w:lvl w:ilvl="8" w:tplc="FF226A16">
      <w:numFmt w:val="decimal"/>
      <w:lvlText w:val=""/>
      <w:lvlJc w:val="left"/>
    </w:lvl>
  </w:abstractNum>
  <w:num w:numId="1" w16cid:durableId="1829206119">
    <w:abstractNumId w:val="15"/>
  </w:num>
  <w:num w:numId="2" w16cid:durableId="641497138">
    <w:abstractNumId w:val="12"/>
  </w:num>
  <w:num w:numId="3" w16cid:durableId="687484007">
    <w:abstractNumId w:val="39"/>
  </w:num>
  <w:num w:numId="4" w16cid:durableId="1680620902">
    <w:abstractNumId w:val="27"/>
  </w:num>
  <w:num w:numId="5" w16cid:durableId="1732190976">
    <w:abstractNumId w:val="20"/>
  </w:num>
  <w:num w:numId="6" w16cid:durableId="130946784">
    <w:abstractNumId w:val="9"/>
  </w:num>
  <w:num w:numId="7" w16cid:durableId="543371695">
    <w:abstractNumId w:val="6"/>
  </w:num>
  <w:num w:numId="8" w16cid:durableId="612635270">
    <w:abstractNumId w:val="4"/>
  </w:num>
  <w:num w:numId="9" w16cid:durableId="976884672">
    <w:abstractNumId w:val="3"/>
  </w:num>
  <w:num w:numId="10" w16cid:durableId="442573910">
    <w:abstractNumId w:val="2"/>
  </w:num>
  <w:num w:numId="11" w16cid:durableId="1148479818">
    <w:abstractNumId w:val="1"/>
  </w:num>
  <w:num w:numId="12" w16cid:durableId="1104574875">
    <w:abstractNumId w:val="5"/>
  </w:num>
  <w:num w:numId="13" w16cid:durableId="712264847">
    <w:abstractNumId w:val="29"/>
  </w:num>
  <w:num w:numId="14" w16cid:durableId="436487472">
    <w:abstractNumId w:val="41"/>
  </w:num>
  <w:num w:numId="15" w16cid:durableId="291715198">
    <w:abstractNumId w:val="24"/>
  </w:num>
  <w:num w:numId="16" w16cid:durableId="605381425">
    <w:abstractNumId w:val="26"/>
  </w:num>
  <w:num w:numId="17" w16cid:durableId="1402023254">
    <w:abstractNumId w:val="18"/>
  </w:num>
  <w:num w:numId="18" w16cid:durableId="102461668">
    <w:abstractNumId w:val="21"/>
  </w:num>
  <w:num w:numId="19" w16cid:durableId="2107069085">
    <w:abstractNumId w:val="11"/>
  </w:num>
  <w:num w:numId="20" w16cid:durableId="1393889072">
    <w:abstractNumId w:val="22"/>
  </w:num>
  <w:num w:numId="21" w16cid:durableId="1137456595">
    <w:abstractNumId w:val="37"/>
  </w:num>
  <w:num w:numId="22" w16cid:durableId="1593247563">
    <w:abstractNumId w:val="34"/>
  </w:num>
  <w:num w:numId="23" w16cid:durableId="362100800">
    <w:abstractNumId w:val="25"/>
  </w:num>
  <w:num w:numId="24" w16cid:durableId="2060781829">
    <w:abstractNumId w:val="19"/>
  </w:num>
  <w:num w:numId="25" w16cid:durableId="1861506842">
    <w:abstractNumId w:val="40"/>
  </w:num>
  <w:num w:numId="26" w16cid:durableId="985662604">
    <w:abstractNumId w:val="14"/>
  </w:num>
  <w:num w:numId="27" w16cid:durableId="431556248">
    <w:abstractNumId w:val="38"/>
  </w:num>
  <w:num w:numId="28" w16cid:durableId="1206328007">
    <w:abstractNumId w:val="0"/>
  </w:num>
  <w:num w:numId="29" w16cid:durableId="321201403">
    <w:abstractNumId w:val="43"/>
  </w:num>
  <w:num w:numId="30" w16cid:durableId="1916352630">
    <w:abstractNumId w:val="31"/>
  </w:num>
  <w:num w:numId="31" w16cid:durableId="839733397">
    <w:abstractNumId w:val="36"/>
  </w:num>
  <w:num w:numId="32" w16cid:durableId="312367939">
    <w:abstractNumId w:val="44"/>
    <w:lvlOverride w:ilvl="0">
      <w:startOverride w:val="1"/>
    </w:lvlOverride>
  </w:num>
  <w:num w:numId="33" w16cid:durableId="1940135118">
    <w:abstractNumId w:val="13"/>
  </w:num>
  <w:num w:numId="34" w16cid:durableId="733161197">
    <w:abstractNumId w:val="33"/>
  </w:num>
  <w:num w:numId="35" w16cid:durableId="331375342">
    <w:abstractNumId w:val="42"/>
  </w:num>
  <w:num w:numId="36" w16cid:durableId="296376555">
    <w:abstractNumId w:val="28"/>
  </w:num>
  <w:num w:numId="37" w16cid:durableId="1295524625">
    <w:abstractNumId w:val="28"/>
    <w:lvlOverride w:ilvl="0">
      <w:startOverride w:val="1"/>
    </w:lvlOverride>
  </w:num>
  <w:num w:numId="38" w16cid:durableId="1719547573">
    <w:abstractNumId w:val="30"/>
  </w:num>
  <w:num w:numId="39" w16cid:durableId="2006395867">
    <w:abstractNumId w:val="7"/>
  </w:num>
  <w:num w:numId="40" w16cid:durableId="1851092897">
    <w:abstractNumId w:val="16"/>
  </w:num>
  <w:num w:numId="41" w16cid:durableId="1260408022">
    <w:abstractNumId w:val="32"/>
  </w:num>
  <w:num w:numId="42" w16cid:durableId="1777286695">
    <w:abstractNumId w:val="10"/>
  </w:num>
  <w:num w:numId="43" w16cid:durableId="488717419">
    <w:abstractNumId w:val="23"/>
  </w:num>
  <w:num w:numId="44" w16cid:durableId="2052025094">
    <w:abstractNumId w:val="8"/>
  </w:num>
  <w:num w:numId="45" w16cid:durableId="355353508">
    <w:abstractNumId w:val="17"/>
  </w:num>
  <w:num w:numId="46" w16cid:durableId="218706840">
    <w:abstractNumId w:val="35"/>
  </w:num>
  <w:num w:numId="47" w16cid:durableId="1956135608">
    <w:abstractNumId w:val="11"/>
  </w:num>
  <w:num w:numId="48" w16cid:durableId="1153986505">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9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6B"/>
    <w:rsid w:val="000005CB"/>
    <w:rsid w:val="000006B3"/>
    <w:rsid w:val="00001399"/>
    <w:rsid w:val="0000150B"/>
    <w:rsid w:val="00001EB6"/>
    <w:rsid w:val="00003682"/>
    <w:rsid w:val="00004324"/>
    <w:rsid w:val="00004430"/>
    <w:rsid w:val="0000458A"/>
    <w:rsid w:val="00004E61"/>
    <w:rsid w:val="000059B5"/>
    <w:rsid w:val="00005DD0"/>
    <w:rsid w:val="00005F3B"/>
    <w:rsid w:val="00006770"/>
    <w:rsid w:val="000068BC"/>
    <w:rsid w:val="00006920"/>
    <w:rsid w:val="00006A73"/>
    <w:rsid w:val="000070A0"/>
    <w:rsid w:val="00007178"/>
    <w:rsid w:val="00007378"/>
    <w:rsid w:val="000101EE"/>
    <w:rsid w:val="00010BB3"/>
    <w:rsid w:val="00011246"/>
    <w:rsid w:val="00011560"/>
    <w:rsid w:val="00011576"/>
    <w:rsid w:val="00011829"/>
    <w:rsid w:val="00011C9F"/>
    <w:rsid w:val="000124DC"/>
    <w:rsid w:val="000128DF"/>
    <w:rsid w:val="00012A25"/>
    <w:rsid w:val="00012CB2"/>
    <w:rsid w:val="00012D67"/>
    <w:rsid w:val="00012F64"/>
    <w:rsid w:val="00013615"/>
    <w:rsid w:val="00013FC5"/>
    <w:rsid w:val="000142B4"/>
    <w:rsid w:val="000149AF"/>
    <w:rsid w:val="00014B49"/>
    <w:rsid w:val="00014B7B"/>
    <w:rsid w:val="00014E0F"/>
    <w:rsid w:val="00014F41"/>
    <w:rsid w:val="000151A0"/>
    <w:rsid w:val="000154B3"/>
    <w:rsid w:val="000157A1"/>
    <w:rsid w:val="00015831"/>
    <w:rsid w:val="00015C69"/>
    <w:rsid w:val="00015E97"/>
    <w:rsid w:val="00016123"/>
    <w:rsid w:val="00016473"/>
    <w:rsid w:val="000167FC"/>
    <w:rsid w:val="00016E8C"/>
    <w:rsid w:val="000178C4"/>
    <w:rsid w:val="0001792F"/>
    <w:rsid w:val="00020013"/>
    <w:rsid w:val="00020963"/>
    <w:rsid w:val="00020AF3"/>
    <w:rsid w:val="00020B1C"/>
    <w:rsid w:val="00020E95"/>
    <w:rsid w:val="00021061"/>
    <w:rsid w:val="00021485"/>
    <w:rsid w:val="00021B6E"/>
    <w:rsid w:val="00021E4D"/>
    <w:rsid w:val="000221E8"/>
    <w:rsid w:val="000225D0"/>
    <w:rsid w:val="0002294C"/>
    <w:rsid w:val="00022A04"/>
    <w:rsid w:val="00022B41"/>
    <w:rsid w:val="00023142"/>
    <w:rsid w:val="00023E3D"/>
    <w:rsid w:val="00024039"/>
    <w:rsid w:val="0002436E"/>
    <w:rsid w:val="00025141"/>
    <w:rsid w:val="000256BD"/>
    <w:rsid w:val="00025FC7"/>
    <w:rsid w:val="00026354"/>
    <w:rsid w:val="0002650D"/>
    <w:rsid w:val="00026C75"/>
    <w:rsid w:val="00026EA8"/>
    <w:rsid w:val="00026FE5"/>
    <w:rsid w:val="00027045"/>
    <w:rsid w:val="000275AE"/>
    <w:rsid w:val="00027AB2"/>
    <w:rsid w:val="000300C3"/>
    <w:rsid w:val="000309A9"/>
    <w:rsid w:val="00030D20"/>
    <w:rsid w:val="00030D63"/>
    <w:rsid w:val="00030DB2"/>
    <w:rsid w:val="0003170F"/>
    <w:rsid w:val="00031D1B"/>
    <w:rsid w:val="0003221D"/>
    <w:rsid w:val="00032807"/>
    <w:rsid w:val="0003329D"/>
    <w:rsid w:val="00033362"/>
    <w:rsid w:val="000334CE"/>
    <w:rsid w:val="0003361F"/>
    <w:rsid w:val="0003366F"/>
    <w:rsid w:val="00033693"/>
    <w:rsid w:val="00033D83"/>
    <w:rsid w:val="00034B54"/>
    <w:rsid w:val="00034C72"/>
    <w:rsid w:val="00034F3E"/>
    <w:rsid w:val="000351FA"/>
    <w:rsid w:val="000354BA"/>
    <w:rsid w:val="00036153"/>
    <w:rsid w:val="00036C43"/>
    <w:rsid w:val="00036DCC"/>
    <w:rsid w:val="0003706F"/>
    <w:rsid w:val="000370FE"/>
    <w:rsid w:val="00037592"/>
    <w:rsid w:val="0003792F"/>
    <w:rsid w:val="00037E18"/>
    <w:rsid w:val="0004001D"/>
    <w:rsid w:val="00040262"/>
    <w:rsid w:val="0004031A"/>
    <w:rsid w:val="0004033A"/>
    <w:rsid w:val="00040E80"/>
    <w:rsid w:val="00041342"/>
    <w:rsid w:val="00041373"/>
    <w:rsid w:val="00041E6A"/>
    <w:rsid w:val="000420C8"/>
    <w:rsid w:val="0004220D"/>
    <w:rsid w:val="0004254C"/>
    <w:rsid w:val="000427CB"/>
    <w:rsid w:val="00042E3C"/>
    <w:rsid w:val="00043076"/>
    <w:rsid w:val="00043250"/>
    <w:rsid w:val="0004358E"/>
    <w:rsid w:val="00043E54"/>
    <w:rsid w:val="00044029"/>
    <w:rsid w:val="000441A4"/>
    <w:rsid w:val="000452D8"/>
    <w:rsid w:val="000454BE"/>
    <w:rsid w:val="00045CA8"/>
    <w:rsid w:val="00045D76"/>
    <w:rsid w:val="00045F80"/>
    <w:rsid w:val="00045F89"/>
    <w:rsid w:val="00045FAA"/>
    <w:rsid w:val="0004668A"/>
    <w:rsid w:val="00046E43"/>
    <w:rsid w:val="000474EC"/>
    <w:rsid w:val="00050257"/>
    <w:rsid w:val="00050745"/>
    <w:rsid w:val="00050CDB"/>
    <w:rsid w:val="0005143A"/>
    <w:rsid w:val="00051682"/>
    <w:rsid w:val="00051764"/>
    <w:rsid w:val="000518A3"/>
    <w:rsid w:val="000518DD"/>
    <w:rsid w:val="00052D51"/>
    <w:rsid w:val="00053379"/>
    <w:rsid w:val="000539C0"/>
    <w:rsid w:val="00053E77"/>
    <w:rsid w:val="00053F0E"/>
    <w:rsid w:val="00053FCF"/>
    <w:rsid w:val="00054672"/>
    <w:rsid w:val="00054B03"/>
    <w:rsid w:val="00054B47"/>
    <w:rsid w:val="00054B7D"/>
    <w:rsid w:val="00055101"/>
    <w:rsid w:val="00055103"/>
    <w:rsid w:val="00055E56"/>
    <w:rsid w:val="00056297"/>
    <w:rsid w:val="000563D1"/>
    <w:rsid w:val="00056893"/>
    <w:rsid w:val="00056960"/>
    <w:rsid w:val="00056BA9"/>
    <w:rsid w:val="00056CCA"/>
    <w:rsid w:val="000572A2"/>
    <w:rsid w:val="00057357"/>
    <w:rsid w:val="000575A8"/>
    <w:rsid w:val="00057986"/>
    <w:rsid w:val="00057C6A"/>
    <w:rsid w:val="00057FA3"/>
    <w:rsid w:val="00060F26"/>
    <w:rsid w:val="00061096"/>
    <w:rsid w:val="00061554"/>
    <w:rsid w:val="000616A3"/>
    <w:rsid w:val="00061A62"/>
    <w:rsid w:val="00061F83"/>
    <w:rsid w:val="000622D5"/>
    <w:rsid w:val="000625AE"/>
    <w:rsid w:val="00062B0A"/>
    <w:rsid w:val="00062C13"/>
    <w:rsid w:val="00062DD9"/>
    <w:rsid w:val="00063216"/>
    <w:rsid w:val="000632A0"/>
    <w:rsid w:val="0006378F"/>
    <w:rsid w:val="0006389F"/>
    <w:rsid w:val="00063914"/>
    <w:rsid w:val="00063D62"/>
    <w:rsid w:val="00063E6E"/>
    <w:rsid w:val="000642EA"/>
    <w:rsid w:val="0006496F"/>
    <w:rsid w:val="00065576"/>
    <w:rsid w:val="000665C2"/>
    <w:rsid w:val="000669FB"/>
    <w:rsid w:val="00067059"/>
    <w:rsid w:val="000674DB"/>
    <w:rsid w:val="0007070C"/>
    <w:rsid w:val="00070C36"/>
    <w:rsid w:val="000715BE"/>
    <w:rsid w:val="000717DB"/>
    <w:rsid w:val="0007193A"/>
    <w:rsid w:val="00071C35"/>
    <w:rsid w:val="00071CE8"/>
    <w:rsid w:val="00071CFF"/>
    <w:rsid w:val="000720E1"/>
    <w:rsid w:val="00072363"/>
    <w:rsid w:val="00072726"/>
    <w:rsid w:val="00072D0C"/>
    <w:rsid w:val="00072DC2"/>
    <w:rsid w:val="000731C8"/>
    <w:rsid w:val="00073987"/>
    <w:rsid w:val="00074A71"/>
    <w:rsid w:val="000752A6"/>
    <w:rsid w:val="00075478"/>
    <w:rsid w:val="00075512"/>
    <w:rsid w:val="00075906"/>
    <w:rsid w:val="00075EA3"/>
    <w:rsid w:val="0007621F"/>
    <w:rsid w:val="00076B9A"/>
    <w:rsid w:val="00076E03"/>
    <w:rsid w:val="00077229"/>
    <w:rsid w:val="0007736C"/>
    <w:rsid w:val="00077BC4"/>
    <w:rsid w:val="00077C96"/>
    <w:rsid w:val="00080091"/>
    <w:rsid w:val="00080109"/>
    <w:rsid w:val="00080634"/>
    <w:rsid w:val="00080A13"/>
    <w:rsid w:val="00080A37"/>
    <w:rsid w:val="00080A53"/>
    <w:rsid w:val="00080BFE"/>
    <w:rsid w:val="00081254"/>
    <w:rsid w:val="000812A4"/>
    <w:rsid w:val="00081424"/>
    <w:rsid w:val="00081631"/>
    <w:rsid w:val="000818AF"/>
    <w:rsid w:val="00081905"/>
    <w:rsid w:val="00081D68"/>
    <w:rsid w:val="00082268"/>
    <w:rsid w:val="00082361"/>
    <w:rsid w:val="00082658"/>
    <w:rsid w:val="000828DE"/>
    <w:rsid w:val="00083988"/>
    <w:rsid w:val="000839AC"/>
    <w:rsid w:val="00084105"/>
    <w:rsid w:val="000845F5"/>
    <w:rsid w:val="00084D01"/>
    <w:rsid w:val="000856C1"/>
    <w:rsid w:val="000862BC"/>
    <w:rsid w:val="000863CC"/>
    <w:rsid w:val="00086627"/>
    <w:rsid w:val="000866FB"/>
    <w:rsid w:val="0008697A"/>
    <w:rsid w:val="000872E0"/>
    <w:rsid w:val="000873C9"/>
    <w:rsid w:val="000900A8"/>
    <w:rsid w:val="00090F31"/>
    <w:rsid w:val="00091366"/>
    <w:rsid w:val="00091429"/>
    <w:rsid w:val="00091483"/>
    <w:rsid w:val="00091762"/>
    <w:rsid w:val="0009190F"/>
    <w:rsid w:val="000927D9"/>
    <w:rsid w:val="000928E7"/>
    <w:rsid w:val="00092D6B"/>
    <w:rsid w:val="00092D82"/>
    <w:rsid w:val="00092E17"/>
    <w:rsid w:val="000931A7"/>
    <w:rsid w:val="00094C89"/>
    <w:rsid w:val="00095934"/>
    <w:rsid w:val="00095A09"/>
    <w:rsid w:val="00095DC2"/>
    <w:rsid w:val="00095DCC"/>
    <w:rsid w:val="0009667B"/>
    <w:rsid w:val="00096AFF"/>
    <w:rsid w:val="000975F0"/>
    <w:rsid w:val="000977EE"/>
    <w:rsid w:val="00097EE8"/>
    <w:rsid w:val="000A0744"/>
    <w:rsid w:val="000A0F70"/>
    <w:rsid w:val="000A1408"/>
    <w:rsid w:val="000A18EC"/>
    <w:rsid w:val="000A1E4F"/>
    <w:rsid w:val="000A34CE"/>
    <w:rsid w:val="000A3A05"/>
    <w:rsid w:val="000A4C3B"/>
    <w:rsid w:val="000A4C58"/>
    <w:rsid w:val="000A55D1"/>
    <w:rsid w:val="000A64AA"/>
    <w:rsid w:val="000A6797"/>
    <w:rsid w:val="000A771B"/>
    <w:rsid w:val="000A79D9"/>
    <w:rsid w:val="000B08A5"/>
    <w:rsid w:val="000B0B96"/>
    <w:rsid w:val="000B0E47"/>
    <w:rsid w:val="000B11DC"/>
    <w:rsid w:val="000B1E48"/>
    <w:rsid w:val="000B2048"/>
    <w:rsid w:val="000B234B"/>
    <w:rsid w:val="000B240A"/>
    <w:rsid w:val="000B27F3"/>
    <w:rsid w:val="000B281B"/>
    <w:rsid w:val="000B2863"/>
    <w:rsid w:val="000B2884"/>
    <w:rsid w:val="000B2922"/>
    <w:rsid w:val="000B3152"/>
    <w:rsid w:val="000B340F"/>
    <w:rsid w:val="000B3738"/>
    <w:rsid w:val="000B3E63"/>
    <w:rsid w:val="000B42B7"/>
    <w:rsid w:val="000B4455"/>
    <w:rsid w:val="000B47D1"/>
    <w:rsid w:val="000B4B55"/>
    <w:rsid w:val="000B4C24"/>
    <w:rsid w:val="000B51FA"/>
    <w:rsid w:val="000B541D"/>
    <w:rsid w:val="000B54B9"/>
    <w:rsid w:val="000B5719"/>
    <w:rsid w:val="000B5A50"/>
    <w:rsid w:val="000B5EED"/>
    <w:rsid w:val="000B62DE"/>
    <w:rsid w:val="000B6BC7"/>
    <w:rsid w:val="000B6E98"/>
    <w:rsid w:val="000B71FA"/>
    <w:rsid w:val="000B72C6"/>
    <w:rsid w:val="000B74AA"/>
    <w:rsid w:val="000B757D"/>
    <w:rsid w:val="000B7948"/>
    <w:rsid w:val="000B7A9E"/>
    <w:rsid w:val="000B7C1A"/>
    <w:rsid w:val="000C07AC"/>
    <w:rsid w:val="000C0930"/>
    <w:rsid w:val="000C09D6"/>
    <w:rsid w:val="000C10BE"/>
    <w:rsid w:val="000C152F"/>
    <w:rsid w:val="000C1C3E"/>
    <w:rsid w:val="000C1F7B"/>
    <w:rsid w:val="000C27B5"/>
    <w:rsid w:val="000C2E89"/>
    <w:rsid w:val="000C3206"/>
    <w:rsid w:val="000C386E"/>
    <w:rsid w:val="000C3C91"/>
    <w:rsid w:val="000C417C"/>
    <w:rsid w:val="000C4B8D"/>
    <w:rsid w:val="000C4EAC"/>
    <w:rsid w:val="000C55C7"/>
    <w:rsid w:val="000C6624"/>
    <w:rsid w:val="000D053C"/>
    <w:rsid w:val="000D0D60"/>
    <w:rsid w:val="000D10B8"/>
    <w:rsid w:val="000D11F5"/>
    <w:rsid w:val="000D15C9"/>
    <w:rsid w:val="000D15CB"/>
    <w:rsid w:val="000D172B"/>
    <w:rsid w:val="000D1FF0"/>
    <w:rsid w:val="000D216C"/>
    <w:rsid w:val="000D222F"/>
    <w:rsid w:val="000D2426"/>
    <w:rsid w:val="000D2561"/>
    <w:rsid w:val="000D28B1"/>
    <w:rsid w:val="000D2A2D"/>
    <w:rsid w:val="000D2DE7"/>
    <w:rsid w:val="000D2E7E"/>
    <w:rsid w:val="000D33D1"/>
    <w:rsid w:val="000D3D9C"/>
    <w:rsid w:val="000D40F6"/>
    <w:rsid w:val="000D4748"/>
    <w:rsid w:val="000D4962"/>
    <w:rsid w:val="000D4B04"/>
    <w:rsid w:val="000D5D1B"/>
    <w:rsid w:val="000D6090"/>
    <w:rsid w:val="000D612D"/>
    <w:rsid w:val="000D630B"/>
    <w:rsid w:val="000D6720"/>
    <w:rsid w:val="000D705D"/>
    <w:rsid w:val="000D763A"/>
    <w:rsid w:val="000D787F"/>
    <w:rsid w:val="000E048B"/>
    <w:rsid w:val="000E0F15"/>
    <w:rsid w:val="000E160F"/>
    <w:rsid w:val="000E1F9B"/>
    <w:rsid w:val="000E293C"/>
    <w:rsid w:val="000E2A64"/>
    <w:rsid w:val="000E3133"/>
    <w:rsid w:val="000E320B"/>
    <w:rsid w:val="000E329F"/>
    <w:rsid w:val="000E3718"/>
    <w:rsid w:val="000E3C0F"/>
    <w:rsid w:val="000E4909"/>
    <w:rsid w:val="000E4F16"/>
    <w:rsid w:val="000E5B0A"/>
    <w:rsid w:val="000E5D3D"/>
    <w:rsid w:val="000E5FC9"/>
    <w:rsid w:val="000E617E"/>
    <w:rsid w:val="000E65C9"/>
    <w:rsid w:val="000E6BE5"/>
    <w:rsid w:val="000E6D59"/>
    <w:rsid w:val="000E6DFC"/>
    <w:rsid w:val="000E6F51"/>
    <w:rsid w:val="000E70B8"/>
    <w:rsid w:val="000E72CC"/>
    <w:rsid w:val="000E77C1"/>
    <w:rsid w:val="000E7D12"/>
    <w:rsid w:val="000E7FC6"/>
    <w:rsid w:val="000F0131"/>
    <w:rsid w:val="000F0592"/>
    <w:rsid w:val="000F08A6"/>
    <w:rsid w:val="000F2142"/>
    <w:rsid w:val="000F2265"/>
    <w:rsid w:val="000F2785"/>
    <w:rsid w:val="000F2928"/>
    <w:rsid w:val="000F2F53"/>
    <w:rsid w:val="000F314F"/>
    <w:rsid w:val="000F31E1"/>
    <w:rsid w:val="000F35C7"/>
    <w:rsid w:val="000F3843"/>
    <w:rsid w:val="000F41B4"/>
    <w:rsid w:val="000F510B"/>
    <w:rsid w:val="000F56BC"/>
    <w:rsid w:val="000F5A2A"/>
    <w:rsid w:val="000F656F"/>
    <w:rsid w:val="000F67E1"/>
    <w:rsid w:val="000F698C"/>
    <w:rsid w:val="000F6B7F"/>
    <w:rsid w:val="000F6C3A"/>
    <w:rsid w:val="000F6D4C"/>
    <w:rsid w:val="000F6D4E"/>
    <w:rsid w:val="000F7522"/>
    <w:rsid w:val="000F7D99"/>
    <w:rsid w:val="001000A0"/>
    <w:rsid w:val="0010013B"/>
    <w:rsid w:val="0010015F"/>
    <w:rsid w:val="001002F4"/>
    <w:rsid w:val="001004B0"/>
    <w:rsid w:val="0010058D"/>
    <w:rsid w:val="001010C0"/>
    <w:rsid w:val="00101593"/>
    <w:rsid w:val="00101740"/>
    <w:rsid w:val="00101AB3"/>
    <w:rsid w:val="00101BA4"/>
    <w:rsid w:val="00101E35"/>
    <w:rsid w:val="00101E8E"/>
    <w:rsid w:val="00101F8B"/>
    <w:rsid w:val="0010270F"/>
    <w:rsid w:val="00102BEE"/>
    <w:rsid w:val="00102C0C"/>
    <w:rsid w:val="0010341B"/>
    <w:rsid w:val="0010354F"/>
    <w:rsid w:val="00103FE3"/>
    <w:rsid w:val="001043F5"/>
    <w:rsid w:val="0010441A"/>
    <w:rsid w:val="0010468E"/>
    <w:rsid w:val="00105819"/>
    <w:rsid w:val="001066EC"/>
    <w:rsid w:val="00106CE7"/>
    <w:rsid w:val="00106E70"/>
    <w:rsid w:val="00106F38"/>
    <w:rsid w:val="00107340"/>
    <w:rsid w:val="00107A0B"/>
    <w:rsid w:val="00107FAF"/>
    <w:rsid w:val="00110334"/>
    <w:rsid w:val="001107B5"/>
    <w:rsid w:val="00110B5A"/>
    <w:rsid w:val="00111557"/>
    <w:rsid w:val="00111BA9"/>
    <w:rsid w:val="00111EC0"/>
    <w:rsid w:val="00112000"/>
    <w:rsid w:val="0011233F"/>
    <w:rsid w:val="001127C6"/>
    <w:rsid w:val="00112C07"/>
    <w:rsid w:val="00112C98"/>
    <w:rsid w:val="0011334E"/>
    <w:rsid w:val="00113630"/>
    <w:rsid w:val="00113F92"/>
    <w:rsid w:val="00114004"/>
    <w:rsid w:val="0011550A"/>
    <w:rsid w:val="00116050"/>
    <w:rsid w:val="001164E7"/>
    <w:rsid w:val="0011653A"/>
    <w:rsid w:val="001166A4"/>
    <w:rsid w:val="00116802"/>
    <w:rsid w:val="00116F02"/>
    <w:rsid w:val="00117450"/>
    <w:rsid w:val="001175C3"/>
    <w:rsid w:val="00117A9C"/>
    <w:rsid w:val="00120089"/>
    <w:rsid w:val="001200A6"/>
    <w:rsid w:val="0012011A"/>
    <w:rsid w:val="0012068E"/>
    <w:rsid w:val="00120843"/>
    <w:rsid w:val="00120932"/>
    <w:rsid w:val="00120E98"/>
    <w:rsid w:val="00121269"/>
    <w:rsid w:val="001213C3"/>
    <w:rsid w:val="001215E9"/>
    <w:rsid w:val="00121D7E"/>
    <w:rsid w:val="00121FE3"/>
    <w:rsid w:val="00122239"/>
    <w:rsid w:val="0012230A"/>
    <w:rsid w:val="00122467"/>
    <w:rsid w:val="00122695"/>
    <w:rsid w:val="00122C89"/>
    <w:rsid w:val="00122F21"/>
    <w:rsid w:val="00123347"/>
    <w:rsid w:val="00123EBF"/>
    <w:rsid w:val="001242ED"/>
    <w:rsid w:val="00124510"/>
    <w:rsid w:val="001254B0"/>
    <w:rsid w:val="001258F0"/>
    <w:rsid w:val="00125935"/>
    <w:rsid w:val="00125E07"/>
    <w:rsid w:val="00126008"/>
    <w:rsid w:val="00126475"/>
    <w:rsid w:val="00126837"/>
    <w:rsid w:val="00126BC7"/>
    <w:rsid w:val="00126C1F"/>
    <w:rsid w:val="00126F78"/>
    <w:rsid w:val="00127219"/>
    <w:rsid w:val="001272D5"/>
    <w:rsid w:val="00127396"/>
    <w:rsid w:val="0012778B"/>
    <w:rsid w:val="00127857"/>
    <w:rsid w:val="00127C8F"/>
    <w:rsid w:val="00127E73"/>
    <w:rsid w:val="00130CE0"/>
    <w:rsid w:val="00131914"/>
    <w:rsid w:val="0013196C"/>
    <w:rsid w:val="001319D6"/>
    <w:rsid w:val="00131A62"/>
    <w:rsid w:val="00131AD0"/>
    <w:rsid w:val="00131C5D"/>
    <w:rsid w:val="00132163"/>
    <w:rsid w:val="00132967"/>
    <w:rsid w:val="00132B79"/>
    <w:rsid w:val="00132E1D"/>
    <w:rsid w:val="00132E95"/>
    <w:rsid w:val="00132FFA"/>
    <w:rsid w:val="001331F9"/>
    <w:rsid w:val="00133F94"/>
    <w:rsid w:val="001340D3"/>
    <w:rsid w:val="00134520"/>
    <w:rsid w:val="00134532"/>
    <w:rsid w:val="00134D2A"/>
    <w:rsid w:val="001353FA"/>
    <w:rsid w:val="00135485"/>
    <w:rsid w:val="001354DD"/>
    <w:rsid w:val="0013662C"/>
    <w:rsid w:val="00136810"/>
    <w:rsid w:val="00137CC3"/>
    <w:rsid w:val="001404BC"/>
    <w:rsid w:val="001418DA"/>
    <w:rsid w:val="00142173"/>
    <w:rsid w:val="0014263E"/>
    <w:rsid w:val="0014283F"/>
    <w:rsid w:val="00142DD9"/>
    <w:rsid w:val="001436B4"/>
    <w:rsid w:val="00144555"/>
    <w:rsid w:val="00144BC6"/>
    <w:rsid w:val="001454BB"/>
    <w:rsid w:val="0014720E"/>
    <w:rsid w:val="001472D3"/>
    <w:rsid w:val="0014760A"/>
    <w:rsid w:val="00147646"/>
    <w:rsid w:val="0014777D"/>
    <w:rsid w:val="00147875"/>
    <w:rsid w:val="00150087"/>
    <w:rsid w:val="001507DF"/>
    <w:rsid w:val="00150D3B"/>
    <w:rsid w:val="00151831"/>
    <w:rsid w:val="00151C7E"/>
    <w:rsid w:val="00151D41"/>
    <w:rsid w:val="001523AE"/>
    <w:rsid w:val="00152650"/>
    <w:rsid w:val="001526DB"/>
    <w:rsid w:val="00152D63"/>
    <w:rsid w:val="00153A02"/>
    <w:rsid w:val="00153D14"/>
    <w:rsid w:val="00153DCD"/>
    <w:rsid w:val="00154447"/>
    <w:rsid w:val="00154522"/>
    <w:rsid w:val="001546ED"/>
    <w:rsid w:val="00154AE4"/>
    <w:rsid w:val="00155BF2"/>
    <w:rsid w:val="00155FCD"/>
    <w:rsid w:val="00156C84"/>
    <w:rsid w:val="001572FF"/>
    <w:rsid w:val="0015740E"/>
    <w:rsid w:val="001601A4"/>
    <w:rsid w:val="00160242"/>
    <w:rsid w:val="001604F5"/>
    <w:rsid w:val="00160BBF"/>
    <w:rsid w:val="00160F59"/>
    <w:rsid w:val="00161244"/>
    <w:rsid w:val="001613D1"/>
    <w:rsid w:val="00161491"/>
    <w:rsid w:val="0016166C"/>
    <w:rsid w:val="00161DAB"/>
    <w:rsid w:val="00161DC7"/>
    <w:rsid w:val="001621AB"/>
    <w:rsid w:val="00163738"/>
    <w:rsid w:val="001637D3"/>
    <w:rsid w:val="0016416B"/>
    <w:rsid w:val="00164C09"/>
    <w:rsid w:val="00164CDA"/>
    <w:rsid w:val="00164D6C"/>
    <w:rsid w:val="00165110"/>
    <w:rsid w:val="001651AF"/>
    <w:rsid w:val="00165EB8"/>
    <w:rsid w:val="00165F53"/>
    <w:rsid w:val="0016620C"/>
    <w:rsid w:val="0016686F"/>
    <w:rsid w:val="001669CF"/>
    <w:rsid w:val="00166AFC"/>
    <w:rsid w:val="00166C8F"/>
    <w:rsid w:val="00166CA4"/>
    <w:rsid w:val="00167673"/>
    <w:rsid w:val="00167917"/>
    <w:rsid w:val="00167ABE"/>
    <w:rsid w:val="00167D36"/>
    <w:rsid w:val="00167DB4"/>
    <w:rsid w:val="00167DF9"/>
    <w:rsid w:val="00167F46"/>
    <w:rsid w:val="00170145"/>
    <w:rsid w:val="00170438"/>
    <w:rsid w:val="0017049E"/>
    <w:rsid w:val="0017079E"/>
    <w:rsid w:val="00170B18"/>
    <w:rsid w:val="00170D38"/>
    <w:rsid w:val="00170E52"/>
    <w:rsid w:val="00170F26"/>
    <w:rsid w:val="001710E7"/>
    <w:rsid w:val="00171297"/>
    <w:rsid w:val="001718EB"/>
    <w:rsid w:val="00171B03"/>
    <w:rsid w:val="00171FBE"/>
    <w:rsid w:val="001727DE"/>
    <w:rsid w:val="0017295A"/>
    <w:rsid w:val="00172B13"/>
    <w:rsid w:val="00172B7B"/>
    <w:rsid w:val="0017449F"/>
    <w:rsid w:val="00174C32"/>
    <w:rsid w:val="00174F78"/>
    <w:rsid w:val="00175A11"/>
    <w:rsid w:val="00175EA1"/>
    <w:rsid w:val="0017610B"/>
    <w:rsid w:val="00176248"/>
    <w:rsid w:val="001768DD"/>
    <w:rsid w:val="001768E9"/>
    <w:rsid w:val="001769F8"/>
    <w:rsid w:val="00177A51"/>
    <w:rsid w:val="0018025B"/>
    <w:rsid w:val="001805B1"/>
    <w:rsid w:val="00180EF8"/>
    <w:rsid w:val="00181DC3"/>
    <w:rsid w:val="00182B7A"/>
    <w:rsid w:val="00182DC8"/>
    <w:rsid w:val="0018356A"/>
    <w:rsid w:val="00183787"/>
    <w:rsid w:val="00183C71"/>
    <w:rsid w:val="00183EB1"/>
    <w:rsid w:val="00184209"/>
    <w:rsid w:val="001842D1"/>
    <w:rsid w:val="00184668"/>
    <w:rsid w:val="00185026"/>
    <w:rsid w:val="001852F2"/>
    <w:rsid w:val="00185CC3"/>
    <w:rsid w:val="00185E4F"/>
    <w:rsid w:val="001865EF"/>
    <w:rsid w:val="00186629"/>
    <w:rsid w:val="00186B95"/>
    <w:rsid w:val="00187973"/>
    <w:rsid w:val="00187C1B"/>
    <w:rsid w:val="00187C41"/>
    <w:rsid w:val="00187DC0"/>
    <w:rsid w:val="0019028E"/>
    <w:rsid w:val="001909FD"/>
    <w:rsid w:val="00190C23"/>
    <w:rsid w:val="00190DBB"/>
    <w:rsid w:val="00190EBA"/>
    <w:rsid w:val="00191286"/>
    <w:rsid w:val="001917D6"/>
    <w:rsid w:val="001920C6"/>
    <w:rsid w:val="00192914"/>
    <w:rsid w:val="00192BF9"/>
    <w:rsid w:val="00192C27"/>
    <w:rsid w:val="00192DD8"/>
    <w:rsid w:val="00192F35"/>
    <w:rsid w:val="00192FCF"/>
    <w:rsid w:val="00192FF0"/>
    <w:rsid w:val="00193835"/>
    <w:rsid w:val="00193A17"/>
    <w:rsid w:val="00193B15"/>
    <w:rsid w:val="00193C2B"/>
    <w:rsid w:val="001940EB"/>
    <w:rsid w:val="00194430"/>
    <w:rsid w:val="001945B6"/>
    <w:rsid w:val="001947CB"/>
    <w:rsid w:val="0019498B"/>
    <w:rsid w:val="001949BE"/>
    <w:rsid w:val="00194B69"/>
    <w:rsid w:val="001953BF"/>
    <w:rsid w:val="00195D7B"/>
    <w:rsid w:val="00196B12"/>
    <w:rsid w:val="00196B44"/>
    <w:rsid w:val="001973AB"/>
    <w:rsid w:val="001975EE"/>
    <w:rsid w:val="001977AB"/>
    <w:rsid w:val="00197A5A"/>
    <w:rsid w:val="001A03F5"/>
    <w:rsid w:val="001A0717"/>
    <w:rsid w:val="001A0A3E"/>
    <w:rsid w:val="001A0FD9"/>
    <w:rsid w:val="001A1029"/>
    <w:rsid w:val="001A10FD"/>
    <w:rsid w:val="001A19E5"/>
    <w:rsid w:val="001A2608"/>
    <w:rsid w:val="001A2C78"/>
    <w:rsid w:val="001A2E88"/>
    <w:rsid w:val="001A3B87"/>
    <w:rsid w:val="001A3B94"/>
    <w:rsid w:val="001A4553"/>
    <w:rsid w:val="001A4657"/>
    <w:rsid w:val="001A46AF"/>
    <w:rsid w:val="001A49C7"/>
    <w:rsid w:val="001A4E29"/>
    <w:rsid w:val="001A5453"/>
    <w:rsid w:val="001A57E5"/>
    <w:rsid w:val="001A5A9E"/>
    <w:rsid w:val="001A5C5F"/>
    <w:rsid w:val="001A5C99"/>
    <w:rsid w:val="001A62B6"/>
    <w:rsid w:val="001A6617"/>
    <w:rsid w:val="001A6C54"/>
    <w:rsid w:val="001A6D48"/>
    <w:rsid w:val="001A7177"/>
    <w:rsid w:val="001A733B"/>
    <w:rsid w:val="001A7526"/>
    <w:rsid w:val="001A7B4D"/>
    <w:rsid w:val="001B0062"/>
    <w:rsid w:val="001B0317"/>
    <w:rsid w:val="001B0B18"/>
    <w:rsid w:val="001B0E6E"/>
    <w:rsid w:val="001B1545"/>
    <w:rsid w:val="001B1799"/>
    <w:rsid w:val="001B1F2D"/>
    <w:rsid w:val="001B237B"/>
    <w:rsid w:val="001B237E"/>
    <w:rsid w:val="001B24C6"/>
    <w:rsid w:val="001B26A4"/>
    <w:rsid w:val="001B2F22"/>
    <w:rsid w:val="001B32A0"/>
    <w:rsid w:val="001B3D0B"/>
    <w:rsid w:val="001B432E"/>
    <w:rsid w:val="001B443F"/>
    <w:rsid w:val="001B4982"/>
    <w:rsid w:val="001B4A42"/>
    <w:rsid w:val="001B4B3D"/>
    <w:rsid w:val="001B4DCB"/>
    <w:rsid w:val="001B5299"/>
    <w:rsid w:val="001B53DB"/>
    <w:rsid w:val="001B559E"/>
    <w:rsid w:val="001B55D0"/>
    <w:rsid w:val="001B5879"/>
    <w:rsid w:val="001B59B3"/>
    <w:rsid w:val="001B5CE9"/>
    <w:rsid w:val="001B5F0E"/>
    <w:rsid w:val="001B5F56"/>
    <w:rsid w:val="001B7138"/>
    <w:rsid w:val="001B737A"/>
    <w:rsid w:val="001B7665"/>
    <w:rsid w:val="001B7BB0"/>
    <w:rsid w:val="001C001B"/>
    <w:rsid w:val="001C0063"/>
    <w:rsid w:val="001C0418"/>
    <w:rsid w:val="001C11F8"/>
    <w:rsid w:val="001C19DB"/>
    <w:rsid w:val="001C2A37"/>
    <w:rsid w:val="001C2C1A"/>
    <w:rsid w:val="001C2F68"/>
    <w:rsid w:val="001C3473"/>
    <w:rsid w:val="001C3F6B"/>
    <w:rsid w:val="001C41FA"/>
    <w:rsid w:val="001C41FE"/>
    <w:rsid w:val="001C46FB"/>
    <w:rsid w:val="001C471F"/>
    <w:rsid w:val="001C4927"/>
    <w:rsid w:val="001C4A27"/>
    <w:rsid w:val="001C501D"/>
    <w:rsid w:val="001C5348"/>
    <w:rsid w:val="001C5450"/>
    <w:rsid w:val="001C5B97"/>
    <w:rsid w:val="001C6010"/>
    <w:rsid w:val="001C604C"/>
    <w:rsid w:val="001C6522"/>
    <w:rsid w:val="001C662F"/>
    <w:rsid w:val="001C664F"/>
    <w:rsid w:val="001C705D"/>
    <w:rsid w:val="001C7509"/>
    <w:rsid w:val="001C7A3F"/>
    <w:rsid w:val="001C7A4A"/>
    <w:rsid w:val="001D01A5"/>
    <w:rsid w:val="001D0612"/>
    <w:rsid w:val="001D0AAC"/>
    <w:rsid w:val="001D0E2D"/>
    <w:rsid w:val="001D1183"/>
    <w:rsid w:val="001D1308"/>
    <w:rsid w:val="001D1904"/>
    <w:rsid w:val="001D1EF5"/>
    <w:rsid w:val="001D2B12"/>
    <w:rsid w:val="001D2B36"/>
    <w:rsid w:val="001D2CF0"/>
    <w:rsid w:val="001D2F19"/>
    <w:rsid w:val="001D3384"/>
    <w:rsid w:val="001D39C2"/>
    <w:rsid w:val="001D3C13"/>
    <w:rsid w:val="001D3F2C"/>
    <w:rsid w:val="001D4289"/>
    <w:rsid w:val="001D462B"/>
    <w:rsid w:val="001D47E9"/>
    <w:rsid w:val="001D49C8"/>
    <w:rsid w:val="001D4DA4"/>
    <w:rsid w:val="001D4F01"/>
    <w:rsid w:val="001D55BC"/>
    <w:rsid w:val="001D5D72"/>
    <w:rsid w:val="001D5DA0"/>
    <w:rsid w:val="001D5EC7"/>
    <w:rsid w:val="001D5F65"/>
    <w:rsid w:val="001D7255"/>
    <w:rsid w:val="001D73F1"/>
    <w:rsid w:val="001D78CD"/>
    <w:rsid w:val="001D78DF"/>
    <w:rsid w:val="001E0366"/>
    <w:rsid w:val="001E0733"/>
    <w:rsid w:val="001E0C40"/>
    <w:rsid w:val="001E0C93"/>
    <w:rsid w:val="001E1247"/>
    <w:rsid w:val="001E130D"/>
    <w:rsid w:val="001E14F9"/>
    <w:rsid w:val="001E185F"/>
    <w:rsid w:val="001E1E56"/>
    <w:rsid w:val="001E201D"/>
    <w:rsid w:val="001E2256"/>
    <w:rsid w:val="001E259F"/>
    <w:rsid w:val="001E32D7"/>
    <w:rsid w:val="001E3345"/>
    <w:rsid w:val="001E3A71"/>
    <w:rsid w:val="001E3BFB"/>
    <w:rsid w:val="001E3CF5"/>
    <w:rsid w:val="001E40DD"/>
    <w:rsid w:val="001E46C5"/>
    <w:rsid w:val="001E4D16"/>
    <w:rsid w:val="001E5757"/>
    <w:rsid w:val="001E5A1F"/>
    <w:rsid w:val="001E5DB0"/>
    <w:rsid w:val="001E64C5"/>
    <w:rsid w:val="001E6647"/>
    <w:rsid w:val="001E68A6"/>
    <w:rsid w:val="001E6D55"/>
    <w:rsid w:val="001E6E20"/>
    <w:rsid w:val="001E7752"/>
    <w:rsid w:val="001E775E"/>
    <w:rsid w:val="001E77B4"/>
    <w:rsid w:val="001E7A59"/>
    <w:rsid w:val="001F08B9"/>
    <w:rsid w:val="001F0D11"/>
    <w:rsid w:val="001F0F02"/>
    <w:rsid w:val="001F163A"/>
    <w:rsid w:val="001F1813"/>
    <w:rsid w:val="001F1885"/>
    <w:rsid w:val="001F1C03"/>
    <w:rsid w:val="001F236F"/>
    <w:rsid w:val="001F2961"/>
    <w:rsid w:val="001F298B"/>
    <w:rsid w:val="001F32B7"/>
    <w:rsid w:val="001F34CC"/>
    <w:rsid w:val="001F46FB"/>
    <w:rsid w:val="001F5091"/>
    <w:rsid w:val="001F55E8"/>
    <w:rsid w:val="001F562D"/>
    <w:rsid w:val="001F5D70"/>
    <w:rsid w:val="001F5E6B"/>
    <w:rsid w:val="001F639E"/>
    <w:rsid w:val="001F6411"/>
    <w:rsid w:val="001F65BD"/>
    <w:rsid w:val="001F6A01"/>
    <w:rsid w:val="001F6D16"/>
    <w:rsid w:val="001F6E73"/>
    <w:rsid w:val="001F7878"/>
    <w:rsid w:val="001F7B6F"/>
    <w:rsid w:val="001F7C6D"/>
    <w:rsid w:val="001F7E8B"/>
    <w:rsid w:val="001F7F7A"/>
    <w:rsid w:val="0020001B"/>
    <w:rsid w:val="00200189"/>
    <w:rsid w:val="002007CB"/>
    <w:rsid w:val="002007D9"/>
    <w:rsid w:val="00200876"/>
    <w:rsid w:val="00200DCF"/>
    <w:rsid w:val="002015D0"/>
    <w:rsid w:val="00201938"/>
    <w:rsid w:val="002020DA"/>
    <w:rsid w:val="00202995"/>
    <w:rsid w:val="00202F71"/>
    <w:rsid w:val="0020336E"/>
    <w:rsid w:val="00203F86"/>
    <w:rsid w:val="002043F3"/>
    <w:rsid w:val="002045F5"/>
    <w:rsid w:val="0020465F"/>
    <w:rsid w:val="00204821"/>
    <w:rsid w:val="002049CF"/>
    <w:rsid w:val="00204BA7"/>
    <w:rsid w:val="00205450"/>
    <w:rsid w:val="0020570E"/>
    <w:rsid w:val="002057BB"/>
    <w:rsid w:val="0020580E"/>
    <w:rsid w:val="00205BD0"/>
    <w:rsid w:val="00205BE4"/>
    <w:rsid w:val="00205D5F"/>
    <w:rsid w:val="00205FBA"/>
    <w:rsid w:val="0020642D"/>
    <w:rsid w:val="00207B01"/>
    <w:rsid w:val="00207E5A"/>
    <w:rsid w:val="00210D44"/>
    <w:rsid w:val="00210DFD"/>
    <w:rsid w:val="0021108B"/>
    <w:rsid w:val="00211BE5"/>
    <w:rsid w:val="00211FC8"/>
    <w:rsid w:val="0021249F"/>
    <w:rsid w:val="00212D8F"/>
    <w:rsid w:val="00213355"/>
    <w:rsid w:val="002134E4"/>
    <w:rsid w:val="00213DBE"/>
    <w:rsid w:val="002140CE"/>
    <w:rsid w:val="00214877"/>
    <w:rsid w:val="002149F0"/>
    <w:rsid w:val="00215533"/>
    <w:rsid w:val="002155BB"/>
    <w:rsid w:val="002156C7"/>
    <w:rsid w:val="0021607E"/>
    <w:rsid w:val="002162BC"/>
    <w:rsid w:val="002166EC"/>
    <w:rsid w:val="0021671F"/>
    <w:rsid w:val="00216761"/>
    <w:rsid w:val="00216B7F"/>
    <w:rsid w:val="00217009"/>
    <w:rsid w:val="00217013"/>
    <w:rsid w:val="00217582"/>
    <w:rsid w:val="00217AFC"/>
    <w:rsid w:val="00217E2E"/>
    <w:rsid w:val="00220347"/>
    <w:rsid w:val="002203F3"/>
    <w:rsid w:val="002205F6"/>
    <w:rsid w:val="0022114C"/>
    <w:rsid w:val="002211C2"/>
    <w:rsid w:val="002212E8"/>
    <w:rsid w:val="002219B8"/>
    <w:rsid w:val="00221C43"/>
    <w:rsid w:val="00221CC7"/>
    <w:rsid w:val="00221E7F"/>
    <w:rsid w:val="00222691"/>
    <w:rsid w:val="0022303E"/>
    <w:rsid w:val="00223259"/>
    <w:rsid w:val="0022375D"/>
    <w:rsid w:val="002237BB"/>
    <w:rsid w:val="002238BA"/>
    <w:rsid w:val="0022411A"/>
    <w:rsid w:val="0022432D"/>
    <w:rsid w:val="00224B67"/>
    <w:rsid w:val="00224D38"/>
    <w:rsid w:val="00224FA9"/>
    <w:rsid w:val="0022601C"/>
    <w:rsid w:val="0022639E"/>
    <w:rsid w:val="00226407"/>
    <w:rsid w:val="00226542"/>
    <w:rsid w:val="00226AA7"/>
    <w:rsid w:val="00226B44"/>
    <w:rsid w:val="00227086"/>
    <w:rsid w:val="002272B6"/>
    <w:rsid w:val="00227599"/>
    <w:rsid w:val="0023019F"/>
    <w:rsid w:val="00231202"/>
    <w:rsid w:val="002314FA"/>
    <w:rsid w:val="00231594"/>
    <w:rsid w:val="00231711"/>
    <w:rsid w:val="00231F70"/>
    <w:rsid w:val="00232360"/>
    <w:rsid w:val="0023242C"/>
    <w:rsid w:val="00232AB7"/>
    <w:rsid w:val="00232DDB"/>
    <w:rsid w:val="00233614"/>
    <w:rsid w:val="00233C2E"/>
    <w:rsid w:val="00234232"/>
    <w:rsid w:val="0023473C"/>
    <w:rsid w:val="00234E16"/>
    <w:rsid w:val="0023528F"/>
    <w:rsid w:val="00235330"/>
    <w:rsid w:val="00235893"/>
    <w:rsid w:val="00236349"/>
    <w:rsid w:val="00236753"/>
    <w:rsid w:val="00236768"/>
    <w:rsid w:val="00236AB7"/>
    <w:rsid w:val="00236B9A"/>
    <w:rsid w:val="00236DFA"/>
    <w:rsid w:val="00237152"/>
    <w:rsid w:val="002372B9"/>
    <w:rsid w:val="00237718"/>
    <w:rsid w:val="0023792C"/>
    <w:rsid w:val="00237BFE"/>
    <w:rsid w:val="00237DE1"/>
    <w:rsid w:val="00240609"/>
    <w:rsid w:val="002407DB"/>
    <w:rsid w:val="00240B3B"/>
    <w:rsid w:val="00240BD9"/>
    <w:rsid w:val="00240FF7"/>
    <w:rsid w:val="0024101C"/>
    <w:rsid w:val="00241523"/>
    <w:rsid w:val="002415C1"/>
    <w:rsid w:val="00241B20"/>
    <w:rsid w:val="00241B2F"/>
    <w:rsid w:val="00241B8E"/>
    <w:rsid w:val="00241F48"/>
    <w:rsid w:val="00242352"/>
    <w:rsid w:val="002430C1"/>
    <w:rsid w:val="002434FD"/>
    <w:rsid w:val="00243876"/>
    <w:rsid w:val="00243924"/>
    <w:rsid w:val="00243BFA"/>
    <w:rsid w:val="002441E6"/>
    <w:rsid w:val="00244560"/>
    <w:rsid w:val="002445B5"/>
    <w:rsid w:val="0024525A"/>
    <w:rsid w:val="002452B0"/>
    <w:rsid w:val="002453CC"/>
    <w:rsid w:val="00245898"/>
    <w:rsid w:val="00245AE8"/>
    <w:rsid w:val="00245E82"/>
    <w:rsid w:val="00246057"/>
    <w:rsid w:val="002468F9"/>
    <w:rsid w:val="00246B72"/>
    <w:rsid w:val="00246C67"/>
    <w:rsid w:val="00247386"/>
    <w:rsid w:val="0024907D"/>
    <w:rsid w:val="00250325"/>
    <w:rsid w:val="00250679"/>
    <w:rsid w:val="00250880"/>
    <w:rsid w:val="00250AD8"/>
    <w:rsid w:val="00250E19"/>
    <w:rsid w:val="00251168"/>
    <w:rsid w:val="002517FC"/>
    <w:rsid w:val="00251D7A"/>
    <w:rsid w:val="0025237E"/>
    <w:rsid w:val="0025268E"/>
    <w:rsid w:val="00252CC9"/>
    <w:rsid w:val="00252DF4"/>
    <w:rsid w:val="00253277"/>
    <w:rsid w:val="00253710"/>
    <w:rsid w:val="0025379D"/>
    <w:rsid w:val="00253DCB"/>
    <w:rsid w:val="00253ED5"/>
    <w:rsid w:val="00254119"/>
    <w:rsid w:val="0025440C"/>
    <w:rsid w:val="00254755"/>
    <w:rsid w:val="00254A1D"/>
    <w:rsid w:val="002551F8"/>
    <w:rsid w:val="002553FC"/>
    <w:rsid w:val="002553FD"/>
    <w:rsid w:val="0025541F"/>
    <w:rsid w:val="00255761"/>
    <w:rsid w:val="00255F29"/>
    <w:rsid w:val="00256799"/>
    <w:rsid w:val="002567D0"/>
    <w:rsid w:val="00256E75"/>
    <w:rsid w:val="00257024"/>
    <w:rsid w:val="002570D8"/>
    <w:rsid w:val="00257544"/>
    <w:rsid w:val="0026030B"/>
    <w:rsid w:val="0026054A"/>
    <w:rsid w:val="002605EB"/>
    <w:rsid w:val="002606A9"/>
    <w:rsid w:val="00260809"/>
    <w:rsid w:val="00260C68"/>
    <w:rsid w:val="00260FC7"/>
    <w:rsid w:val="002612AA"/>
    <w:rsid w:val="00261534"/>
    <w:rsid w:val="002620AB"/>
    <w:rsid w:val="002622CD"/>
    <w:rsid w:val="00262A70"/>
    <w:rsid w:val="00262DEC"/>
    <w:rsid w:val="00262F9E"/>
    <w:rsid w:val="002635D1"/>
    <w:rsid w:val="00263F95"/>
    <w:rsid w:val="0026442C"/>
    <w:rsid w:val="00264A40"/>
    <w:rsid w:val="0026532E"/>
    <w:rsid w:val="002653E0"/>
    <w:rsid w:val="00266098"/>
    <w:rsid w:val="0026662B"/>
    <w:rsid w:val="002667A5"/>
    <w:rsid w:val="0026726B"/>
    <w:rsid w:val="00267467"/>
    <w:rsid w:val="00267B2D"/>
    <w:rsid w:val="00270068"/>
    <w:rsid w:val="0027030E"/>
    <w:rsid w:val="0027072C"/>
    <w:rsid w:val="00271190"/>
    <w:rsid w:val="0027171A"/>
    <w:rsid w:val="00271868"/>
    <w:rsid w:val="00271D23"/>
    <w:rsid w:val="00271EB6"/>
    <w:rsid w:val="002723FA"/>
    <w:rsid w:val="0027257D"/>
    <w:rsid w:val="00272F68"/>
    <w:rsid w:val="002731E2"/>
    <w:rsid w:val="002736D1"/>
    <w:rsid w:val="00273A9A"/>
    <w:rsid w:val="002749AA"/>
    <w:rsid w:val="00275A6F"/>
    <w:rsid w:val="002761BA"/>
    <w:rsid w:val="002762EA"/>
    <w:rsid w:val="0027720C"/>
    <w:rsid w:val="00277554"/>
    <w:rsid w:val="00277721"/>
    <w:rsid w:val="00277D08"/>
    <w:rsid w:val="00277E7E"/>
    <w:rsid w:val="00277F6C"/>
    <w:rsid w:val="0028081C"/>
    <w:rsid w:val="00280983"/>
    <w:rsid w:val="0028099A"/>
    <w:rsid w:val="00280AB5"/>
    <w:rsid w:val="00280D2D"/>
    <w:rsid w:val="002813C3"/>
    <w:rsid w:val="002813C4"/>
    <w:rsid w:val="00281545"/>
    <w:rsid w:val="002818DE"/>
    <w:rsid w:val="00281BC7"/>
    <w:rsid w:val="00281F5E"/>
    <w:rsid w:val="00282735"/>
    <w:rsid w:val="00282C4F"/>
    <w:rsid w:val="002830FE"/>
    <w:rsid w:val="002832E1"/>
    <w:rsid w:val="00283ABB"/>
    <w:rsid w:val="002850B3"/>
    <w:rsid w:val="00286BA2"/>
    <w:rsid w:val="00286DD1"/>
    <w:rsid w:val="00286F37"/>
    <w:rsid w:val="00287494"/>
    <w:rsid w:val="002875DF"/>
    <w:rsid w:val="00287876"/>
    <w:rsid w:val="0029047E"/>
    <w:rsid w:val="002908D4"/>
    <w:rsid w:val="00290939"/>
    <w:rsid w:val="00290F42"/>
    <w:rsid w:val="002915D0"/>
    <w:rsid w:val="00291920"/>
    <w:rsid w:val="002919CB"/>
    <w:rsid w:val="00291A35"/>
    <w:rsid w:val="0029209B"/>
    <w:rsid w:val="002920EB"/>
    <w:rsid w:val="002923C6"/>
    <w:rsid w:val="00292AE0"/>
    <w:rsid w:val="00292B46"/>
    <w:rsid w:val="00292F93"/>
    <w:rsid w:val="002933F6"/>
    <w:rsid w:val="002933F8"/>
    <w:rsid w:val="0029386A"/>
    <w:rsid w:val="00293AC9"/>
    <w:rsid w:val="00293C08"/>
    <w:rsid w:val="00293C25"/>
    <w:rsid w:val="00293D22"/>
    <w:rsid w:val="00294B02"/>
    <w:rsid w:val="00295069"/>
    <w:rsid w:val="002952CF"/>
    <w:rsid w:val="00295C94"/>
    <w:rsid w:val="00295D9E"/>
    <w:rsid w:val="00295E33"/>
    <w:rsid w:val="00296661"/>
    <w:rsid w:val="0029679F"/>
    <w:rsid w:val="0029779A"/>
    <w:rsid w:val="002977DB"/>
    <w:rsid w:val="002979B2"/>
    <w:rsid w:val="002A000A"/>
    <w:rsid w:val="002A0093"/>
    <w:rsid w:val="002A043A"/>
    <w:rsid w:val="002A06DE"/>
    <w:rsid w:val="002A0E5C"/>
    <w:rsid w:val="002A0F04"/>
    <w:rsid w:val="002A11EB"/>
    <w:rsid w:val="002A19C7"/>
    <w:rsid w:val="002A19DF"/>
    <w:rsid w:val="002A2436"/>
    <w:rsid w:val="002A2447"/>
    <w:rsid w:val="002A246A"/>
    <w:rsid w:val="002A2772"/>
    <w:rsid w:val="002A2EE7"/>
    <w:rsid w:val="002A340B"/>
    <w:rsid w:val="002A3B8B"/>
    <w:rsid w:val="002A3EF7"/>
    <w:rsid w:val="002A40E6"/>
    <w:rsid w:val="002A421E"/>
    <w:rsid w:val="002A4C5B"/>
    <w:rsid w:val="002A4C7A"/>
    <w:rsid w:val="002A4E65"/>
    <w:rsid w:val="002A509F"/>
    <w:rsid w:val="002A50A2"/>
    <w:rsid w:val="002A5A82"/>
    <w:rsid w:val="002A5CFC"/>
    <w:rsid w:val="002A5EA9"/>
    <w:rsid w:val="002A5EC2"/>
    <w:rsid w:val="002A6223"/>
    <w:rsid w:val="002A6B10"/>
    <w:rsid w:val="002A6D2E"/>
    <w:rsid w:val="002A7EA7"/>
    <w:rsid w:val="002B0154"/>
    <w:rsid w:val="002B0412"/>
    <w:rsid w:val="002B0C2A"/>
    <w:rsid w:val="002B0C36"/>
    <w:rsid w:val="002B0D2B"/>
    <w:rsid w:val="002B10D6"/>
    <w:rsid w:val="002B13AE"/>
    <w:rsid w:val="002B1B48"/>
    <w:rsid w:val="002B25CD"/>
    <w:rsid w:val="002B2AF5"/>
    <w:rsid w:val="002B317C"/>
    <w:rsid w:val="002B350B"/>
    <w:rsid w:val="002B36A0"/>
    <w:rsid w:val="002B36FE"/>
    <w:rsid w:val="002B39E4"/>
    <w:rsid w:val="002B40E2"/>
    <w:rsid w:val="002B41D8"/>
    <w:rsid w:val="002B44E6"/>
    <w:rsid w:val="002B53B5"/>
    <w:rsid w:val="002B5502"/>
    <w:rsid w:val="002B589C"/>
    <w:rsid w:val="002B6206"/>
    <w:rsid w:val="002B64F1"/>
    <w:rsid w:val="002B6606"/>
    <w:rsid w:val="002C0671"/>
    <w:rsid w:val="002C12EF"/>
    <w:rsid w:val="002C12FD"/>
    <w:rsid w:val="002C14EC"/>
    <w:rsid w:val="002C16F7"/>
    <w:rsid w:val="002C173F"/>
    <w:rsid w:val="002C27AF"/>
    <w:rsid w:val="002C2A84"/>
    <w:rsid w:val="002C3549"/>
    <w:rsid w:val="002C3C0B"/>
    <w:rsid w:val="002C4010"/>
    <w:rsid w:val="002C45A8"/>
    <w:rsid w:val="002C4939"/>
    <w:rsid w:val="002C5257"/>
    <w:rsid w:val="002C5559"/>
    <w:rsid w:val="002C5BD2"/>
    <w:rsid w:val="002C5F25"/>
    <w:rsid w:val="002C6209"/>
    <w:rsid w:val="002C6363"/>
    <w:rsid w:val="002C637F"/>
    <w:rsid w:val="002C6B70"/>
    <w:rsid w:val="002C7102"/>
    <w:rsid w:val="002C77C4"/>
    <w:rsid w:val="002D00F4"/>
    <w:rsid w:val="002D0153"/>
    <w:rsid w:val="002D05FF"/>
    <w:rsid w:val="002D1B37"/>
    <w:rsid w:val="002D20EF"/>
    <w:rsid w:val="002D265C"/>
    <w:rsid w:val="002D2847"/>
    <w:rsid w:val="002D2FA3"/>
    <w:rsid w:val="002D3585"/>
    <w:rsid w:val="002D3A47"/>
    <w:rsid w:val="002D4237"/>
    <w:rsid w:val="002D469B"/>
    <w:rsid w:val="002D48DF"/>
    <w:rsid w:val="002D4A17"/>
    <w:rsid w:val="002D4D2E"/>
    <w:rsid w:val="002D4FBA"/>
    <w:rsid w:val="002D5E76"/>
    <w:rsid w:val="002D674D"/>
    <w:rsid w:val="002D6A4A"/>
    <w:rsid w:val="002D6AFD"/>
    <w:rsid w:val="002D6E6B"/>
    <w:rsid w:val="002D6EAB"/>
    <w:rsid w:val="002D71D0"/>
    <w:rsid w:val="002D7B03"/>
    <w:rsid w:val="002E0016"/>
    <w:rsid w:val="002E02DA"/>
    <w:rsid w:val="002E0399"/>
    <w:rsid w:val="002E051E"/>
    <w:rsid w:val="002E053C"/>
    <w:rsid w:val="002E0684"/>
    <w:rsid w:val="002E0914"/>
    <w:rsid w:val="002E0A96"/>
    <w:rsid w:val="002E0DBC"/>
    <w:rsid w:val="002E0E5B"/>
    <w:rsid w:val="002E11B9"/>
    <w:rsid w:val="002E125C"/>
    <w:rsid w:val="002E18AA"/>
    <w:rsid w:val="002E1ACA"/>
    <w:rsid w:val="002E1EAE"/>
    <w:rsid w:val="002E2CBE"/>
    <w:rsid w:val="002E2ECA"/>
    <w:rsid w:val="002E32A7"/>
    <w:rsid w:val="002E3430"/>
    <w:rsid w:val="002E3AF3"/>
    <w:rsid w:val="002E3B43"/>
    <w:rsid w:val="002E44BC"/>
    <w:rsid w:val="002E44E1"/>
    <w:rsid w:val="002E4647"/>
    <w:rsid w:val="002E49C9"/>
    <w:rsid w:val="002E4AA2"/>
    <w:rsid w:val="002E4E7A"/>
    <w:rsid w:val="002E4F57"/>
    <w:rsid w:val="002E5085"/>
    <w:rsid w:val="002E50E6"/>
    <w:rsid w:val="002E62FB"/>
    <w:rsid w:val="002E6D9D"/>
    <w:rsid w:val="002E73F3"/>
    <w:rsid w:val="002E7495"/>
    <w:rsid w:val="002E74C4"/>
    <w:rsid w:val="002E7860"/>
    <w:rsid w:val="002E7913"/>
    <w:rsid w:val="002E7E69"/>
    <w:rsid w:val="002F07B6"/>
    <w:rsid w:val="002F0C6B"/>
    <w:rsid w:val="002F0C9C"/>
    <w:rsid w:val="002F1948"/>
    <w:rsid w:val="002F1B53"/>
    <w:rsid w:val="002F1B6E"/>
    <w:rsid w:val="002F1E0D"/>
    <w:rsid w:val="002F1E3E"/>
    <w:rsid w:val="002F211D"/>
    <w:rsid w:val="002F2490"/>
    <w:rsid w:val="002F2C3E"/>
    <w:rsid w:val="002F2E9F"/>
    <w:rsid w:val="002F30A9"/>
    <w:rsid w:val="002F3276"/>
    <w:rsid w:val="002F32BF"/>
    <w:rsid w:val="002F358B"/>
    <w:rsid w:val="002F36AB"/>
    <w:rsid w:val="002F374F"/>
    <w:rsid w:val="002F3BA8"/>
    <w:rsid w:val="002F4420"/>
    <w:rsid w:val="002F4B69"/>
    <w:rsid w:val="002F51DC"/>
    <w:rsid w:val="002F5283"/>
    <w:rsid w:val="002F52EF"/>
    <w:rsid w:val="002F5516"/>
    <w:rsid w:val="002F575C"/>
    <w:rsid w:val="002F58A0"/>
    <w:rsid w:val="002F5D64"/>
    <w:rsid w:val="002F6306"/>
    <w:rsid w:val="002F64D7"/>
    <w:rsid w:val="002F6624"/>
    <w:rsid w:val="002F6CEC"/>
    <w:rsid w:val="002F6FAF"/>
    <w:rsid w:val="002F70A5"/>
    <w:rsid w:val="002F76AC"/>
    <w:rsid w:val="002F7CA0"/>
    <w:rsid w:val="003006E7"/>
    <w:rsid w:val="0030077F"/>
    <w:rsid w:val="00300B97"/>
    <w:rsid w:val="00300F4E"/>
    <w:rsid w:val="003011FF"/>
    <w:rsid w:val="003016FF"/>
    <w:rsid w:val="00301CF4"/>
    <w:rsid w:val="00301ED5"/>
    <w:rsid w:val="00301F90"/>
    <w:rsid w:val="00302BE0"/>
    <w:rsid w:val="00303C4B"/>
    <w:rsid w:val="0030416E"/>
    <w:rsid w:val="00304B75"/>
    <w:rsid w:val="00305348"/>
    <w:rsid w:val="00305CA2"/>
    <w:rsid w:val="00305EB6"/>
    <w:rsid w:val="0030652A"/>
    <w:rsid w:val="00306764"/>
    <w:rsid w:val="00306927"/>
    <w:rsid w:val="00307350"/>
    <w:rsid w:val="0030773D"/>
    <w:rsid w:val="00307964"/>
    <w:rsid w:val="00307F11"/>
    <w:rsid w:val="00307FEA"/>
    <w:rsid w:val="0031050B"/>
    <w:rsid w:val="003107FD"/>
    <w:rsid w:val="00310C65"/>
    <w:rsid w:val="00311452"/>
    <w:rsid w:val="003116FC"/>
    <w:rsid w:val="00311992"/>
    <w:rsid w:val="00311D00"/>
    <w:rsid w:val="0031221C"/>
    <w:rsid w:val="0031246D"/>
    <w:rsid w:val="00312564"/>
    <w:rsid w:val="00312716"/>
    <w:rsid w:val="00312EEF"/>
    <w:rsid w:val="003132F7"/>
    <w:rsid w:val="0031331A"/>
    <w:rsid w:val="0031374B"/>
    <w:rsid w:val="00313CB9"/>
    <w:rsid w:val="003140BA"/>
    <w:rsid w:val="0031444C"/>
    <w:rsid w:val="00314C0A"/>
    <w:rsid w:val="00314C75"/>
    <w:rsid w:val="003152E6"/>
    <w:rsid w:val="00315B35"/>
    <w:rsid w:val="00315B6C"/>
    <w:rsid w:val="00315BC9"/>
    <w:rsid w:val="00315CBE"/>
    <w:rsid w:val="00316688"/>
    <w:rsid w:val="00316823"/>
    <w:rsid w:val="0031695D"/>
    <w:rsid w:val="00316B27"/>
    <w:rsid w:val="00316EB9"/>
    <w:rsid w:val="00316FAB"/>
    <w:rsid w:val="00316FEF"/>
    <w:rsid w:val="003171D7"/>
    <w:rsid w:val="003173AA"/>
    <w:rsid w:val="003174DE"/>
    <w:rsid w:val="00317618"/>
    <w:rsid w:val="00317696"/>
    <w:rsid w:val="00317A75"/>
    <w:rsid w:val="00317BEA"/>
    <w:rsid w:val="0032022A"/>
    <w:rsid w:val="00320454"/>
    <w:rsid w:val="0032079E"/>
    <w:rsid w:val="00320CD5"/>
    <w:rsid w:val="003210FF"/>
    <w:rsid w:val="00321E36"/>
    <w:rsid w:val="00322155"/>
    <w:rsid w:val="003224D3"/>
    <w:rsid w:val="00322DC5"/>
    <w:rsid w:val="00322E40"/>
    <w:rsid w:val="00323071"/>
    <w:rsid w:val="00323292"/>
    <w:rsid w:val="003237AF"/>
    <w:rsid w:val="003245C2"/>
    <w:rsid w:val="00324704"/>
    <w:rsid w:val="00324960"/>
    <w:rsid w:val="003249C9"/>
    <w:rsid w:val="00324AFF"/>
    <w:rsid w:val="00324F15"/>
    <w:rsid w:val="003255C3"/>
    <w:rsid w:val="0032575E"/>
    <w:rsid w:val="003258BC"/>
    <w:rsid w:val="00325CF8"/>
    <w:rsid w:val="00326108"/>
    <w:rsid w:val="003262A5"/>
    <w:rsid w:val="00326D4E"/>
    <w:rsid w:val="003272FC"/>
    <w:rsid w:val="003277A5"/>
    <w:rsid w:val="00330358"/>
    <w:rsid w:val="0033039E"/>
    <w:rsid w:val="0033193E"/>
    <w:rsid w:val="00331AAE"/>
    <w:rsid w:val="00331FB6"/>
    <w:rsid w:val="0033222C"/>
    <w:rsid w:val="003323EC"/>
    <w:rsid w:val="003323FD"/>
    <w:rsid w:val="00332596"/>
    <w:rsid w:val="00333086"/>
    <w:rsid w:val="00333819"/>
    <w:rsid w:val="00333C2D"/>
    <w:rsid w:val="00333C50"/>
    <w:rsid w:val="00333D82"/>
    <w:rsid w:val="00333E95"/>
    <w:rsid w:val="003346F3"/>
    <w:rsid w:val="00334795"/>
    <w:rsid w:val="003348EA"/>
    <w:rsid w:val="00334DD5"/>
    <w:rsid w:val="0033545B"/>
    <w:rsid w:val="00335491"/>
    <w:rsid w:val="003354C9"/>
    <w:rsid w:val="00336256"/>
    <w:rsid w:val="00336F38"/>
    <w:rsid w:val="0033708F"/>
    <w:rsid w:val="003371F4"/>
    <w:rsid w:val="00337D7B"/>
    <w:rsid w:val="00337D9B"/>
    <w:rsid w:val="00337E51"/>
    <w:rsid w:val="00340158"/>
    <w:rsid w:val="003404C7"/>
    <w:rsid w:val="003405DD"/>
    <w:rsid w:val="00340717"/>
    <w:rsid w:val="0034088D"/>
    <w:rsid w:val="00340DB9"/>
    <w:rsid w:val="00340E13"/>
    <w:rsid w:val="00341014"/>
    <w:rsid w:val="00341315"/>
    <w:rsid w:val="003413AE"/>
    <w:rsid w:val="003413B2"/>
    <w:rsid w:val="0034170A"/>
    <w:rsid w:val="00341922"/>
    <w:rsid w:val="0034205B"/>
    <w:rsid w:val="0034218C"/>
    <w:rsid w:val="00342E40"/>
    <w:rsid w:val="00342FE3"/>
    <w:rsid w:val="0034345F"/>
    <w:rsid w:val="00343A2A"/>
    <w:rsid w:val="00344628"/>
    <w:rsid w:val="003459F3"/>
    <w:rsid w:val="00346192"/>
    <w:rsid w:val="0034685E"/>
    <w:rsid w:val="0034690A"/>
    <w:rsid w:val="00346BDE"/>
    <w:rsid w:val="00350282"/>
    <w:rsid w:val="00350BF3"/>
    <w:rsid w:val="0035130A"/>
    <w:rsid w:val="0035147C"/>
    <w:rsid w:val="00351647"/>
    <w:rsid w:val="003519E9"/>
    <w:rsid w:val="00351B1B"/>
    <w:rsid w:val="0035244C"/>
    <w:rsid w:val="0035273F"/>
    <w:rsid w:val="00352B20"/>
    <w:rsid w:val="003535F1"/>
    <w:rsid w:val="00353698"/>
    <w:rsid w:val="0035449B"/>
    <w:rsid w:val="003553FB"/>
    <w:rsid w:val="003556B2"/>
    <w:rsid w:val="003558CD"/>
    <w:rsid w:val="003559E5"/>
    <w:rsid w:val="00355EFD"/>
    <w:rsid w:val="00355F44"/>
    <w:rsid w:val="00355F4C"/>
    <w:rsid w:val="00356499"/>
    <w:rsid w:val="003568F5"/>
    <w:rsid w:val="00356EA6"/>
    <w:rsid w:val="00356F24"/>
    <w:rsid w:val="00357EF0"/>
    <w:rsid w:val="0036015D"/>
    <w:rsid w:val="00360511"/>
    <w:rsid w:val="00360570"/>
    <w:rsid w:val="00361423"/>
    <w:rsid w:val="00361481"/>
    <w:rsid w:val="003614BF"/>
    <w:rsid w:val="0036159D"/>
    <w:rsid w:val="00361733"/>
    <w:rsid w:val="00361814"/>
    <w:rsid w:val="00361998"/>
    <w:rsid w:val="00361FBE"/>
    <w:rsid w:val="00362713"/>
    <w:rsid w:val="00362D83"/>
    <w:rsid w:val="00362E91"/>
    <w:rsid w:val="00363378"/>
    <w:rsid w:val="00363E8A"/>
    <w:rsid w:val="00364269"/>
    <w:rsid w:val="00364C55"/>
    <w:rsid w:val="00364CCD"/>
    <w:rsid w:val="0036559F"/>
    <w:rsid w:val="003657A2"/>
    <w:rsid w:val="003658AA"/>
    <w:rsid w:val="00365EB1"/>
    <w:rsid w:val="00366003"/>
    <w:rsid w:val="00366116"/>
    <w:rsid w:val="0036654E"/>
    <w:rsid w:val="0036656B"/>
    <w:rsid w:val="00366981"/>
    <w:rsid w:val="00366D5C"/>
    <w:rsid w:val="0036726D"/>
    <w:rsid w:val="00367690"/>
    <w:rsid w:val="00367856"/>
    <w:rsid w:val="00367C8A"/>
    <w:rsid w:val="00367EC1"/>
    <w:rsid w:val="00370230"/>
    <w:rsid w:val="003704BC"/>
    <w:rsid w:val="0037055A"/>
    <w:rsid w:val="00370AF7"/>
    <w:rsid w:val="00371330"/>
    <w:rsid w:val="00371A91"/>
    <w:rsid w:val="00372098"/>
    <w:rsid w:val="00372615"/>
    <w:rsid w:val="0037274F"/>
    <w:rsid w:val="00372DA0"/>
    <w:rsid w:val="00372DF6"/>
    <w:rsid w:val="003730F4"/>
    <w:rsid w:val="00373357"/>
    <w:rsid w:val="00373B8C"/>
    <w:rsid w:val="003744EA"/>
    <w:rsid w:val="0037482C"/>
    <w:rsid w:val="0037504B"/>
    <w:rsid w:val="00375329"/>
    <w:rsid w:val="00375376"/>
    <w:rsid w:val="003754BE"/>
    <w:rsid w:val="00375931"/>
    <w:rsid w:val="00375B45"/>
    <w:rsid w:val="003762F4"/>
    <w:rsid w:val="00376605"/>
    <w:rsid w:val="00377165"/>
    <w:rsid w:val="00377B13"/>
    <w:rsid w:val="003806DF"/>
    <w:rsid w:val="00381473"/>
    <w:rsid w:val="003814AC"/>
    <w:rsid w:val="00381C60"/>
    <w:rsid w:val="00382161"/>
    <w:rsid w:val="003828ED"/>
    <w:rsid w:val="0038290D"/>
    <w:rsid w:val="00382A06"/>
    <w:rsid w:val="00382E06"/>
    <w:rsid w:val="00383F35"/>
    <w:rsid w:val="00383F97"/>
    <w:rsid w:val="003844B9"/>
    <w:rsid w:val="003845B1"/>
    <w:rsid w:val="00384A25"/>
    <w:rsid w:val="0038523A"/>
    <w:rsid w:val="00385531"/>
    <w:rsid w:val="00385BBE"/>
    <w:rsid w:val="0038611F"/>
    <w:rsid w:val="003863BA"/>
    <w:rsid w:val="00386A1B"/>
    <w:rsid w:val="00386CE6"/>
    <w:rsid w:val="0038708B"/>
    <w:rsid w:val="00387D39"/>
    <w:rsid w:val="003900DC"/>
    <w:rsid w:val="00390506"/>
    <w:rsid w:val="00390840"/>
    <w:rsid w:val="0039089C"/>
    <w:rsid w:val="00390A43"/>
    <w:rsid w:val="003910E8"/>
    <w:rsid w:val="0039129C"/>
    <w:rsid w:val="003913D3"/>
    <w:rsid w:val="00391494"/>
    <w:rsid w:val="00391CB4"/>
    <w:rsid w:val="00391DFF"/>
    <w:rsid w:val="0039235F"/>
    <w:rsid w:val="00392675"/>
    <w:rsid w:val="0039298A"/>
    <w:rsid w:val="003929BF"/>
    <w:rsid w:val="00392B76"/>
    <w:rsid w:val="00392D21"/>
    <w:rsid w:val="003931B5"/>
    <w:rsid w:val="003934B5"/>
    <w:rsid w:val="00393952"/>
    <w:rsid w:val="00393A68"/>
    <w:rsid w:val="00393BD2"/>
    <w:rsid w:val="00393ECF"/>
    <w:rsid w:val="00393F63"/>
    <w:rsid w:val="00394104"/>
    <w:rsid w:val="00394392"/>
    <w:rsid w:val="0039448C"/>
    <w:rsid w:val="003945BA"/>
    <w:rsid w:val="003945E3"/>
    <w:rsid w:val="0039461F"/>
    <w:rsid w:val="00394D1D"/>
    <w:rsid w:val="00394FE3"/>
    <w:rsid w:val="0039502D"/>
    <w:rsid w:val="003956B1"/>
    <w:rsid w:val="00395818"/>
    <w:rsid w:val="00395E1F"/>
    <w:rsid w:val="00396791"/>
    <w:rsid w:val="00396872"/>
    <w:rsid w:val="00397C0C"/>
    <w:rsid w:val="003A0149"/>
    <w:rsid w:val="003A074E"/>
    <w:rsid w:val="003A0BA2"/>
    <w:rsid w:val="003A0C6C"/>
    <w:rsid w:val="003A12EB"/>
    <w:rsid w:val="003A130B"/>
    <w:rsid w:val="003A153A"/>
    <w:rsid w:val="003A1706"/>
    <w:rsid w:val="003A173A"/>
    <w:rsid w:val="003A1E8D"/>
    <w:rsid w:val="003A1F77"/>
    <w:rsid w:val="003A2039"/>
    <w:rsid w:val="003A229A"/>
    <w:rsid w:val="003A23E4"/>
    <w:rsid w:val="003A2673"/>
    <w:rsid w:val="003A2EED"/>
    <w:rsid w:val="003A3111"/>
    <w:rsid w:val="003A388C"/>
    <w:rsid w:val="003A393A"/>
    <w:rsid w:val="003A39CA"/>
    <w:rsid w:val="003A3A9B"/>
    <w:rsid w:val="003A43AC"/>
    <w:rsid w:val="003A4825"/>
    <w:rsid w:val="003A4903"/>
    <w:rsid w:val="003A4EEA"/>
    <w:rsid w:val="003A5484"/>
    <w:rsid w:val="003A5536"/>
    <w:rsid w:val="003A600D"/>
    <w:rsid w:val="003A6350"/>
    <w:rsid w:val="003A6533"/>
    <w:rsid w:val="003A669B"/>
    <w:rsid w:val="003A676C"/>
    <w:rsid w:val="003A67F4"/>
    <w:rsid w:val="003A70C5"/>
    <w:rsid w:val="003A70C8"/>
    <w:rsid w:val="003A7672"/>
    <w:rsid w:val="003A76AA"/>
    <w:rsid w:val="003A7E1E"/>
    <w:rsid w:val="003A7FB8"/>
    <w:rsid w:val="003B0C66"/>
    <w:rsid w:val="003B0FF2"/>
    <w:rsid w:val="003B1AFB"/>
    <w:rsid w:val="003B1B1A"/>
    <w:rsid w:val="003B1E7F"/>
    <w:rsid w:val="003B1EEF"/>
    <w:rsid w:val="003B2272"/>
    <w:rsid w:val="003B22C9"/>
    <w:rsid w:val="003B2D25"/>
    <w:rsid w:val="003B2E41"/>
    <w:rsid w:val="003B3F6B"/>
    <w:rsid w:val="003B4849"/>
    <w:rsid w:val="003B4C89"/>
    <w:rsid w:val="003B5679"/>
    <w:rsid w:val="003B58F9"/>
    <w:rsid w:val="003B59F7"/>
    <w:rsid w:val="003B6800"/>
    <w:rsid w:val="003B6FCA"/>
    <w:rsid w:val="003B761C"/>
    <w:rsid w:val="003B7BB9"/>
    <w:rsid w:val="003C0521"/>
    <w:rsid w:val="003C098F"/>
    <w:rsid w:val="003C0A65"/>
    <w:rsid w:val="003C0AAC"/>
    <w:rsid w:val="003C0BA3"/>
    <w:rsid w:val="003C140B"/>
    <w:rsid w:val="003C1762"/>
    <w:rsid w:val="003C1822"/>
    <w:rsid w:val="003C1939"/>
    <w:rsid w:val="003C19AC"/>
    <w:rsid w:val="003C1FF2"/>
    <w:rsid w:val="003C2038"/>
    <w:rsid w:val="003C2062"/>
    <w:rsid w:val="003C2530"/>
    <w:rsid w:val="003C2823"/>
    <w:rsid w:val="003C285A"/>
    <w:rsid w:val="003C382F"/>
    <w:rsid w:val="003C3BCB"/>
    <w:rsid w:val="003C4222"/>
    <w:rsid w:val="003C44CD"/>
    <w:rsid w:val="003C4765"/>
    <w:rsid w:val="003C4B74"/>
    <w:rsid w:val="003C50D6"/>
    <w:rsid w:val="003C50FF"/>
    <w:rsid w:val="003C5150"/>
    <w:rsid w:val="003C5642"/>
    <w:rsid w:val="003C56E9"/>
    <w:rsid w:val="003C57E4"/>
    <w:rsid w:val="003C5963"/>
    <w:rsid w:val="003C5BE7"/>
    <w:rsid w:val="003C5C37"/>
    <w:rsid w:val="003C6B96"/>
    <w:rsid w:val="003C78DF"/>
    <w:rsid w:val="003C794A"/>
    <w:rsid w:val="003C79D9"/>
    <w:rsid w:val="003C7FA0"/>
    <w:rsid w:val="003D02E3"/>
    <w:rsid w:val="003D0C36"/>
    <w:rsid w:val="003D11F1"/>
    <w:rsid w:val="003D12CA"/>
    <w:rsid w:val="003D15DB"/>
    <w:rsid w:val="003D164C"/>
    <w:rsid w:val="003D1B4F"/>
    <w:rsid w:val="003D1ED9"/>
    <w:rsid w:val="003D2524"/>
    <w:rsid w:val="003D2692"/>
    <w:rsid w:val="003D2D97"/>
    <w:rsid w:val="003D3396"/>
    <w:rsid w:val="003D455D"/>
    <w:rsid w:val="003D49B4"/>
    <w:rsid w:val="003D4E76"/>
    <w:rsid w:val="003D5A6B"/>
    <w:rsid w:val="003D5E50"/>
    <w:rsid w:val="003D5F47"/>
    <w:rsid w:val="003D6056"/>
    <w:rsid w:val="003D6718"/>
    <w:rsid w:val="003D6EEC"/>
    <w:rsid w:val="003D75F9"/>
    <w:rsid w:val="003D7672"/>
    <w:rsid w:val="003D79E2"/>
    <w:rsid w:val="003D7C2D"/>
    <w:rsid w:val="003D7CEC"/>
    <w:rsid w:val="003E042C"/>
    <w:rsid w:val="003E06FB"/>
    <w:rsid w:val="003E0BA5"/>
    <w:rsid w:val="003E0D56"/>
    <w:rsid w:val="003E112F"/>
    <w:rsid w:val="003E1DEB"/>
    <w:rsid w:val="003E2202"/>
    <w:rsid w:val="003E295A"/>
    <w:rsid w:val="003E2D74"/>
    <w:rsid w:val="003E2ECC"/>
    <w:rsid w:val="003E3D4D"/>
    <w:rsid w:val="003E45DC"/>
    <w:rsid w:val="003E4655"/>
    <w:rsid w:val="003E48E0"/>
    <w:rsid w:val="003E574D"/>
    <w:rsid w:val="003E5768"/>
    <w:rsid w:val="003E5A91"/>
    <w:rsid w:val="003E5B15"/>
    <w:rsid w:val="003E648B"/>
    <w:rsid w:val="003E669F"/>
    <w:rsid w:val="003E6E8C"/>
    <w:rsid w:val="003E7005"/>
    <w:rsid w:val="003E7061"/>
    <w:rsid w:val="003E796C"/>
    <w:rsid w:val="003E7B04"/>
    <w:rsid w:val="003E7C0F"/>
    <w:rsid w:val="003F01AF"/>
    <w:rsid w:val="003F0563"/>
    <w:rsid w:val="003F081D"/>
    <w:rsid w:val="003F0854"/>
    <w:rsid w:val="003F0A5F"/>
    <w:rsid w:val="003F0A6B"/>
    <w:rsid w:val="003F0F46"/>
    <w:rsid w:val="003F1941"/>
    <w:rsid w:val="003F1BE5"/>
    <w:rsid w:val="003F1C0C"/>
    <w:rsid w:val="003F1EB0"/>
    <w:rsid w:val="003F233F"/>
    <w:rsid w:val="003F265E"/>
    <w:rsid w:val="003F26F0"/>
    <w:rsid w:val="003F2C19"/>
    <w:rsid w:val="003F3209"/>
    <w:rsid w:val="003F37FF"/>
    <w:rsid w:val="003F3853"/>
    <w:rsid w:val="003F395A"/>
    <w:rsid w:val="003F3B6C"/>
    <w:rsid w:val="003F5476"/>
    <w:rsid w:val="003F5649"/>
    <w:rsid w:val="003F5A9B"/>
    <w:rsid w:val="003F5B58"/>
    <w:rsid w:val="003F62B2"/>
    <w:rsid w:val="003F6B48"/>
    <w:rsid w:val="003F6C3B"/>
    <w:rsid w:val="003F6C46"/>
    <w:rsid w:val="003F6E83"/>
    <w:rsid w:val="003F7430"/>
    <w:rsid w:val="003F75C9"/>
    <w:rsid w:val="003F7815"/>
    <w:rsid w:val="003F794B"/>
    <w:rsid w:val="003F79C8"/>
    <w:rsid w:val="003F7D91"/>
    <w:rsid w:val="004000AC"/>
    <w:rsid w:val="004002C4"/>
    <w:rsid w:val="00400651"/>
    <w:rsid w:val="004007DC"/>
    <w:rsid w:val="00400813"/>
    <w:rsid w:val="0040105C"/>
    <w:rsid w:val="004014BC"/>
    <w:rsid w:val="00401988"/>
    <w:rsid w:val="0040287F"/>
    <w:rsid w:val="00402CEC"/>
    <w:rsid w:val="0040324A"/>
    <w:rsid w:val="00404004"/>
    <w:rsid w:val="004043AF"/>
    <w:rsid w:val="0040464E"/>
    <w:rsid w:val="00405266"/>
    <w:rsid w:val="004057EA"/>
    <w:rsid w:val="00405BCF"/>
    <w:rsid w:val="00405EAD"/>
    <w:rsid w:val="004062EF"/>
    <w:rsid w:val="0040655B"/>
    <w:rsid w:val="00406850"/>
    <w:rsid w:val="00406962"/>
    <w:rsid w:val="00407441"/>
    <w:rsid w:val="00407835"/>
    <w:rsid w:val="0040786C"/>
    <w:rsid w:val="0041023A"/>
    <w:rsid w:val="00410F2C"/>
    <w:rsid w:val="00411DEC"/>
    <w:rsid w:val="004128C8"/>
    <w:rsid w:val="004129FB"/>
    <w:rsid w:val="00412C03"/>
    <w:rsid w:val="00412C0F"/>
    <w:rsid w:val="00413699"/>
    <w:rsid w:val="00414872"/>
    <w:rsid w:val="0041494F"/>
    <w:rsid w:val="00414BA8"/>
    <w:rsid w:val="004150C7"/>
    <w:rsid w:val="00415A07"/>
    <w:rsid w:val="00415C74"/>
    <w:rsid w:val="00415F5A"/>
    <w:rsid w:val="004160A5"/>
    <w:rsid w:val="004162A1"/>
    <w:rsid w:val="0041649B"/>
    <w:rsid w:val="00416CB7"/>
    <w:rsid w:val="00416DA1"/>
    <w:rsid w:val="00416E2E"/>
    <w:rsid w:val="004171B1"/>
    <w:rsid w:val="00417A8A"/>
    <w:rsid w:val="00417B24"/>
    <w:rsid w:val="00421098"/>
    <w:rsid w:val="00421574"/>
    <w:rsid w:val="004216AC"/>
    <w:rsid w:val="004217B7"/>
    <w:rsid w:val="00421F5E"/>
    <w:rsid w:val="00422930"/>
    <w:rsid w:val="0042301F"/>
    <w:rsid w:val="00423290"/>
    <w:rsid w:val="004235E2"/>
    <w:rsid w:val="00423FD6"/>
    <w:rsid w:val="0042435D"/>
    <w:rsid w:val="004245E7"/>
    <w:rsid w:val="00424A69"/>
    <w:rsid w:val="00424E76"/>
    <w:rsid w:val="0042505C"/>
    <w:rsid w:val="004251BA"/>
    <w:rsid w:val="00425222"/>
    <w:rsid w:val="00425448"/>
    <w:rsid w:val="0042567F"/>
    <w:rsid w:val="00425680"/>
    <w:rsid w:val="00425AE6"/>
    <w:rsid w:val="004266AB"/>
    <w:rsid w:val="00426E78"/>
    <w:rsid w:val="004272DF"/>
    <w:rsid w:val="00427C5E"/>
    <w:rsid w:val="0043016C"/>
    <w:rsid w:val="00430810"/>
    <w:rsid w:val="00430A26"/>
    <w:rsid w:val="00430FE2"/>
    <w:rsid w:val="004319F0"/>
    <w:rsid w:val="00431BCE"/>
    <w:rsid w:val="00431D4A"/>
    <w:rsid w:val="00431E6B"/>
    <w:rsid w:val="00432514"/>
    <w:rsid w:val="00432A55"/>
    <w:rsid w:val="0043323C"/>
    <w:rsid w:val="004337D0"/>
    <w:rsid w:val="00433881"/>
    <w:rsid w:val="00433E6B"/>
    <w:rsid w:val="00434470"/>
    <w:rsid w:val="0043494E"/>
    <w:rsid w:val="0043565E"/>
    <w:rsid w:val="00435685"/>
    <w:rsid w:val="004360DA"/>
    <w:rsid w:val="004365A2"/>
    <w:rsid w:val="0043672F"/>
    <w:rsid w:val="004369C1"/>
    <w:rsid w:val="00436D67"/>
    <w:rsid w:val="004371C9"/>
    <w:rsid w:val="004377A5"/>
    <w:rsid w:val="00437CC1"/>
    <w:rsid w:val="004401F8"/>
    <w:rsid w:val="00440A86"/>
    <w:rsid w:val="00440FFB"/>
    <w:rsid w:val="004410D9"/>
    <w:rsid w:val="00441254"/>
    <w:rsid w:val="004414EC"/>
    <w:rsid w:val="00441680"/>
    <w:rsid w:val="004418AE"/>
    <w:rsid w:val="00441A6A"/>
    <w:rsid w:val="00442078"/>
    <w:rsid w:val="004421D9"/>
    <w:rsid w:val="0044224D"/>
    <w:rsid w:val="00442CFB"/>
    <w:rsid w:val="00442E47"/>
    <w:rsid w:val="00443211"/>
    <w:rsid w:val="004437A2"/>
    <w:rsid w:val="004439F3"/>
    <w:rsid w:val="004444F1"/>
    <w:rsid w:val="00444E58"/>
    <w:rsid w:val="00444FD0"/>
    <w:rsid w:val="004450B9"/>
    <w:rsid w:val="004451A7"/>
    <w:rsid w:val="00445ED7"/>
    <w:rsid w:val="0044600A"/>
    <w:rsid w:val="00446446"/>
    <w:rsid w:val="0044644F"/>
    <w:rsid w:val="00446AE0"/>
    <w:rsid w:val="004473A8"/>
    <w:rsid w:val="0044772A"/>
    <w:rsid w:val="00447B91"/>
    <w:rsid w:val="00447DCB"/>
    <w:rsid w:val="00447FC0"/>
    <w:rsid w:val="00450497"/>
    <w:rsid w:val="004507B6"/>
    <w:rsid w:val="00450D77"/>
    <w:rsid w:val="00450D90"/>
    <w:rsid w:val="004515D2"/>
    <w:rsid w:val="0045164A"/>
    <w:rsid w:val="00451F27"/>
    <w:rsid w:val="004524BA"/>
    <w:rsid w:val="00452A62"/>
    <w:rsid w:val="004530BE"/>
    <w:rsid w:val="004530FE"/>
    <w:rsid w:val="0045416A"/>
    <w:rsid w:val="00454A05"/>
    <w:rsid w:val="00454C8C"/>
    <w:rsid w:val="00455267"/>
    <w:rsid w:val="004555E0"/>
    <w:rsid w:val="0045563D"/>
    <w:rsid w:val="00455A02"/>
    <w:rsid w:val="00455BA9"/>
    <w:rsid w:val="00455F13"/>
    <w:rsid w:val="004568C8"/>
    <w:rsid w:val="00457035"/>
    <w:rsid w:val="00457163"/>
    <w:rsid w:val="004575E9"/>
    <w:rsid w:val="004576AB"/>
    <w:rsid w:val="0046005B"/>
    <w:rsid w:val="00460331"/>
    <w:rsid w:val="00460C00"/>
    <w:rsid w:val="00460E2A"/>
    <w:rsid w:val="004615FA"/>
    <w:rsid w:val="00461EA9"/>
    <w:rsid w:val="004621A3"/>
    <w:rsid w:val="00462944"/>
    <w:rsid w:val="00462A10"/>
    <w:rsid w:val="00462CCB"/>
    <w:rsid w:val="00462F88"/>
    <w:rsid w:val="0046302C"/>
    <w:rsid w:val="00463E89"/>
    <w:rsid w:val="00463ED9"/>
    <w:rsid w:val="004642DC"/>
    <w:rsid w:val="00464A1C"/>
    <w:rsid w:val="00464E4B"/>
    <w:rsid w:val="004657E1"/>
    <w:rsid w:val="004658B9"/>
    <w:rsid w:val="00466166"/>
    <w:rsid w:val="00466209"/>
    <w:rsid w:val="004668D5"/>
    <w:rsid w:val="00466C2F"/>
    <w:rsid w:val="00466E21"/>
    <w:rsid w:val="00467757"/>
    <w:rsid w:val="00467D47"/>
    <w:rsid w:val="004700CF"/>
    <w:rsid w:val="004701CE"/>
    <w:rsid w:val="004706BE"/>
    <w:rsid w:val="00470907"/>
    <w:rsid w:val="00470931"/>
    <w:rsid w:val="00470DE4"/>
    <w:rsid w:val="00470DFE"/>
    <w:rsid w:val="00470EA0"/>
    <w:rsid w:val="00470F60"/>
    <w:rsid w:val="00471FF5"/>
    <w:rsid w:val="0047247A"/>
    <w:rsid w:val="004725E1"/>
    <w:rsid w:val="0047320A"/>
    <w:rsid w:val="00473859"/>
    <w:rsid w:val="00473BA1"/>
    <w:rsid w:val="00475063"/>
    <w:rsid w:val="004758AA"/>
    <w:rsid w:val="00475CFF"/>
    <w:rsid w:val="00475D3D"/>
    <w:rsid w:val="00475D5A"/>
    <w:rsid w:val="00476070"/>
    <w:rsid w:val="004764BB"/>
    <w:rsid w:val="0047675A"/>
    <w:rsid w:val="00476880"/>
    <w:rsid w:val="004769A6"/>
    <w:rsid w:val="00476ABB"/>
    <w:rsid w:val="00476B22"/>
    <w:rsid w:val="00476BF5"/>
    <w:rsid w:val="00476C3A"/>
    <w:rsid w:val="004772A3"/>
    <w:rsid w:val="004773BA"/>
    <w:rsid w:val="0047746E"/>
    <w:rsid w:val="004775C0"/>
    <w:rsid w:val="00477779"/>
    <w:rsid w:val="00480686"/>
    <w:rsid w:val="004812EA"/>
    <w:rsid w:val="00481447"/>
    <w:rsid w:val="0048154D"/>
    <w:rsid w:val="00481914"/>
    <w:rsid w:val="004819CC"/>
    <w:rsid w:val="00481E8C"/>
    <w:rsid w:val="004832A5"/>
    <w:rsid w:val="00483995"/>
    <w:rsid w:val="00483D43"/>
    <w:rsid w:val="00483D46"/>
    <w:rsid w:val="00483FE0"/>
    <w:rsid w:val="004841C6"/>
    <w:rsid w:val="00484377"/>
    <w:rsid w:val="00484888"/>
    <w:rsid w:val="00484AAB"/>
    <w:rsid w:val="00484F1C"/>
    <w:rsid w:val="004858F9"/>
    <w:rsid w:val="00485A34"/>
    <w:rsid w:val="00485C88"/>
    <w:rsid w:val="00485DBC"/>
    <w:rsid w:val="00486072"/>
    <w:rsid w:val="00486986"/>
    <w:rsid w:val="00486F1C"/>
    <w:rsid w:val="0048725D"/>
    <w:rsid w:val="0048751B"/>
    <w:rsid w:val="00487721"/>
    <w:rsid w:val="00487BA7"/>
    <w:rsid w:val="00487C07"/>
    <w:rsid w:val="00490043"/>
    <w:rsid w:val="0049007E"/>
    <w:rsid w:val="00490537"/>
    <w:rsid w:val="00490AA5"/>
    <w:rsid w:val="00490D6F"/>
    <w:rsid w:val="0049158C"/>
    <w:rsid w:val="00491680"/>
    <w:rsid w:val="00491848"/>
    <w:rsid w:val="00491DCA"/>
    <w:rsid w:val="00491E1A"/>
    <w:rsid w:val="00491F36"/>
    <w:rsid w:val="00492395"/>
    <w:rsid w:val="004924AF"/>
    <w:rsid w:val="004924FD"/>
    <w:rsid w:val="004928A5"/>
    <w:rsid w:val="00492EDB"/>
    <w:rsid w:val="00492F36"/>
    <w:rsid w:val="004936D5"/>
    <w:rsid w:val="00493992"/>
    <w:rsid w:val="00494702"/>
    <w:rsid w:val="00494A72"/>
    <w:rsid w:val="00494FC8"/>
    <w:rsid w:val="00495195"/>
    <w:rsid w:val="004953D5"/>
    <w:rsid w:val="004959E9"/>
    <w:rsid w:val="00495DCE"/>
    <w:rsid w:val="004960BC"/>
    <w:rsid w:val="004960F4"/>
    <w:rsid w:val="0049611B"/>
    <w:rsid w:val="00496808"/>
    <w:rsid w:val="0049685F"/>
    <w:rsid w:val="00496A08"/>
    <w:rsid w:val="00496E92"/>
    <w:rsid w:val="00496F36"/>
    <w:rsid w:val="00496F39"/>
    <w:rsid w:val="004975A1"/>
    <w:rsid w:val="00497B44"/>
    <w:rsid w:val="004A0259"/>
    <w:rsid w:val="004A04E6"/>
    <w:rsid w:val="004A06D9"/>
    <w:rsid w:val="004A147F"/>
    <w:rsid w:val="004A1514"/>
    <w:rsid w:val="004A1B1D"/>
    <w:rsid w:val="004A2416"/>
    <w:rsid w:val="004A241C"/>
    <w:rsid w:val="004A265C"/>
    <w:rsid w:val="004A2947"/>
    <w:rsid w:val="004A29B5"/>
    <w:rsid w:val="004A2AE6"/>
    <w:rsid w:val="004A2DDA"/>
    <w:rsid w:val="004A2EBF"/>
    <w:rsid w:val="004A2F9D"/>
    <w:rsid w:val="004A300C"/>
    <w:rsid w:val="004A338E"/>
    <w:rsid w:val="004A39B1"/>
    <w:rsid w:val="004A3F11"/>
    <w:rsid w:val="004A3FE5"/>
    <w:rsid w:val="004A43BB"/>
    <w:rsid w:val="004A4499"/>
    <w:rsid w:val="004A44FF"/>
    <w:rsid w:val="004A4A98"/>
    <w:rsid w:val="004A5437"/>
    <w:rsid w:val="004A587F"/>
    <w:rsid w:val="004A5C3E"/>
    <w:rsid w:val="004A5C88"/>
    <w:rsid w:val="004A608A"/>
    <w:rsid w:val="004A634E"/>
    <w:rsid w:val="004A659C"/>
    <w:rsid w:val="004A7225"/>
    <w:rsid w:val="004A7B23"/>
    <w:rsid w:val="004A7BB3"/>
    <w:rsid w:val="004A7D1F"/>
    <w:rsid w:val="004A7F09"/>
    <w:rsid w:val="004B011D"/>
    <w:rsid w:val="004B150F"/>
    <w:rsid w:val="004B1F3F"/>
    <w:rsid w:val="004B2703"/>
    <w:rsid w:val="004B2A39"/>
    <w:rsid w:val="004B2B95"/>
    <w:rsid w:val="004B2D48"/>
    <w:rsid w:val="004B2DD0"/>
    <w:rsid w:val="004B3035"/>
    <w:rsid w:val="004B30BF"/>
    <w:rsid w:val="004B335C"/>
    <w:rsid w:val="004B3A0D"/>
    <w:rsid w:val="004B3C81"/>
    <w:rsid w:val="004B3CD9"/>
    <w:rsid w:val="004B44F5"/>
    <w:rsid w:val="004B4929"/>
    <w:rsid w:val="004B60C3"/>
    <w:rsid w:val="004B62EF"/>
    <w:rsid w:val="004B6AAC"/>
    <w:rsid w:val="004B6CE8"/>
    <w:rsid w:val="004B6E0C"/>
    <w:rsid w:val="004B77D9"/>
    <w:rsid w:val="004C0265"/>
    <w:rsid w:val="004C0901"/>
    <w:rsid w:val="004C0AA8"/>
    <w:rsid w:val="004C0FD8"/>
    <w:rsid w:val="004C116C"/>
    <w:rsid w:val="004C14FF"/>
    <w:rsid w:val="004C1642"/>
    <w:rsid w:val="004C23CE"/>
    <w:rsid w:val="004C240D"/>
    <w:rsid w:val="004C2A0B"/>
    <w:rsid w:val="004C2D33"/>
    <w:rsid w:val="004C2D4E"/>
    <w:rsid w:val="004C2EAF"/>
    <w:rsid w:val="004C3D94"/>
    <w:rsid w:val="004C3F73"/>
    <w:rsid w:val="004C3FAE"/>
    <w:rsid w:val="004C41DA"/>
    <w:rsid w:val="004C440B"/>
    <w:rsid w:val="004C4AAA"/>
    <w:rsid w:val="004C4C53"/>
    <w:rsid w:val="004C4FFB"/>
    <w:rsid w:val="004C5055"/>
    <w:rsid w:val="004C512E"/>
    <w:rsid w:val="004C51C6"/>
    <w:rsid w:val="004C67C2"/>
    <w:rsid w:val="004C697C"/>
    <w:rsid w:val="004C6FAD"/>
    <w:rsid w:val="004C72D9"/>
    <w:rsid w:val="004C735C"/>
    <w:rsid w:val="004C787D"/>
    <w:rsid w:val="004C7A3B"/>
    <w:rsid w:val="004C7EF7"/>
    <w:rsid w:val="004D0206"/>
    <w:rsid w:val="004D03AD"/>
    <w:rsid w:val="004D069D"/>
    <w:rsid w:val="004D0DF0"/>
    <w:rsid w:val="004D111F"/>
    <w:rsid w:val="004D1130"/>
    <w:rsid w:val="004D1166"/>
    <w:rsid w:val="004D17E1"/>
    <w:rsid w:val="004D19C4"/>
    <w:rsid w:val="004D2067"/>
    <w:rsid w:val="004D233B"/>
    <w:rsid w:val="004D295B"/>
    <w:rsid w:val="004D2A4C"/>
    <w:rsid w:val="004D371E"/>
    <w:rsid w:val="004D3A67"/>
    <w:rsid w:val="004D3F24"/>
    <w:rsid w:val="004D3F3A"/>
    <w:rsid w:val="004D46C0"/>
    <w:rsid w:val="004D527D"/>
    <w:rsid w:val="004D5896"/>
    <w:rsid w:val="004D592D"/>
    <w:rsid w:val="004D5CC0"/>
    <w:rsid w:val="004D5F77"/>
    <w:rsid w:val="004D626D"/>
    <w:rsid w:val="004D67EA"/>
    <w:rsid w:val="004D6BD8"/>
    <w:rsid w:val="004D7126"/>
    <w:rsid w:val="004D7181"/>
    <w:rsid w:val="004D759F"/>
    <w:rsid w:val="004D7B08"/>
    <w:rsid w:val="004D7C2B"/>
    <w:rsid w:val="004E078C"/>
    <w:rsid w:val="004E0D58"/>
    <w:rsid w:val="004E0F3D"/>
    <w:rsid w:val="004E1303"/>
    <w:rsid w:val="004E14EA"/>
    <w:rsid w:val="004E153B"/>
    <w:rsid w:val="004E173F"/>
    <w:rsid w:val="004E1829"/>
    <w:rsid w:val="004E1F0B"/>
    <w:rsid w:val="004E2629"/>
    <w:rsid w:val="004E2FC6"/>
    <w:rsid w:val="004E30A5"/>
    <w:rsid w:val="004E33D3"/>
    <w:rsid w:val="004E33EA"/>
    <w:rsid w:val="004E37D3"/>
    <w:rsid w:val="004E3E4C"/>
    <w:rsid w:val="004E3E66"/>
    <w:rsid w:val="004E407D"/>
    <w:rsid w:val="004E40D3"/>
    <w:rsid w:val="004E4275"/>
    <w:rsid w:val="004E44CF"/>
    <w:rsid w:val="004E48D3"/>
    <w:rsid w:val="004E4B1B"/>
    <w:rsid w:val="004E4D6B"/>
    <w:rsid w:val="004E5241"/>
    <w:rsid w:val="004E57B2"/>
    <w:rsid w:val="004E64DD"/>
    <w:rsid w:val="004E6889"/>
    <w:rsid w:val="004E6907"/>
    <w:rsid w:val="004E6FF0"/>
    <w:rsid w:val="004E7029"/>
    <w:rsid w:val="004E71CF"/>
    <w:rsid w:val="004E7536"/>
    <w:rsid w:val="004F063C"/>
    <w:rsid w:val="004F0909"/>
    <w:rsid w:val="004F09CA"/>
    <w:rsid w:val="004F0F95"/>
    <w:rsid w:val="004F121D"/>
    <w:rsid w:val="004F12C1"/>
    <w:rsid w:val="004F1495"/>
    <w:rsid w:val="004F17B7"/>
    <w:rsid w:val="004F1A4A"/>
    <w:rsid w:val="004F1EE3"/>
    <w:rsid w:val="004F210E"/>
    <w:rsid w:val="004F21AD"/>
    <w:rsid w:val="004F2263"/>
    <w:rsid w:val="004F2A8F"/>
    <w:rsid w:val="004F2A98"/>
    <w:rsid w:val="004F3DA5"/>
    <w:rsid w:val="004F42CC"/>
    <w:rsid w:val="004F447E"/>
    <w:rsid w:val="004F492A"/>
    <w:rsid w:val="004F4E35"/>
    <w:rsid w:val="004F4E70"/>
    <w:rsid w:val="004F4F02"/>
    <w:rsid w:val="004F54F6"/>
    <w:rsid w:val="004F5877"/>
    <w:rsid w:val="004F5AF6"/>
    <w:rsid w:val="004F6077"/>
    <w:rsid w:val="004F6544"/>
    <w:rsid w:val="004F66C0"/>
    <w:rsid w:val="004F75E1"/>
    <w:rsid w:val="004F7FB3"/>
    <w:rsid w:val="00500425"/>
    <w:rsid w:val="005006F6"/>
    <w:rsid w:val="0050098F"/>
    <w:rsid w:val="00500CD1"/>
    <w:rsid w:val="005016A2"/>
    <w:rsid w:val="00501CF3"/>
    <w:rsid w:val="00501F60"/>
    <w:rsid w:val="00502753"/>
    <w:rsid w:val="005027FC"/>
    <w:rsid w:val="00502E83"/>
    <w:rsid w:val="00503463"/>
    <w:rsid w:val="0050367A"/>
    <w:rsid w:val="0050388E"/>
    <w:rsid w:val="00503B8E"/>
    <w:rsid w:val="005040A1"/>
    <w:rsid w:val="00504180"/>
    <w:rsid w:val="0050463E"/>
    <w:rsid w:val="00504CAF"/>
    <w:rsid w:val="005056E6"/>
    <w:rsid w:val="00505CC2"/>
    <w:rsid w:val="00505D52"/>
    <w:rsid w:val="00505E31"/>
    <w:rsid w:val="005067AD"/>
    <w:rsid w:val="00506BAB"/>
    <w:rsid w:val="00506BCD"/>
    <w:rsid w:val="00507854"/>
    <w:rsid w:val="00507D84"/>
    <w:rsid w:val="005109CA"/>
    <w:rsid w:val="005109CB"/>
    <w:rsid w:val="00510A96"/>
    <w:rsid w:val="00511364"/>
    <w:rsid w:val="00511B64"/>
    <w:rsid w:val="00511C48"/>
    <w:rsid w:val="005120E8"/>
    <w:rsid w:val="00512452"/>
    <w:rsid w:val="00512605"/>
    <w:rsid w:val="00512973"/>
    <w:rsid w:val="00513767"/>
    <w:rsid w:val="00513A56"/>
    <w:rsid w:val="00513ABD"/>
    <w:rsid w:val="00513AC4"/>
    <w:rsid w:val="00513C6A"/>
    <w:rsid w:val="00513E95"/>
    <w:rsid w:val="00513FEC"/>
    <w:rsid w:val="0051417A"/>
    <w:rsid w:val="0051481A"/>
    <w:rsid w:val="00514A53"/>
    <w:rsid w:val="005150EB"/>
    <w:rsid w:val="005151DC"/>
    <w:rsid w:val="00515963"/>
    <w:rsid w:val="00515C6E"/>
    <w:rsid w:val="00515CB9"/>
    <w:rsid w:val="005164DD"/>
    <w:rsid w:val="00516CD3"/>
    <w:rsid w:val="00517501"/>
    <w:rsid w:val="00520258"/>
    <w:rsid w:val="00520DC4"/>
    <w:rsid w:val="00520DF7"/>
    <w:rsid w:val="00521850"/>
    <w:rsid w:val="0052222E"/>
    <w:rsid w:val="005224FB"/>
    <w:rsid w:val="0052252D"/>
    <w:rsid w:val="005225EB"/>
    <w:rsid w:val="00522A70"/>
    <w:rsid w:val="00522C46"/>
    <w:rsid w:val="00522CEA"/>
    <w:rsid w:val="00523054"/>
    <w:rsid w:val="00523354"/>
    <w:rsid w:val="0052374A"/>
    <w:rsid w:val="0052436F"/>
    <w:rsid w:val="00524AE7"/>
    <w:rsid w:val="00525521"/>
    <w:rsid w:val="00525E32"/>
    <w:rsid w:val="005261D1"/>
    <w:rsid w:val="00526BF9"/>
    <w:rsid w:val="00526EEF"/>
    <w:rsid w:val="00527384"/>
    <w:rsid w:val="00527644"/>
    <w:rsid w:val="00527884"/>
    <w:rsid w:val="00530256"/>
    <w:rsid w:val="0053075E"/>
    <w:rsid w:val="00531065"/>
    <w:rsid w:val="00531607"/>
    <w:rsid w:val="00531682"/>
    <w:rsid w:val="005317E0"/>
    <w:rsid w:val="00531DA0"/>
    <w:rsid w:val="00531EC6"/>
    <w:rsid w:val="00531F35"/>
    <w:rsid w:val="0053245D"/>
    <w:rsid w:val="00532495"/>
    <w:rsid w:val="005326FF"/>
    <w:rsid w:val="00532BF9"/>
    <w:rsid w:val="00532F29"/>
    <w:rsid w:val="00533179"/>
    <w:rsid w:val="0053328D"/>
    <w:rsid w:val="00533351"/>
    <w:rsid w:val="005345FD"/>
    <w:rsid w:val="00534646"/>
    <w:rsid w:val="00534923"/>
    <w:rsid w:val="005354BF"/>
    <w:rsid w:val="005359CE"/>
    <w:rsid w:val="00535C11"/>
    <w:rsid w:val="00535D2A"/>
    <w:rsid w:val="0053610A"/>
    <w:rsid w:val="005367D1"/>
    <w:rsid w:val="00536E82"/>
    <w:rsid w:val="0054014F"/>
    <w:rsid w:val="0054090E"/>
    <w:rsid w:val="00541041"/>
    <w:rsid w:val="00541800"/>
    <w:rsid w:val="00541936"/>
    <w:rsid w:val="00541CB2"/>
    <w:rsid w:val="0054209A"/>
    <w:rsid w:val="00542610"/>
    <w:rsid w:val="0054308E"/>
    <w:rsid w:val="00543D03"/>
    <w:rsid w:val="00544969"/>
    <w:rsid w:val="00544FBA"/>
    <w:rsid w:val="00545AC3"/>
    <w:rsid w:val="00545F68"/>
    <w:rsid w:val="00546130"/>
    <w:rsid w:val="0054666B"/>
    <w:rsid w:val="00546D96"/>
    <w:rsid w:val="00546F49"/>
    <w:rsid w:val="00547264"/>
    <w:rsid w:val="00547F0A"/>
    <w:rsid w:val="00550269"/>
    <w:rsid w:val="0055027C"/>
    <w:rsid w:val="0055047D"/>
    <w:rsid w:val="005508E4"/>
    <w:rsid w:val="00550A7D"/>
    <w:rsid w:val="00550CC0"/>
    <w:rsid w:val="00550DE6"/>
    <w:rsid w:val="00550DEA"/>
    <w:rsid w:val="0055133B"/>
    <w:rsid w:val="005521EB"/>
    <w:rsid w:val="005522C9"/>
    <w:rsid w:val="00552A22"/>
    <w:rsid w:val="00552D33"/>
    <w:rsid w:val="00552F6C"/>
    <w:rsid w:val="0055373B"/>
    <w:rsid w:val="00553B64"/>
    <w:rsid w:val="00553DDA"/>
    <w:rsid w:val="00554280"/>
    <w:rsid w:val="00554959"/>
    <w:rsid w:val="00555245"/>
    <w:rsid w:val="005557DC"/>
    <w:rsid w:val="00555B9C"/>
    <w:rsid w:val="00555DAB"/>
    <w:rsid w:val="00556EA1"/>
    <w:rsid w:val="00557177"/>
    <w:rsid w:val="00557401"/>
    <w:rsid w:val="005605DA"/>
    <w:rsid w:val="00560D2F"/>
    <w:rsid w:val="00561BE1"/>
    <w:rsid w:val="00562343"/>
    <w:rsid w:val="00562587"/>
    <w:rsid w:val="00562928"/>
    <w:rsid w:val="005634E3"/>
    <w:rsid w:val="0056392A"/>
    <w:rsid w:val="00563935"/>
    <w:rsid w:val="00563961"/>
    <w:rsid w:val="00563C9E"/>
    <w:rsid w:val="00563D8A"/>
    <w:rsid w:val="00563DA0"/>
    <w:rsid w:val="0056452B"/>
    <w:rsid w:val="005648AF"/>
    <w:rsid w:val="00564EDB"/>
    <w:rsid w:val="00565374"/>
    <w:rsid w:val="00565648"/>
    <w:rsid w:val="005656C1"/>
    <w:rsid w:val="00565B8B"/>
    <w:rsid w:val="00565EF3"/>
    <w:rsid w:val="00566159"/>
    <w:rsid w:val="005663B5"/>
    <w:rsid w:val="005668F2"/>
    <w:rsid w:val="005669FF"/>
    <w:rsid w:val="00566AE7"/>
    <w:rsid w:val="00566BC1"/>
    <w:rsid w:val="0056762F"/>
    <w:rsid w:val="00567AEA"/>
    <w:rsid w:val="00567F49"/>
    <w:rsid w:val="00570CCA"/>
    <w:rsid w:val="00570D50"/>
    <w:rsid w:val="00570EC0"/>
    <w:rsid w:val="005710A0"/>
    <w:rsid w:val="005712AC"/>
    <w:rsid w:val="0057181A"/>
    <w:rsid w:val="005720DC"/>
    <w:rsid w:val="0057250F"/>
    <w:rsid w:val="0057272F"/>
    <w:rsid w:val="005732ED"/>
    <w:rsid w:val="00573602"/>
    <w:rsid w:val="00573623"/>
    <w:rsid w:val="0057371E"/>
    <w:rsid w:val="005737AE"/>
    <w:rsid w:val="00573B33"/>
    <w:rsid w:val="00573F65"/>
    <w:rsid w:val="005744E6"/>
    <w:rsid w:val="00574737"/>
    <w:rsid w:val="00574C38"/>
    <w:rsid w:val="005751F0"/>
    <w:rsid w:val="00575739"/>
    <w:rsid w:val="00575B1E"/>
    <w:rsid w:val="00575D84"/>
    <w:rsid w:val="00575FE3"/>
    <w:rsid w:val="005760C6"/>
    <w:rsid w:val="005765AF"/>
    <w:rsid w:val="0057700C"/>
    <w:rsid w:val="005774E9"/>
    <w:rsid w:val="00577683"/>
    <w:rsid w:val="005778A8"/>
    <w:rsid w:val="005778F1"/>
    <w:rsid w:val="00577E8A"/>
    <w:rsid w:val="00577FEC"/>
    <w:rsid w:val="00580366"/>
    <w:rsid w:val="00580771"/>
    <w:rsid w:val="00580A73"/>
    <w:rsid w:val="005811B3"/>
    <w:rsid w:val="00581B21"/>
    <w:rsid w:val="00581CA2"/>
    <w:rsid w:val="005825F0"/>
    <w:rsid w:val="00582877"/>
    <w:rsid w:val="00582A8F"/>
    <w:rsid w:val="00582E34"/>
    <w:rsid w:val="0058308A"/>
    <w:rsid w:val="0058325A"/>
    <w:rsid w:val="0058344B"/>
    <w:rsid w:val="00583859"/>
    <w:rsid w:val="00583BA1"/>
    <w:rsid w:val="00584C58"/>
    <w:rsid w:val="0058559A"/>
    <w:rsid w:val="00585634"/>
    <w:rsid w:val="00585918"/>
    <w:rsid w:val="00585F20"/>
    <w:rsid w:val="00586175"/>
    <w:rsid w:val="005862F5"/>
    <w:rsid w:val="0058648B"/>
    <w:rsid w:val="00586961"/>
    <w:rsid w:val="0058736B"/>
    <w:rsid w:val="00587AE2"/>
    <w:rsid w:val="00587D08"/>
    <w:rsid w:val="0059003F"/>
    <w:rsid w:val="005902B8"/>
    <w:rsid w:val="00590AB1"/>
    <w:rsid w:val="0059113C"/>
    <w:rsid w:val="0059113F"/>
    <w:rsid w:val="005912D4"/>
    <w:rsid w:val="00591B21"/>
    <w:rsid w:val="005923C2"/>
    <w:rsid w:val="00592A44"/>
    <w:rsid w:val="005932B9"/>
    <w:rsid w:val="00593614"/>
    <w:rsid w:val="00593706"/>
    <w:rsid w:val="00593981"/>
    <w:rsid w:val="00593A79"/>
    <w:rsid w:val="00593F57"/>
    <w:rsid w:val="00594015"/>
    <w:rsid w:val="00594508"/>
    <w:rsid w:val="0059487B"/>
    <w:rsid w:val="005948CE"/>
    <w:rsid w:val="00594ABC"/>
    <w:rsid w:val="00594D83"/>
    <w:rsid w:val="00594E04"/>
    <w:rsid w:val="005951D8"/>
    <w:rsid w:val="00595E0E"/>
    <w:rsid w:val="00595E7C"/>
    <w:rsid w:val="00596182"/>
    <w:rsid w:val="00596708"/>
    <w:rsid w:val="00597084"/>
    <w:rsid w:val="00597514"/>
    <w:rsid w:val="00597521"/>
    <w:rsid w:val="00597782"/>
    <w:rsid w:val="00597786"/>
    <w:rsid w:val="00597A40"/>
    <w:rsid w:val="00597D7F"/>
    <w:rsid w:val="005A01DE"/>
    <w:rsid w:val="005A0671"/>
    <w:rsid w:val="005A09FA"/>
    <w:rsid w:val="005A0C18"/>
    <w:rsid w:val="005A0C2B"/>
    <w:rsid w:val="005A1041"/>
    <w:rsid w:val="005A129A"/>
    <w:rsid w:val="005A1376"/>
    <w:rsid w:val="005A14AC"/>
    <w:rsid w:val="005A18C4"/>
    <w:rsid w:val="005A1954"/>
    <w:rsid w:val="005A1F40"/>
    <w:rsid w:val="005A1FD0"/>
    <w:rsid w:val="005A2195"/>
    <w:rsid w:val="005A281E"/>
    <w:rsid w:val="005A2C68"/>
    <w:rsid w:val="005A2CE2"/>
    <w:rsid w:val="005A2CFA"/>
    <w:rsid w:val="005A3184"/>
    <w:rsid w:val="005A3598"/>
    <w:rsid w:val="005A3816"/>
    <w:rsid w:val="005A3B15"/>
    <w:rsid w:val="005A3B61"/>
    <w:rsid w:val="005A3D65"/>
    <w:rsid w:val="005A3E10"/>
    <w:rsid w:val="005A3E73"/>
    <w:rsid w:val="005A4283"/>
    <w:rsid w:val="005A5108"/>
    <w:rsid w:val="005A51B7"/>
    <w:rsid w:val="005A676D"/>
    <w:rsid w:val="005A699B"/>
    <w:rsid w:val="005A699E"/>
    <w:rsid w:val="005A742A"/>
    <w:rsid w:val="005B02D2"/>
    <w:rsid w:val="005B05A2"/>
    <w:rsid w:val="005B083C"/>
    <w:rsid w:val="005B08A2"/>
    <w:rsid w:val="005B0A02"/>
    <w:rsid w:val="005B0FED"/>
    <w:rsid w:val="005B10CD"/>
    <w:rsid w:val="005B150A"/>
    <w:rsid w:val="005B16F8"/>
    <w:rsid w:val="005B19F0"/>
    <w:rsid w:val="005B1B62"/>
    <w:rsid w:val="005B1D15"/>
    <w:rsid w:val="005B1F8D"/>
    <w:rsid w:val="005B29AB"/>
    <w:rsid w:val="005B2C9D"/>
    <w:rsid w:val="005B2D31"/>
    <w:rsid w:val="005B3C51"/>
    <w:rsid w:val="005B4AE1"/>
    <w:rsid w:val="005B4BA6"/>
    <w:rsid w:val="005B4E36"/>
    <w:rsid w:val="005B56AC"/>
    <w:rsid w:val="005B574D"/>
    <w:rsid w:val="005B58D9"/>
    <w:rsid w:val="005B5EA4"/>
    <w:rsid w:val="005B6114"/>
    <w:rsid w:val="005B6317"/>
    <w:rsid w:val="005B6CEF"/>
    <w:rsid w:val="005B707D"/>
    <w:rsid w:val="005B7D0B"/>
    <w:rsid w:val="005C02A5"/>
    <w:rsid w:val="005C15AE"/>
    <w:rsid w:val="005C1B05"/>
    <w:rsid w:val="005C205C"/>
    <w:rsid w:val="005C22B7"/>
    <w:rsid w:val="005C2834"/>
    <w:rsid w:val="005C2A98"/>
    <w:rsid w:val="005C2DE8"/>
    <w:rsid w:val="005C2DF4"/>
    <w:rsid w:val="005C311C"/>
    <w:rsid w:val="005C318B"/>
    <w:rsid w:val="005C36D7"/>
    <w:rsid w:val="005C39FC"/>
    <w:rsid w:val="005C4DA3"/>
    <w:rsid w:val="005C54D6"/>
    <w:rsid w:val="005C5A6B"/>
    <w:rsid w:val="005C5E93"/>
    <w:rsid w:val="005C61BE"/>
    <w:rsid w:val="005C731B"/>
    <w:rsid w:val="005C7E6D"/>
    <w:rsid w:val="005D026E"/>
    <w:rsid w:val="005D0498"/>
    <w:rsid w:val="005D04AC"/>
    <w:rsid w:val="005D0775"/>
    <w:rsid w:val="005D0C74"/>
    <w:rsid w:val="005D0D40"/>
    <w:rsid w:val="005D0E0B"/>
    <w:rsid w:val="005D0F5C"/>
    <w:rsid w:val="005D1566"/>
    <w:rsid w:val="005D176A"/>
    <w:rsid w:val="005D2373"/>
    <w:rsid w:val="005D24A7"/>
    <w:rsid w:val="005D2BA5"/>
    <w:rsid w:val="005D3615"/>
    <w:rsid w:val="005D3AB0"/>
    <w:rsid w:val="005D3DDB"/>
    <w:rsid w:val="005D419C"/>
    <w:rsid w:val="005D468E"/>
    <w:rsid w:val="005D48D5"/>
    <w:rsid w:val="005D4A73"/>
    <w:rsid w:val="005D4D8E"/>
    <w:rsid w:val="005D6288"/>
    <w:rsid w:val="005D6927"/>
    <w:rsid w:val="005D6B1E"/>
    <w:rsid w:val="005D6D0E"/>
    <w:rsid w:val="005D6F3E"/>
    <w:rsid w:val="005D77EB"/>
    <w:rsid w:val="005D78FC"/>
    <w:rsid w:val="005D7D8A"/>
    <w:rsid w:val="005E076D"/>
    <w:rsid w:val="005E0B37"/>
    <w:rsid w:val="005E0BDE"/>
    <w:rsid w:val="005E0E6D"/>
    <w:rsid w:val="005E1DDD"/>
    <w:rsid w:val="005E1E00"/>
    <w:rsid w:val="005E1E0C"/>
    <w:rsid w:val="005E1E0D"/>
    <w:rsid w:val="005E2561"/>
    <w:rsid w:val="005E2732"/>
    <w:rsid w:val="005E3275"/>
    <w:rsid w:val="005E35E4"/>
    <w:rsid w:val="005E3704"/>
    <w:rsid w:val="005E3C36"/>
    <w:rsid w:val="005E4008"/>
    <w:rsid w:val="005E453D"/>
    <w:rsid w:val="005E4625"/>
    <w:rsid w:val="005E5283"/>
    <w:rsid w:val="005E52C6"/>
    <w:rsid w:val="005E533B"/>
    <w:rsid w:val="005E5D63"/>
    <w:rsid w:val="005E651B"/>
    <w:rsid w:val="005E657C"/>
    <w:rsid w:val="005E660E"/>
    <w:rsid w:val="005E6765"/>
    <w:rsid w:val="005E6C33"/>
    <w:rsid w:val="005E6F06"/>
    <w:rsid w:val="005E6FAA"/>
    <w:rsid w:val="005E7027"/>
    <w:rsid w:val="005E7143"/>
    <w:rsid w:val="005E762D"/>
    <w:rsid w:val="005E76D1"/>
    <w:rsid w:val="005E7EAC"/>
    <w:rsid w:val="005F00E6"/>
    <w:rsid w:val="005F13C9"/>
    <w:rsid w:val="005F1633"/>
    <w:rsid w:val="005F1674"/>
    <w:rsid w:val="005F1925"/>
    <w:rsid w:val="005F2517"/>
    <w:rsid w:val="005F30F7"/>
    <w:rsid w:val="005F3297"/>
    <w:rsid w:val="005F37BA"/>
    <w:rsid w:val="005F3D45"/>
    <w:rsid w:val="005F4BBB"/>
    <w:rsid w:val="005F4D09"/>
    <w:rsid w:val="005F4DC5"/>
    <w:rsid w:val="005F4DD8"/>
    <w:rsid w:val="005F4E2A"/>
    <w:rsid w:val="005F5538"/>
    <w:rsid w:val="005F570E"/>
    <w:rsid w:val="005F5A3D"/>
    <w:rsid w:val="005F5B1C"/>
    <w:rsid w:val="005F5CF0"/>
    <w:rsid w:val="005F5D3B"/>
    <w:rsid w:val="005F5E23"/>
    <w:rsid w:val="005F5F12"/>
    <w:rsid w:val="005F6759"/>
    <w:rsid w:val="005F6B67"/>
    <w:rsid w:val="005F720A"/>
    <w:rsid w:val="005F78D4"/>
    <w:rsid w:val="005F790A"/>
    <w:rsid w:val="005F7D33"/>
    <w:rsid w:val="006001D8"/>
    <w:rsid w:val="006003C0"/>
    <w:rsid w:val="00600694"/>
    <w:rsid w:val="0060082F"/>
    <w:rsid w:val="00600A0A"/>
    <w:rsid w:val="00600BCE"/>
    <w:rsid w:val="00600D77"/>
    <w:rsid w:val="006010CE"/>
    <w:rsid w:val="00601209"/>
    <w:rsid w:val="0060149A"/>
    <w:rsid w:val="006017EC"/>
    <w:rsid w:val="00601BA9"/>
    <w:rsid w:val="0060204C"/>
    <w:rsid w:val="00602680"/>
    <w:rsid w:val="0060291C"/>
    <w:rsid w:val="00603259"/>
    <w:rsid w:val="0060365C"/>
    <w:rsid w:val="00603772"/>
    <w:rsid w:val="00603C31"/>
    <w:rsid w:val="00603E56"/>
    <w:rsid w:val="00603E95"/>
    <w:rsid w:val="00603FFC"/>
    <w:rsid w:val="006040F2"/>
    <w:rsid w:val="006041AA"/>
    <w:rsid w:val="0060466F"/>
    <w:rsid w:val="0060480A"/>
    <w:rsid w:val="006049E1"/>
    <w:rsid w:val="00604A1C"/>
    <w:rsid w:val="00604D59"/>
    <w:rsid w:val="00604FE3"/>
    <w:rsid w:val="006054E7"/>
    <w:rsid w:val="00605FD3"/>
    <w:rsid w:val="006065A2"/>
    <w:rsid w:val="00606BE7"/>
    <w:rsid w:val="00606CCC"/>
    <w:rsid w:val="00606E89"/>
    <w:rsid w:val="00606F6F"/>
    <w:rsid w:val="006070CB"/>
    <w:rsid w:val="00607190"/>
    <w:rsid w:val="00607EA6"/>
    <w:rsid w:val="00607FFB"/>
    <w:rsid w:val="006100A4"/>
    <w:rsid w:val="00610E21"/>
    <w:rsid w:val="00610E49"/>
    <w:rsid w:val="006112BA"/>
    <w:rsid w:val="00611425"/>
    <w:rsid w:val="0061158F"/>
    <w:rsid w:val="006115CC"/>
    <w:rsid w:val="00611638"/>
    <w:rsid w:val="00611B0F"/>
    <w:rsid w:val="00611BBE"/>
    <w:rsid w:val="00611F62"/>
    <w:rsid w:val="00611FEB"/>
    <w:rsid w:val="0061213F"/>
    <w:rsid w:val="00612270"/>
    <w:rsid w:val="00612B4E"/>
    <w:rsid w:val="0061344F"/>
    <w:rsid w:val="00614A59"/>
    <w:rsid w:val="00614CB1"/>
    <w:rsid w:val="00615688"/>
    <w:rsid w:val="00615A0E"/>
    <w:rsid w:val="00615B7B"/>
    <w:rsid w:val="00615B86"/>
    <w:rsid w:val="00615EFE"/>
    <w:rsid w:val="00616379"/>
    <w:rsid w:val="00617496"/>
    <w:rsid w:val="0061758F"/>
    <w:rsid w:val="00617E9A"/>
    <w:rsid w:val="00617F1B"/>
    <w:rsid w:val="00617FA7"/>
    <w:rsid w:val="0062025D"/>
    <w:rsid w:val="0062058E"/>
    <w:rsid w:val="0062097F"/>
    <w:rsid w:val="00620C89"/>
    <w:rsid w:val="00620D2E"/>
    <w:rsid w:val="00620EFB"/>
    <w:rsid w:val="006211C6"/>
    <w:rsid w:val="006211CF"/>
    <w:rsid w:val="006212ED"/>
    <w:rsid w:val="00621E1C"/>
    <w:rsid w:val="00621E3E"/>
    <w:rsid w:val="0062245A"/>
    <w:rsid w:val="006227A4"/>
    <w:rsid w:val="00622C85"/>
    <w:rsid w:val="00622DF7"/>
    <w:rsid w:val="006234DF"/>
    <w:rsid w:val="006235C6"/>
    <w:rsid w:val="006239B8"/>
    <w:rsid w:val="00623EBE"/>
    <w:rsid w:val="00623EC6"/>
    <w:rsid w:val="00623F02"/>
    <w:rsid w:val="00624308"/>
    <w:rsid w:val="006243F9"/>
    <w:rsid w:val="00624648"/>
    <w:rsid w:val="00625412"/>
    <w:rsid w:val="006254FF"/>
    <w:rsid w:val="0062554D"/>
    <w:rsid w:val="00625607"/>
    <w:rsid w:val="006259C1"/>
    <w:rsid w:val="00625AC5"/>
    <w:rsid w:val="006266A5"/>
    <w:rsid w:val="00626766"/>
    <w:rsid w:val="00626D05"/>
    <w:rsid w:val="00626F97"/>
    <w:rsid w:val="006277A3"/>
    <w:rsid w:val="00627D14"/>
    <w:rsid w:val="00627E93"/>
    <w:rsid w:val="00630141"/>
    <w:rsid w:val="006305F3"/>
    <w:rsid w:val="006307AE"/>
    <w:rsid w:val="00631D38"/>
    <w:rsid w:val="00631D91"/>
    <w:rsid w:val="0063235A"/>
    <w:rsid w:val="00632835"/>
    <w:rsid w:val="006328C2"/>
    <w:rsid w:val="006332A8"/>
    <w:rsid w:val="006334F6"/>
    <w:rsid w:val="00633641"/>
    <w:rsid w:val="00633712"/>
    <w:rsid w:val="00633D8C"/>
    <w:rsid w:val="00633F54"/>
    <w:rsid w:val="006342DD"/>
    <w:rsid w:val="00634383"/>
    <w:rsid w:val="006343FD"/>
    <w:rsid w:val="0063468D"/>
    <w:rsid w:val="00634715"/>
    <w:rsid w:val="00635298"/>
    <w:rsid w:val="006355D2"/>
    <w:rsid w:val="006359D9"/>
    <w:rsid w:val="00635BD2"/>
    <w:rsid w:val="00636795"/>
    <w:rsid w:val="006367A8"/>
    <w:rsid w:val="00636979"/>
    <w:rsid w:val="00637407"/>
    <w:rsid w:val="0063782F"/>
    <w:rsid w:val="006403E7"/>
    <w:rsid w:val="006407EF"/>
    <w:rsid w:val="00640B72"/>
    <w:rsid w:val="00640D97"/>
    <w:rsid w:val="0064129B"/>
    <w:rsid w:val="0064130D"/>
    <w:rsid w:val="00641399"/>
    <w:rsid w:val="00641B16"/>
    <w:rsid w:val="00641B53"/>
    <w:rsid w:val="00641E95"/>
    <w:rsid w:val="00641F31"/>
    <w:rsid w:val="00642136"/>
    <w:rsid w:val="006423CC"/>
    <w:rsid w:val="00642A5D"/>
    <w:rsid w:val="0064332D"/>
    <w:rsid w:val="00643FCA"/>
    <w:rsid w:val="0064410D"/>
    <w:rsid w:val="00644442"/>
    <w:rsid w:val="00645221"/>
    <w:rsid w:val="0064534E"/>
    <w:rsid w:val="006453CC"/>
    <w:rsid w:val="00645551"/>
    <w:rsid w:val="00645CC0"/>
    <w:rsid w:val="00645D8F"/>
    <w:rsid w:val="00645E70"/>
    <w:rsid w:val="0064609A"/>
    <w:rsid w:val="00646341"/>
    <w:rsid w:val="00646430"/>
    <w:rsid w:val="0064643E"/>
    <w:rsid w:val="00646A71"/>
    <w:rsid w:val="006474BC"/>
    <w:rsid w:val="0064760E"/>
    <w:rsid w:val="006500D2"/>
    <w:rsid w:val="00650B8B"/>
    <w:rsid w:val="00650CE5"/>
    <w:rsid w:val="006510A1"/>
    <w:rsid w:val="0065125C"/>
    <w:rsid w:val="00651539"/>
    <w:rsid w:val="0065179F"/>
    <w:rsid w:val="006521F0"/>
    <w:rsid w:val="00653188"/>
    <w:rsid w:val="006533FC"/>
    <w:rsid w:val="006534B6"/>
    <w:rsid w:val="006537B2"/>
    <w:rsid w:val="00653931"/>
    <w:rsid w:val="00653C2A"/>
    <w:rsid w:val="00653C9B"/>
    <w:rsid w:val="00653D16"/>
    <w:rsid w:val="006540DC"/>
    <w:rsid w:val="00654A11"/>
    <w:rsid w:val="00654F58"/>
    <w:rsid w:val="00654F94"/>
    <w:rsid w:val="00655A00"/>
    <w:rsid w:val="0065617C"/>
    <w:rsid w:val="00656303"/>
    <w:rsid w:val="00656399"/>
    <w:rsid w:val="00656BD6"/>
    <w:rsid w:val="00657083"/>
    <w:rsid w:val="006571F3"/>
    <w:rsid w:val="00657567"/>
    <w:rsid w:val="0065768C"/>
    <w:rsid w:val="00660408"/>
    <w:rsid w:val="00660D2A"/>
    <w:rsid w:val="00660DF0"/>
    <w:rsid w:val="00660ED1"/>
    <w:rsid w:val="006619CD"/>
    <w:rsid w:val="00661D3D"/>
    <w:rsid w:val="00662B6E"/>
    <w:rsid w:val="006633FE"/>
    <w:rsid w:val="00663908"/>
    <w:rsid w:val="00664917"/>
    <w:rsid w:val="00664CF9"/>
    <w:rsid w:val="00664EB9"/>
    <w:rsid w:val="00664F34"/>
    <w:rsid w:val="00665087"/>
    <w:rsid w:val="00665275"/>
    <w:rsid w:val="006654D3"/>
    <w:rsid w:val="0066578C"/>
    <w:rsid w:val="00665D2A"/>
    <w:rsid w:val="0066606C"/>
    <w:rsid w:val="0066692E"/>
    <w:rsid w:val="00666C2B"/>
    <w:rsid w:val="00666F07"/>
    <w:rsid w:val="00667060"/>
    <w:rsid w:val="00667211"/>
    <w:rsid w:val="00667392"/>
    <w:rsid w:val="00667532"/>
    <w:rsid w:val="00667735"/>
    <w:rsid w:val="0066777D"/>
    <w:rsid w:val="006678D5"/>
    <w:rsid w:val="006701EA"/>
    <w:rsid w:val="006709DC"/>
    <w:rsid w:val="006711D1"/>
    <w:rsid w:val="006715D5"/>
    <w:rsid w:val="006719A1"/>
    <w:rsid w:val="00671BA3"/>
    <w:rsid w:val="00671F75"/>
    <w:rsid w:val="00672280"/>
    <w:rsid w:val="0067238E"/>
    <w:rsid w:val="006732AA"/>
    <w:rsid w:val="006734BF"/>
    <w:rsid w:val="00674097"/>
    <w:rsid w:val="00674183"/>
    <w:rsid w:val="00674DAE"/>
    <w:rsid w:val="00674EA4"/>
    <w:rsid w:val="00675308"/>
    <w:rsid w:val="00675389"/>
    <w:rsid w:val="00675511"/>
    <w:rsid w:val="006755DA"/>
    <w:rsid w:val="00675C2F"/>
    <w:rsid w:val="00675C9F"/>
    <w:rsid w:val="00675FC8"/>
    <w:rsid w:val="00676388"/>
    <w:rsid w:val="0067706D"/>
    <w:rsid w:val="00677481"/>
    <w:rsid w:val="0067778C"/>
    <w:rsid w:val="00677E18"/>
    <w:rsid w:val="00680912"/>
    <w:rsid w:val="00680964"/>
    <w:rsid w:val="00680BD2"/>
    <w:rsid w:val="00680ECC"/>
    <w:rsid w:val="00681002"/>
    <w:rsid w:val="0068145B"/>
    <w:rsid w:val="006815D6"/>
    <w:rsid w:val="00681824"/>
    <w:rsid w:val="00681EBA"/>
    <w:rsid w:val="006823F0"/>
    <w:rsid w:val="00682B65"/>
    <w:rsid w:val="0068308E"/>
    <w:rsid w:val="00683552"/>
    <w:rsid w:val="00683A2C"/>
    <w:rsid w:val="00683B03"/>
    <w:rsid w:val="0068424F"/>
    <w:rsid w:val="0068435A"/>
    <w:rsid w:val="00684368"/>
    <w:rsid w:val="00684419"/>
    <w:rsid w:val="00684A53"/>
    <w:rsid w:val="00684AC6"/>
    <w:rsid w:val="00684B78"/>
    <w:rsid w:val="00685018"/>
    <w:rsid w:val="006854A9"/>
    <w:rsid w:val="00685548"/>
    <w:rsid w:val="00685574"/>
    <w:rsid w:val="006865A2"/>
    <w:rsid w:val="00686759"/>
    <w:rsid w:val="00686A6A"/>
    <w:rsid w:val="00686CA2"/>
    <w:rsid w:val="006870B0"/>
    <w:rsid w:val="00687B13"/>
    <w:rsid w:val="00687E93"/>
    <w:rsid w:val="00687EA8"/>
    <w:rsid w:val="006905AA"/>
    <w:rsid w:val="00690695"/>
    <w:rsid w:val="006906B9"/>
    <w:rsid w:val="00690733"/>
    <w:rsid w:val="00690F05"/>
    <w:rsid w:val="0069117A"/>
    <w:rsid w:val="006922E9"/>
    <w:rsid w:val="0069237A"/>
    <w:rsid w:val="00692507"/>
    <w:rsid w:val="006925C4"/>
    <w:rsid w:val="006927BA"/>
    <w:rsid w:val="00692CA9"/>
    <w:rsid w:val="006930CF"/>
    <w:rsid w:val="00693E97"/>
    <w:rsid w:val="0069409D"/>
    <w:rsid w:val="00694E80"/>
    <w:rsid w:val="00695593"/>
    <w:rsid w:val="006957C3"/>
    <w:rsid w:val="00695BC8"/>
    <w:rsid w:val="006960CE"/>
    <w:rsid w:val="00696308"/>
    <w:rsid w:val="006963E6"/>
    <w:rsid w:val="0069649B"/>
    <w:rsid w:val="00696873"/>
    <w:rsid w:val="00696CCC"/>
    <w:rsid w:val="006971A1"/>
    <w:rsid w:val="0069726E"/>
    <w:rsid w:val="006972AC"/>
    <w:rsid w:val="00697666"/>
    <w:rsid w:val="006977A6"/>
    <w:rsid w:val="00697822"/>
    <w:rsid w:val="006978D4"/>
    <w:rsid w:val="00697E34"/>
    <w:rsid w:val="006A0320"/>
    <w:rsid w:val="006A0BE9"/>
    <w:rsid w:val="006A1302"/>
    <w:rsid w:val="006A1458"/>
    <w:rsid w:val="006A14BF"/>
    <w:rsid w:val="006A16DB"/>
    <w:rsid w:val="006A1F3B"/>
    <w:rsid w:val="006A2044"/>
    <w:rsid w:val="006A2956"/>
    <w:rsid w:val="006A2C22"/>
    <w:rsid w:val="006A2D45"/>
    <w:rsid w:val="006A2EAC"/>
    <w:rsid w:val="006A3803"/>
    <w:rsid w:val="006A3E17"/>
    <w:rsid w:val="006A476E"/>
    <w:rsid w:val="006A47D9"/>
    <w:rsid w:val="006A4F2A"/>
    <w:rsid w:val="006A4F9A"/>
    <w:rsid w:val="006A4FC2"/>
    <w:rsid w:val="006A5022"/>
    <w:rsid w:val="006A56F9"/>
    <w:rsid w:val="006A596F"/>
    <w:rsid w:val="006A5B6C"/>
    <w:rsid w:val="006A635F"/>
    <w:rsid w:val="006A648A"/>
    <w:rsid w:val="006A6B8D"/>
    <w:rsid w:val="006A6D1C"/>
    <w:rsid w:val="006A6EB2"/>
    <w:rsid w:val="006A7042"/>
    <w:rsid w:val="006A7447"/>
    <w:rsid w:val="006A74E1"/>
    <w:rsid w:val="006A7E75"/>
    <w:rsid w:val="006B038A"/>
    <w:rsid w:val="006B0670"/>
    <w:rsid w:val="006B0FE5"/>
    <w:rsid w:val="006B1374"/>
    <w:rsid w:val="006B1624"/>
    <w:rsid w:val="006B19CC"/>
    <w:rsid w:val="006B1ADE"/>
    <w:rsid w:val="006B1D25"/>
    <w:rsid w:val="006B2CA4"/>
    <w:rsid w:val="006B340D"/>
    <w:rsid w:val="006B361C"/>
    <w:rsid w:val="006B3722"/>
    <w:rsid w:val="006B3CF3"/>
    <w:rsid w:val="006B3E93"/>
    <w:rsid w:val="006B3FA9"/>
    <w:rsid w:val="006B42D8"/>
    <w:rsid w:val="006B4399"/>
    <w:rsid w:val="006B4794"/>
    <w:rsid w:val="006B47D8"/>
    <w:rsid w:val="006B4BFF"/>
    <w:rsid w:val="006B4C1E"/>
    <w:rsid w:val="006B4D1C"/>
    <w:rsid w:val="006B4FC4"/>
    <w:rsid w:val="006B5416"/>
    <w:rsid w:val="006B55C3"/>
    <w:rsid w:val="006B57DC"/>
    <w:rsid w:val="006B59C6"/>
    <w:rsid w:val="006B5B4E"/>
    <w:rsid w:val="006B6290"/>
    <w:rsid w:val="006B6343"/>
    <w:rsid w:val="006B6986"/>
    <w:rsid w:val="006B6DA2"/>
    <w:rsid w:val="006B7FB2"/>
    <w:rsid w:val="006C0969"/>
    <w:rsid w:val="006C145C"/>
    <w:rsid w:val="006C1554"/>
    <w:rsid w:val="006C1571"/>
    <w:rsid w:val="006C163D"/>
    <w:rsid w:val="006C16F1"/>
    <w:rsid w:val="006C1FD2"/>
    <w:rsid w:val="006C22D5"/>
    <w:rsid w:val="006C2396"/>
    <w:rsid w:val="006C24BA"/>
    <w:rsid w:val="006C2702"/>
    <w:rsid w:val="006C2C63"/>
    <w:rsid w:val="006C38CF"/>
    <w:rsid w:val="006C40CD"/>
    <w:rsid w:val="006C43F3"/>
    <w:rsid w:val="006C4AF8"/>
    <w:rsid w:val="006C4F8E"/>
    <w:rsid w:val="006C5581"/>
    <w:rsid w:val="006C569D"/>
    <w:rsid w:val="006C59C9"/>
    <w:rsid w:val="006C5BB5"/>
    <w:rsid w:val="006C6362"/>
    <w:rsid w:val="006C63DE"/>
    <w:rsid w:val="006C672E"/>
    <w:rsid w:val="006C71B2"/>
    <w:rsid w:val="006C729B"/>
    <w:rsid w:val="006D0AF0"/>
    <w:rsid w:val="006D0C9F"/>
    <w:rsid w:val="006D0DA7"/>
    <w:rsid w:val="006D1A8D"/>
    <w:rsid w:val="006D21E1"/>
    <w:rsid w:val="006D2411"/>
    <w:rsid w:val="006D2697"/>
    <w:rsid w:val="006D2AD3"/>
    <w:rsid w:val="006D2B6E"/>
    <w:rsid w:val="006D2BE2"/>
    <w:rsid w:val="006D32E7"/>
    <w:rsid w:val="006D3A68"/>
    <w:rsid w:val="006D3E03"/>
    <w:rsid w:val="006D3FF0"/>
    <w:rsid w:val="006D4216"/>
    <w:rsid w:val="006D4459"/>
    <w:rsid w:val="006D4926"/>
    <w:rsid w:val="006D4974"/>
    <w:rsid w:val="006D4A64"/>
    <w:rsid w:val="006D4EF3"/>
    <w:rsid w:val="006D51E5"/>
    <w:rsid w:val="006D5571"/>
    <w:rsid w:val="006D5B5F"/>
    <w:rsid w:val="006D609B"/>
    <w:rsid w:val="006D63D2"/>
    <w:rsid w:val="006D6F49"/>
    <w:rsid w:val="006D71AF"/>
    <w:rsid w:val="006D7302"/>
    <w:rsid w:val="006E0390"/>
    <w:rsid w:val="006E0423"/>
    <w:rsid w:val="006E0A3F"/>
    <w:rsid w:val="006E11AE"/>
    <w:rsid w:val="006E158E"/>
    <w:rsid w:val="006E1FFA"/>
    <w:rsid w:val="006E2151"/>
    <w:rsid w:val="006E2168"/>
    <w:rsid w:val="006E27E3"/>
    <w:rsid w:val="006E3039"/>
    <w:rsid w:val="006E31A8"/>
    <w:rsid w:val="006E35AD"/>
    <w:rsid w:val="006E3CC9"/>
    <w:rsid w:val="006E5194"/>
    <w:rsid w:val="006E531A"/>
    <w:rsid w:val="006E5393"/>
    <w:rsid w:val="006E5870"/>
    <w:rsid w:val="006E5A44"/>
    <w:rsid w:val="006E6034"/>
    <w:rsid w:val="006E6669"/>
    <w:rsid w:val="006E69A1"/>
    <w:rsid w:val="006E69AE"/>
    <w:rsid w:val="006E69D0"/>
    <w:rsid w:val="006E73A6"/>
    <w:rsid w:val="006E7B72"/>
    <w:rsid w:val="006E7BD3"/>
    <w:rsid w:val="006E7C07"/>
    <w:rsid w:val="006F06AC"/>
    <w:rsid w:val="006F0974"/>
    <w:rsid w:val="006F1099"/>
    <w:rsid w:val="006F2337"/>
    <w:rsid w:val="006F282B"/>
    <w:rsid w:val="006F2D11"/>
    <w:rsid w:val="006F37B2"/>
    <w:rsid w:val="006F3DAC"/>
    <w:rsid w:val="006F46C5"/>
    <w:rsid w:val="006F4953"/>
    <w:rsid w:val="006F4974"/>
    <w:rsid w:val="006F4CC6"/>
    <w:rsid w:val="006F4DD7"/>
    <w:rsid w:val="006F5CE5"/>
    <w:rsid w:val="006F6048"/>
    <w:rsid w:val="006F6459"/>
    <w:rsid w:val="006F663F"/>
    <w:rsid w:val="006F70F2"/>
    <w:rsid w:val="006F7310"/>
    <w:rsid w:val="006F7414"/>
    <w:rsid w:val="006F7C0F"/>
    <w:rsid w:val="0070014E"/>
    <w:rsid w:val="00700388"/>
    <w:rsid w:val="0070098F"/>
    <w:rsid w:val="00700E2A"/>
    <w:rsid w:val="00701406"/>
    <w:rsid w:val="00701933"/>
    <w:rsid w:val="00701C10"/>
    <w:rsid w:val="00701EF1"/>
    <w:rsid w:val="00701FAF"/>
    <w:rsid w:val="007025B1"/>
    <w:rsid w:val="00702BF8"/>
    <w:rsid w:val="0070360B"/>
    <w:rsid w:val="007039AA"/>
    <w:rsid w:val="0070439C"/>
    <w:rsid w:val="00704ED3"/>
    <w:rsid w:val="007054A2"/>
    <w:rsid w:val="00706550"/>
    <w:rsid w:val="00706626"/>
    <w:rsid w:val="007066E8"/>
    <w:rsid w:val="007070B7"/>
    <w:rsid w:val="007071BE"/>
    <w:rsid w:val="007072B3"/>
    <w:rsid w:val="00707988"/>
    <w:rsid w:val="00707A32"/>
    <w:rsid w:val="00710650"/>
    <w:rsid w:val="00710B99"/>
    <w:rsid w:val="00710F73"/>
    <w:rsid w:val="00711181"/>
    <w:rsid w:val="0071121E"/>
    <w:rsid w:val="007117DF"/>
    <w:rsid w:val="007119DD"/>
    <w:rsid w:val="00711D84"/>
    <w:rsid w:val="00712167"/>
    <w:rsid w:val="007121CA"/>
    <w:rsid w:val="0071226F"/>
    <w:rsid w:val="007128F2"/>
    <w:rsid w:val="00712C58"/>
    <w:rsid w:val="007135C2"/>
    <w:rsid w:val="00713C28"/>
    <w:rsid w:val="00713DE6"/>
    <w:rsid w:val="00714643"/>
    <w:rsid w:val="00714ACC"/>
    <w:rsid w:val="00714C9C"/>
    <w:rsid w:val="00715285"/>
    <w:rsid w:val="007153C0"/>
    <w:rsid w:val="0071561A"/>
    <w:rsid w:val="00715BDF"/>
    <w:rsid w:val="00716246"/>
    <w:rsid w:val="00716C14"/>
    <w:rsid w:val="00717780"/>
    <w:rsid w:val="00717814"/>
    <w:rsid w:val="00717832"/>
    <w:rsid w:val="007200D0"/>
    <w:rsid w:val="00721046"/>
    <w:rsid w:val="00721353"/>
    <w:rsid w:val="00721725"/>
    <w:rsid w:val="007217B1"/>
    <w:rsid w:val="00721BD8"/>
    <w:rsid w:val="00722A9E"/>
    <w:rsid w:val="00722AE1"/>
    <w:rsid w:val="00722DFD"/>
    <w:rsid w:val="0072313C"/>
    <w:rsid w:val="00723F2E"/>
    <w:rsid w:val="007240A0"/>
    <w:rsid w:val="007248BF"/>
    <w:rsid w:val="00724A47"/>
    <w:rsid w:val="00724A81"/>
    <w:rsid w:val="00724C49"/>
    <w:rsid w:val="00724CE8"/>
    <w:rsid w:val="00724E0D"/>
    <w:rsid w:val="00725012"/>
    <w:rsid w:val="00725B80"/>
    <w:rsid w:val="00725C63"/>
    <w:rsid w:val="00725CA2"/>
    <w:rsid w:val="00725D08"/>
    <w:rsid w:val="007261A2"/>
    <w:rsid w:val="007262A6"/>
    <w:rsid w:val="007264F3"/>
    <w:rsid w:val="00727BBF"/>
    <w:rsid w:val="00730632"/>
    <w:rsid w:val="007306DC"/>
    <w:rsid w:val="00730797"/>
    <w:rsid w:val="0073086C"/>
    <w:rsid w:val="00730A54"/>
    <w:rsid w:val="00730C6B"/>
    <w:rsid w:val="00731CA7"/>
    <w:rsid w:val="00731EAB"/>
    <w:rsid w:val="00732747"/>
    <w:rsid w:val="0073292A"/>
    <w:rsid w:val="007329FB"/>
    <w:rsid w:val="00732CC1"/>
    <w:rsid w:val="00732EDE"/>
    <w:rsid w:val="00733541"/>
    <w:rsid w:val="007337DB"/>
    <w:rsid w:val="00733F2D"/>
    <w:rsid w:val="00734A8F"/>
    <w:rsid w:val="00734CC1"/>
    <w:rsid w:val="00734E97"/>
    <w:rsid w:val="00734EBE"/>
    <w:rsid w:val="00734F56"/>
    <w:rsid w:val="007350BD"/>
    <w:rsid w:val="00735CEA"/>
    <w:rsid w:val="007363AF"/>
    <w:rsid w:val="0073678D"/>
    <w:rsid w:val="0073681E"/>
    <w:rsid w:val="007375DF"/>
    <w:rsid w:val="00737CF2"/>
    <w:rsid w:val="00740000"/>
    <w:rsid w:val="00740214"/>
    <w:rsid w:val="00740380"/>
    <w:rsid w:val="0074052D"/>
    <w:rsid w:val="00740BEF"/>
    <w:rsid w:val="00740D21"/>
    <w:rsid w:val="0074123C"/>
    <w:rsid w:val="007414A2"/>
    <w:rsid w:val="0074175F"/>
    <w:rsid w:val="007417BF"/>
    <w:rsid w:val="00741F1D"/>
    <w:rsid w:val="0074215A"/>
    <w:rsid w:val="00742B56"/>
    <w:rsid w:val="00742D8E"/>
    <w:rsid w:val="00742EB6"/>
    <w:rsid w:val="007435B9"/>
    <w:rsid w:val="0074519C"/>
    <w:rsid w:val="007451E1"/>
    <w:rsid w:val="00745862"/>
    <w:rsid w:val="00745ABC"/>
    <w:rsid w:val="00745BD9"/>
    <w:rsid w:val="007461C9"/>
    <w:rsid w:val="00746A5A"/>
    <w:rsid w:val="00746F83"/>
    <w:rsid w:val="00747038"/>
    <w:rsid w:val="007470B3"/>
    <w:rsid w:val="00747B9A"/>
    <w:rsid w:val="00747D6B"/>
    <w:rsid w:val="007502B3"/>
    <w:rsid w:val="0075040C"/>
    <w:rsid w:val="00750742"/>
    <w:rsid w:val="00750D79"/>
    <w:rsid w:val="00751CFC"/>
    <w:rsid w:val="00751FB2"/>
    <w:rsid w:val="00752271"/>
    <w:rsid w:val="007522EB"/>
    <w:rsid w:val="007524F3"/>
    <w:rsid w:val="007525AF"/>
    <w:rsid w:val="007526BB"/>
    <w:rsid w:val="00752B09"/>
    <w:rsid w:val="00752F35"/>
    <w:rsid w:val="00752FB3"/>
    <w:rsid w:val="00753077"/>
    <w:rsid w:val="00753175"/>
    <w:rsid w:val="00753A94"/>
    <w:rsid w:val="00753B63"/>
    <w:rsid w:val="0075538A"/>
    <w:rsid w:val="007553C2"/>
    <w:rsid w:val="0075612A"/>
    <w:rsid w:val="007561D0"/>
    <w:rsid w:val="00756518"/>
    <w:rsid w:val="00757452"/>
    <w:rsid w:val="0075774A"/>
    <w:rsid w:val="007578AB"/>
    <w:rsid w:val="00757C4F"/>
    <w:rsid w:val="00757CAE"/>
    <w:rsid w:val="00757E0C"/>
    <w:rsid w:val="00757F41"/>
    <w:rsid w:val="00760AC2"/>
    <w:rsid w:val="00760F78"/>
    <w:rsid w:val="007613B2"/>
    <w:rsid w:val="007616DE"/>
    <w:rsid w:val="0076197D"/>
    <w:rsid w:val="00761A38"/>
    <w:rsid w:val="007625C0"/>
    <w:rsid w:val="00762966"/>
    <w:rsid w:val="00762A3C"/>
    <w:rsid w:val="00762D2F"/>
    <w:rsid w:val="007639C3"/>
    <w:rsid w:val="0076413A"/>
    <w:rsid w:val="00764797"/>
    <w:rsid w:val="00764E7D"/>
    <w:rsid w:val="00765137"/>
    <w:rsid w:val="0076545B"/>
    <w:rsid w:val="007662FE"/>
    <w:rsid w:val="0076638F"/>
    <w:rsid w:val="00766835"/>
    <w:rsid w:val="007668C8"/>
    <w:rsid w:val="007668EB"/>
    <w:rsid w:val="00766D26"/>
    <w:rsid w:val="00767EE4"/>
    <w:rsid w:val="00770031"/>
    <w:rsid w:val="0077039D"/>
    <w:rsid w:val="007705DF"/>
    <w:rsid w:val="00770661"/>
    <w:rsid w:val="00770D14"/>
    <w:rsid w:val="00771B73"/>
    <w:rsid w:val="0077215F"/>
    <w:rsid w:val="0077273F"/>
    <w:rsid w:val="00772E97"/>
    <w:rsid w:val="0077302A"/>
    <w:rsid w:val="007734E6"/>
    <w:rsid w:val="00773773"/>
    <w:rsid w:val="007739C6"/>
    <w:rsid w:val="00773E53"/>
    <w:rsid w:val="00773E57"/>
    <w:rsid w:val="00773FE1"/>
    <w:rsid w:val="00774431"/>
    <w:rsid w:val="0077480A"/>
    <w:rsid w:val="0077495A"/>
    <w:rsid w:val="00774FEB"/>
    <w:rsid w:val="0077568C"/>
    <w:rsid w:val="007756AD"/>
    <w:rsid w:val="00775929"/>
    <w:rsid w:val="007760A1"/>
    <w:rsid w:val="007761EA"/>
    <w:rsid w:val="00776E8F"/>
    <w:rsid w:val="00776F2C"/>
    <w:rsid w:val="0077712E"/>
    <w:rsid w:val="00777413"/>
    <w:rsid w:val="007775F0"/>
    <w:rsid w:val="00777851"/>
    <w:rsid w:val="00777BA2"/>
    <w:rsid w:val="00777F0B"/>
    <w:rsid w:val="00780330"/>
    <w:rsid w:val="007806B6"/>
    <w:rsid w:val="007809E4"/>
    <w:rsid w:val="00781723"/>
    <w:rsid w:val="00781CE3"/>
    <w:rsid w:val="00782224"/>
    <w:rsid w:val="00782A8A"/>
    <w:rsid w:val="00782B92"/>
    <w:rsid w:val="0078302C"/>
    <w:rsid w:val="0078319B"/>
    <w:rsid w:val="007831F8"/>
    <w:rsid w:val="0078353D"/>
    <w:rsid w:val="00783664"/>
    <w:rsid w:val="00783C97"/>
    <w:rsid w:val="00783E7C"/>
    <w:rsid w:val="007842AF"/>
    <w:rsid w:val="007846A4"/>
    <w:rsid w:val="007847E1"/>
    <w:rsid w:val="00784DB3"/>
    <w:rsid w:val="00785674"/>
    <w:rsid w:val="00785FF0"/>
    <w:rsid w:val="00786008"/>
    <w:rsid w:val="0078608C"/>
    <w:rsid w:val="007860D8"/>
    <w:rsid w:val="007867EF"/>
    <w:rsid w:val="00786D1E"/>
    <w:rsid w:val="00786EA7"/>
    <w:rsid w:val="00786EBA"/>
    <w:rsid w:val="00787097"/>
    <w:rsid w:val="007876B7"/>
    <w:rsid w:val="00787970"/>
    <w:rsid w:val="00787E72"/>
    <w:rsid w:val="00790964"/>
    <w:rsid w:val="007911BC"/>
    <w:rsid w:val="007912A2"/>
    <w:rsid w:val="007912D5"/>
    <w:rsid w:val="00791502"/>
    <w:rsid w:val="0079184D"/>
    <w:rsid w:val="00791A45"/>
    <w:rsid w:val="00791B96"/>
    <w:rsid w:val="0079215A"/>
    <w:rsid w:val="0079330E"/>
    <w:rsid w:val="007935AB"/>
    <w:rsid w:val="00793946"/>
    <w:rsid w:val="00793EF9"/>
    <w:rsid w:val="00793F0A"/>
    <w:rsid w:val="0079468C"/>
    <w:rsid w:val="00794D4B"/>
    <w:rsid w:val="0079579A"/>
    <w:rsid w:val="007958AC"/>
    <w:rsid w:val="00795A38"/>
    <w:rsid w:val="00795A5E"/>
    <w:rsid w:val="00795ADC"/>
    <w:rsid w:val="00795B37"/>
    <w:rsid w:val="00795F03"/>
    <w:rsid w:val="0079636B"/>
    <w:rsid w:val="00796AFF"/>
    <w:rsid w:val="00796C19"/>
    <w:rsid w:val="00797CCF"/>
    <w:rsid w:val="00797E5D"/>
    <w:rsid w:val="007A006E"/>
    <w:rsid w:val="007A03D9"/>
    <w:rsid w:val="007A1172"/>
    <w:rsid w:val="007A11DC"/>
    <w:rsid w:val="007A197E"/>
    <w:rsid w:val="007A217A"/>
    <w:rsid w:val="007A28E1"/>
    <w:rsid w:val="007A2C32"/>
    <w:rsid w:val="007A30A9"/>
    <w:rsid w:val="007A3F80"/>
    <w:rsid w:val="007A45C6"/>
    <w:rsid w:val="007A4627"/>
    <w:rsid w:val="007A4B61"/>
    <w:rsid w:val="007A4D69"/>
    <w:rsid w:val="007A4E1F"/>
    <w:rsid w:val="007A52CB"/>
    <w:rsid w:val="007A566D"/>
    <w:rsid w:val="007A5823"/>
    <w:rsid w:val="007A5F7A"/>
    <w:rsid w:val="007A607F"/>
    <w:rsid w:val="007A693D"/>
    <w:rsid w:val="007A69E8"/>
    <w:rsid w:val="007A6D2B"/>
    <w:rsid w:val="007A7047"/>
    <w:rsid w:val="007A7160"/>
    <w:rsid w:val="007A7299"/>
    <w:rsid w:val="007A7323"/>
    <w:rsid w:val="007A74A3"/>
    <w:rsid w:val="007B0130"/>
    <w:rsid w:val="007B01CA"/>
    <w:rsid w:val="007B033B"/>
    <w:rsid w:val="007B0FB0"/>
    <w:rsid w:val="007B1085"/>
    <w:rsid w:val="007B1490"/>
    <w:rsid w:val="007B151A"/>
    <w:rsid w:val="007B1D68"/>
    <w:rsid w:val="007B2238"/>
    <w:rsid w:val="007B236B"/>
    <w:rsid w:val="007B26CA"/>
    <w:rsid w:val="007B2C41"/>
    <w:rsid w:val="007B3B7F"/>
    <w:rsid w:val="007B487D"/>
    <w:rsid w:val="007B4A00"/>
    <w:rsid w:val="007B4BC8"/>
    <w:rsid w:val="007B518B"/>
    <w:rsid w:val="007B52C0"/>
    <w:rsid w:val="007B548F"/>
    <w:rsid w:val="007B59BB"/>
    <w:rsid w:val="007B67E2"/>
    <w:rsid w:val="007B67F7"/>
    <w:rsid w:val="007B73C6"/>
    <w:rsid w:val="007B776C"/>
    <w:rsid w:val="007B7D06"/>
    <w:rsid w:val="007C025A"/>
    <w:rsid w:val="007C06E8"/>
    <w:rsid w:val="007C075A"/>
    <w:rsid w:val="007C137F"/>
    <w:rsid w:val="007C1416"/>
    <w:rsid w:val="007C1518"/>
    <w:rsid w:val="007C164B"/>
    <w:rsid w:val="007C1C8B"/>
    <w:rsid w:val="007C1DFF"/>
    <w:rsid w:val="007C215D"/>
    <w:rsid w:val="007C2765"/>
    <w:rsid w:val="007C2A31"/>
    <w:rsid w:val="007C381A"/>
    <w:rsid w:val="007C389B"/>
    <w:rsid w:val="007C3C43"/>
    <w:rsid w:val="007C3CEB"/>
    <w:rsid w:val="007C3CEC"/>
    <w:rsid w:val="007C3FDE"/>
    <w:rsid w:val="007C477B"/>
    <w:rsid w:val="007C53D6"/>
    <w:rsid w:val="007C53EA"/>
    <w:rsid w:val="007C58B7"/>
    <w:rsid w:val="007C658D"/>
    <w:rsid w:val="007C6E24"/>
    <w:rsid w:val="007C7197"/>
    <w:rsid w:val="007C77DD"/>
    <w:rsid w:val="007C7852"/>
    <w:rsid w:val="007C7F70"/>
    <w:rsid w:val="007D0043"/>
    <w:rsid w:val="007D0C45"/>
    <w:rsid w:val="007D0E69"/>
    <w:rsid w:val="007D0F39"/>
    <w:rsid w:val="007D10CA"/>
    <w:rsid w:val="007D1422"/>
    <w:rsid w:val="007D1528"/>
    <w:rsid w:val="007D1CDE"/>
    <w:rsid w:val="007D26B8"/>
    <w:rsid w:val="007D2A17"/>
    <w:rsid w:val="007D2B29"/>
    <w:rsid w:val="007D340F"/>
    <w:rsid w:val="007D39AF"/>
    <w:rsid w:val="007D3AF7"/>
    <w:rsid w:val="007D3B69"/>
    <w:rsid w:val="007D3F63"/>
    <w:rsid w:val="007D449A"/>
    <w:rsid w:val="007D44F0"/>
    <w:rsid w:val="007D4616"/>
    <w:rsid w:val="007D6031"/>
    <w:rsid w:val="007D65FC"/>
    <w:rsid w:val="007D669B"/>
    <w:rsid w:val="007D6938"/>
    <w:rsid w:val="007D6B25"/>
    <w:rsid w:val="007D6B94"/>
    <w:rsid w:val="007D6D52"/>
    <w:rsid w:val="007D6E13"/>
    <w:rsid w:val="007D70CF"/>
    <w:rsid w:val="007D776E"/>
    <w:rsid w:val="007E0590"/>
    <w:rsid w:val="007E096F"/>
    <w:rsid w:val="007E0E03"/>
    <w:rsid w:val="007E183D"/>
    <w:rsid w:val="007E1873"/>
    <w:rsid w:val="007E20CA"/>
    <w:rsid w:val="007E2920"/>
    <w:rsid w:val="007E2C85"/>
    <w:rsid w:val="007E3327"/>
    <w:rsid w:val="007E3AC8"/>
    <w:rsid w:val="007E3C3B"/>
    <w:rsid w:val="007E3E13"/>
    <w:rsid w:val="007E3E60"/>
    <w:rsid w:val="007E3EE4"/>
    <w:rsid w:val="007E46A1"/>
    <w:rsid w:val="007E4769"/>
    <w:rsid w:val="007E4A1B"/>
    <w:rsid w:val="007E4E19"/>
    <w:rsid w:val="007E4EB5"/>
    <w:rsid w:val="007E4EBB"/>
    <w:rsid w:val="007E5399"/>
    <w:rsid w:val="007E5461"/>
    <w:rsid w:val="007E59F6"/>
    <w:rsid w:val="007E5A25"/>
    <w:rsid w:val="007E5AB9"/>
    <w:rsid w:val="007E5D15"/>
    <w:rsid w:val="007E5D2E"/>
    <w:rsid w:val="007E621B"/>
    <w:rsid w:val="007E6531"/>
    <w:rsid w:val="007E6FB2"/>
    <w:rsid w:val="007E750A"/>
    <w:rsid w:val="007E752F"/>
    <w:rsid w:val="007E7617"/>
    <w:rsid w:val="007E7716"/>
    <w:rsid w:val="007E7968"/>
    <w:rsid w:val="007F0320"/>
    <w:rsid w:val="007F034F"/>
    <w:rsid w:val="007F054A"/>
    <w:rsid w:val="007F0B26"/>
    <w:rsid w:val="007F159C"/>
    <w:rsid w:val="007F17C0"/>
    <w:rsid w:val="007F1A61"/>
    <w:rsid w:val="007F28B2"/>
    <w:rsid w:val="007F40DE"/>
    <w:rsid w:val="007F48DF"/>
    <w:rsid w:val="007F4947"/>
    <w:rsid w:val="007F4EEC"/>
    <w:rsid w:val="007F520D"/>
    <w:rsid w:val="007F54FF"/>
    <w:rsid w:val="007F581F"/>
    <w:rsid w:val="007F5D45"/>
    <w:rsid w:val="007F6957"/>
    <w:rsid w:val="007F6B4C"/>
    <w:rsid w:val="007F6E06"/>
    <w:rsid w:val="007F6F9D"/>
    <w:rsid w:val="007F71AE"/>
    <w:rsid w:val="007F7300"/>
    <w:rsid w:val="00800124"/>
    <w:rsid w:val="008004F2"/>
    <w:rsid w:val="00800AB7"/>
    <w:rsid w:val="00802529"/>
    <w:rsid w:val="00802B97"/>
    <w:rsid w:val="00802E55"/>
    <w:rsid w:val="0080359B"/>
    <w:rsid w:val="008035E0"/>
    <w:rsid w:val="00803952"/>
    <w:rsid w:val="008041E6"/>
    <w:rsid w:val="008047C0"/>
    <w:rsid w:val="00804CAC"/>
    <w:rsid w:val="00805594"/>
    <w:rsid w:val="0080612D"/>
    <w:rsid w:val="00807332"/>
    <w:rsid w:val="008076C6"/>
    <w:rsid w:val="008079B6"/>
    <w:rsid w:val="00810D1F"/>
    <w:rsid w:val="00810D81"/>
    <w:rsid w:val="00810EA6"/>
    <w:rsid w:val="0081109A"/>
    <w:rsid w:val="008110B1"/>
    <w:rsid w:val="00811202"/>
    <w:rsid w:val="00811773"/>
    <w:rsid w:val="008118D0"/>
    <w:rsid w:val="00811953"/>
    <w:rsid w:val="0081264F"/>
    <w:rsid w:val="00812D2B"/>
    <w:rsid w:val="0081314E"/>
    <w:rsid w:val="008144BF"/>
    <w:rsid w:val="00814BF6"/>
    <w:rsid w:val="008151A6"/>
    <w:rsid w:val="008153F7"/>
    <w:rsid w:val="008167E4"/>
    <w:rsid w:val="00816A13"/>
    <w:rsid w:val="00816FA9"/>
    <w:rsid w:val="0081700B"/>
    <w:rsid w:val="00817416"/>
    <w:rsid w:val="00817704"/>
    <w:rsid w:val="00817BF8"/>
    <w:rsid w:val="00820A6F"/>
    <w:rsid w:val="00820C00"/>
    <w:rsid w:val="008210AA"/>
    <w:rsid w:val="008214A1"/>
    <w:rsid w:val="008214FF"/>
    <w:rsid w:val="00821B89"/>
    <w:rsid w:val="00822655"/>
    <w:rsid w:val="00822C87"/>
    <w:rsid w:val="00822EEF"/>
    <w:rsid w:val="00823399"/>
    <w:rsid w:val="0082340C"/>
    <w:rsid w:val="008236A6"/>
    <w:rsid w:val="00823951"/>
    <w:rsid w:val="00823A32"/>
    <w:rsid w:val="008240F7"/>
    <w:rsid w:val="00824213"/>
    <w:rsid w:val="00824284"/>
    <w:rsid w:val="00824508"/>
    <w:rsid w:val="0082488D"/>
    <w:rsid w:val="00824A3A"/>
    <w:rsid w:val="00824AA1"/>
    <w:rsid w:val="00824B26"/>
    <w:rsid w:val="008254C1"/>
    <w:rsid w:val="00825AAC"/>
    <w:rsid w:val="00825B2D"/>
    <w:rsid w:val="0082669D"/>
    <w:rsid w:val="0082752A"/>
    <w:rsid w:val="0083024B"/>
    <w:rsid w:val="0083030F"/>
    <w:rsid w:val="0083033D"/>
    <w:rsid w:val="0083088C"/>
    <w:rsid w:val="00830986"/>
    <w:rsid w:val="00830A2F"/>
    <w:rsid w:val="00830D5D"/>
    <w:rsid w:val="00830E68"/>
    <w:rsid w:val="0083143B"/>
    <w:rsid w:val="00831C6C"/>
    <w:rsid w:val="008327BC"/>
    <w:rsid w:val="00832898"/>
    <w:rsid w:val="00832B2D"/>
    <w:rsid w:val="0083303E"/>
    <w:rsid w:val="008332A8"/>
    <w:rsid w:val="00833B08"/>
    <w:rsid w:val="008341F1"/>
    <w:rsid w:val="00834752"/>
    <w:rsid w:val="008349A9"/>
    <w:rsid w:val="00835085"/>
    <w:rsid w:val="008351B5"/>
    <w:rsid w:val="0083535F"/>
    <w:rsid w:val="00835468"/>
    <w:rsid w:val="00835655"/>
    <w:rsid w:val="00835C59"/>
    <w:rsid w:val="00836109"/>
    <w:rsid w:val="008379D5"/>
    <w:rsid w:val="00840014"/>
    <w:rsid w:val="0084003C"/>
    <w:rsid w:val="008403A8"/>
    <w:rsid w:val="00840ACA"/>
    <w:rsid w:val="00840FE7"/>
    <w:rsid w:val="0084131B"/>
    <w:rsid w:val="00841EE5"/>
    <w:rsid w:val="00842209"/>
    <w:rsid w:val="008423C3"/>
    <w:rsid w:val="00842757"/>
    <w:rsid w:val="00842830"/>
    <w:rsid w:val="00842A05"/>
    <w:rsid w:val="00842B27"/>
    <w:rsid w:val="00842C9B"/>
    <w:rsid w:val="0084321C"/>
    <w:rsid w:val="00843588"/>
    <w:rsid w:val="008442BC"/>
    <w:rsid w:val="008445BE"/>
    <w:rsid w:val="00844FD9"/>
    <w:rsid w:val="00845623"/>
    <w:rsid w:val="008459AC"/>
    <w:rsid w:val="00845A32"/>
    <w:rsid w:val="00845EE8"/>
    <w:rsid w:val="00846287"/>
    <w:rsid w:val="008467D1"/>
    <w:rsid w:val="008468B5"/>
    <w:rsid w:val="008468C5"/>
    <w:rsid w:val="00847249"/>
    <w:rsid w:val="00847371"/>
    <w:rsid w:val="008478C8"/>
    <w:rsid w:val="0084978B"/>
    <w:rsid w:val="008508C0"/>
    <w:rsid w:val="00850FFB"/>
    <w:rsid w:val="008514E7"/>
    <w:rsid w:val="00851611"/>
    <w:rsid w:val="00851789"/>
    <w:rsid w:val="00851864"/>
    <w:rsid w:val="00852485"/>
    <w:rsid w:val="00852A63"/>
    <w:rsid w:val="00852B2B"/>
    <w:rsid w:val="00852BDE"/>
    <w:rsid w:val="0085307A"/>
    <w:rsid w:val="0085334C"/>
    <w:rsid w:val="0085419B"/>
    <w:rsid w:val="00854992"/>
    <w:rsid w:val="00854C41"/>
    <w:rsid w:val="00854CE1"/>
    <w:rsid w:val="008552C7"/>
    <w:rsid w:val="008554F7"/>
    <w:rsid w:val="00856045"/>
    <w:rsid w:val="0085607D"/>
    <w:rsid w:val="0085611A"/>
    <w:rsid w:val="008564BD"/>
    <w:rsid w:val="0085666E"/>
    <w:rsid w:val="00856BDE"/>
    <w:rsid w:val="008578DE"/>
    <w:rsid w:val="00857972"/>
    <w:rsid w:val="00860174"/>
    <w:rsid w:val="008604E9"/>
    <w:rsid w:val="008606F3"/>
    <w:rsid w:val="00860D65"/>
    <w:rsid w:val="008616F9"/>
    <w:rsid w:val="008619EE"/>
    <w:rsid w:val="00861DD0"/>
    <w:rsid w:val="00861F8F"/>
    <w:rsid w:val="00861FC2"/>
    <w:rsid w:val="00862DB2"/>
    <w:rsid w:val="008640EA"/>
    <w:rsid w:val="00864293"/>
    <w:rsid w:val="008648EE"/>
    <w:rsid w:val="00864FB2"/>
    <w:rsid w:val="00865338"/>
    <w:rsid w:val="0086618C"/>
    <w:rsid w:val="00866560"/>
    <w:rsid w:val="008667D9"/>
    <w:rsid w:val="008672CF"/>
    <w:rsid w:val="0086730A"/>
    <w:rsid w:val="00867313"/>
    <w:rsid w:val="00867543"/>
    <w:rsid w:val="0086767B"/>
    <w:rsid w:val="0086786C"/>
    <w:rsid w:val="00867C7F"/>
    <w:rsid w:val="00867DDD"/>
    <w:rsid w:val="00870339"/>
    <w:rsid w:val="0087065C"/>
    <w:rsid w:val="00870703"/>
    <w:rsid w:val="00870AC1"/>
    <w:rsid w:val="00870DC7"/>
    <w:rsid w:val="00871250"/>
    <w:rsid w:val="0087129A"/>
    <w:rsid w:val="00871500"/>
    <w:rsid w:val="00871800"/>
    <w:rsid w:val="00871A45"/>
    <w:rsid w:val="00871AA7"/>
    <w:rsid w:val="008723EE"/>
    <w:rsid w:val="0087248E"/>
    <w:rsid w:val="0087254B"/>
    <w:rsid w:val="008733D9"/>
    <w:rsid w:val="00873C3E"/>
    <w:rsid w:val="00874CCF"/>
    <w:rsid w:val="00874D90"/>
    <w:rsid w:val="00875717"/>
    <w:rsid w:val="00875B59"/>
    <w:rsid w:val="008764B9"/>
    <w:rsid w:val="0087693C"/>
    <w:rsid w:val="00877775"/>
    <w:rsid w:val="00877D69"/>
    <w:rsid w:val="00877E96"/>
    <w:rsid w:val="0088049D"/>
    <w:rsid w:val="00880E91"/>
    <w:rsid w:val="00881288"/>
    <w:rsid w:val="008812B4"/>
    <w:rsid w:val="0088130B"/>
    <w:rsid w:val="008813B8"/>
    <w:rsid w:val="00881402"/>
    <w:rsid w:val="008820BA"/>
    <w:rsid w:val="00882305"/>
    <w:rsid w:val="0088275C"/>
    <w:rsid w:val="00882C43"/>
    <w:rsid w:val="0088310A"/>
    <w:rsid w:val="00883356"/>
    <w:rsid w:val="00883957"/>
    <w:rsid w:val="008839B7"/>
    <w:rsid w:val="00883A6B"/>
    <w:rsid w:val="00883C70"/>
    <w:rsid w:val="00883D1A"/>
    <w:rsid w:val="00883F1A"/>
    <w:rsid w:val="008842CC"/>
    <w:rsid w:val="008843F3"/>
    <w:rsid w:val="00884AEB"/>
    <w:rsid w:val="00886069"/>
    <w:rsid w:val="0088646C"/>
    <w:rsid w:val="008865CA"/>
    <w:rsid w:val="00886705"/>
    <w:rsid w:val="008867A4"/>
    <w:rsid w:val="00886F57"/>
    <w:rsid w:val="008870AE"/>
    <w:rsid w:val="00887231"/>
    <w:rsid w:val="00887918"/>
    <w:rsid w:val="00887962"/>
    <w:rsid w:val="008901F1"/>
    <w:rsid w:val="008907E6"/>
    <w:rsid w:val="008914B7"/>
    <w:rsid w:val="008915F8"/>
    <w:rsid w:val="00891A3A"/>
    <w:rsid w:val="00891CA2"/>
    <w:rsid w:val="00892450"/>
    <w:rsid w:val="008924F4"/>
    <w:rsid w:val="00892777"/>
    <w:rsid w:val="008927E8"/>
    <w:rsid w:val="00892C45"/>
    <w:rsid w:val="00892DC8"/>
    <w:rsid w:val="00892E32"/>
    <w:rsid w:val="00892FB8"/>
    <w:rsid w:val="00893064"/>
    <w:rsid w:val="008935E3"/>
    <w:rsid w:val="0089385A"/>
    <w:rsid w:val="00893A81"/>
    <w:rsid w:val="00893D04"/>
    <w:rsid w:val="008940DA"/>
    <w:rsid w:val="00894878"/>
    <w:rsid w:val="008949A8"/>
    <w:rsid w:val="0089517D"/>
    <w:rsid w:val="008955D8"/>
    <w:rsid w:val="00895962"/>
    <w:rsid w:val="00895C1B"/>
    <w:rsid w:val="00895D1B"/>
    <w:rsid w:val="00895F76"/>
    <w:rsid w:val="008960C8"/>
    <w:rsid w:val="0089645D"/>
    <w:rsid w:val="00896D1D"/>
    <w:rsid w:val="008970BD"/>
    <w:rsid w:val="008971BD"/>
    <w:rsid w:val="00897258"/>
    <w:rsid w:val="00897613"/>
    <w:rsid w:val="008976E8"/>
    <w:rsid w:val="008A04B5"/>
    <w:rsid w:val="008A05FF"/>
    <w:rsid w:val="008A07A0"/>
    <w:rsid w:val="008A248E"/>
    <w:rsid w:val="008A2AF6"/>
    <w:rsid w:val="008A2FC2"/>
    <w:rsid w:val="008A3882"/>
    <w:rsid w:val="008A3D6E"/>
    <w:rsid w:val="008A3F82"/>
    <w:rsid w:val="008A4477"/>
    <w:rsid w:val="008A4835"/>
    <w:rsid w:val="008A4D93"/>
    <w:rsid w:val="008A4E1F"/>
    <w:rsid w:val="008A5520"/>
    <w:rsid w:val="008A5920"/>
    <w:rsid w:val="008A5CF2"/>
    <w:rsid w:val="008A67E7"/>
    <w:rsid w:val="008A69B8"/>
    <w:rsid w:val="008A6A93"/>
    <w:rsid w:val="008A6EA3"/>
    <w:rsid w:val="008A7000"/>
    <w:rsid w:val="008A7187"/>
    <w:rsid w:val="008A7D93"/>
    <w:rsid w:val="008B0EF8"/>
    <w:rsid w:val="008B1B53"/>
    <w:rsid w:val="008B1FA7"/>
    <w:rsid w:val="008B23EE"/>
    <w:rsid w:val="008B2632"/>
    <w:rsid w:val="008B2AA8"/>
    <w:rsid w:val="008B2F6D"/>
    <w:rsid w:val="008B39CD"/>
    <w:rsid w:val="008B4374"/>
    <w:rsid w:val="008B438E"/>
    <w:rsid w:val="008B4605"/>
    <w:rsid w:val="008B466B"/>
    <w:rsid w:val="008B47B3"/>
    <w:rsid w:val="008B4A40"/>
    <w:rsid w:val="008B4AD8"/>
    <w:rsid w:val="008B4BC6"/>
    <w:rsid w:val="008B4CFE"/>
    <w:rsid w:val="008B4DFD"/>
    <w:rsid w:val="008B4EE4"/>
    <w:rsid w:val="008B5259"/>
    <w:rsid w:val="008B59B5"/>
    <w:rsid w:val="008B5AEC"/>
    <w:rsid w:val="008B5AEF"/>
    <w:rsid w:val="008B666F"/>
    <w:rsid w:val="008B6932"/>
    <w:rsid w:val="008B725B"/>
    <w:rsid w:val="008B740F"/>
    <w:rsid w:val="008B7592"/>
    <w:rsid w:val="008B75FC"/>
    <w:rsid w:val="008B7A33"/>
    <w:rsid w:val="008C02D6"/>
    <w:rsid w:val="008C0456"/>
    <w:rsid w:val="008C09D1"/>
    <w:rsid w:val="008C0D36"/>
    <w:rsid w:val="008C0DE2"/>
    <w:rsid w:val="008C0F5A"/>
    <w:rsid w:val="008C108F"/>
    <w:rsid w:val="008C1221"/>
    <w:rsid w:val="008C16D3"/>
    <w:rsid w:val="008C17B3"/>
    <w:rsid w:val="008C2881"/>
    <w:rsid w:val="008C2E71"/>
    <w:rsid w:val="008C36A7"/>
    <w:rsid w:val="008C38C0"/>
    <w:rsid w:val="008C3CBB"/>
    <w:rsid w:val="008C421B"/>
    <w:rsid w:val="008C4B2E"/>
    <w:rsid w:val="008C4CCF"/>
    <w:rsid w:val="008C51A9"/>
    <w:rsid w:val="008C5B39"/>
    <w:rsid w:val="008C6815"/>
    <w:rsid w:val="008C681D"/>
    <w:rsid w:val="008C70F3"/>
    <w:rsid w:val="008C766D"/>
    <w:rsid w:val="008C7FA5"/>
    <w:rsid w:val="008D0899"/>
    <w:rsid w:val="008D08B9"/>
    <w:rsid w:val="008D08E9"/>
    <w:rsid w:val="008D0E0B"/>
    <w:rsid w:val="008D16C5"/>
    <w:rsid w:val="008D1CB8"/>
    <w:rsid w:val="008D20C2"/>
    <w:rsid w:val="008D21B9"/>
    <w:rsid w:val="008D220F"/>
    <w:rsid w:val="008D22B3"/>
    <w:rsid w:val="008D25CF"/>
    <w:rsid w:val="008D2832"/>
    <w:rsid w:val="008D2C5C"/>
    <w:rsid w:val="008D2F64"/>
    <w:rsid w:val="008D38FB"/>
    <w:rsid w:val="008D3972"/>
    <w:rsid w:val="008D3D45"/>
    <w:rsid w:val="008D3DE8"/>
    <w:rsid w:val="008D3E2E"/>
    <w:rsid w:val="008D442C"/>
    <w:rsid w:val="008D449A"/>
    <w:rsid w:val="008D4E93"/>
    <w:rsid w:val="008D512E"/>
    <w:rsid w:val="008D5172"/>
    <w:rsid w:val="008D52D8"/>
    <w:rsid w:val="008D58BE"/>
    <w:rsid w:val="008D5B6A"/>
    <w:rsid w:val="008D5E0C"/>
    <w:rsid w:val="008D61EE"/>
    <w:rsid w:val="008D664D"/>
    <w:rsid w:val="008D6F17"/>
    <w:rsid w:val="008D7344"/>
    <w:rsid w:val="008D7368"/>
    <w:rsid w:val="008D79C8"/>
    <w:rsid w:val="008D7CF6"/>
    <w:rsid w:val="008D7E32"/>
    <w:rsid w:val="008E088D"/>
    <w:rsid w:val="008E08A6"/>
    <w:rsid w:val="008E0A39"/>
    <w:rsid w:val="008E0B67"/>
    <w:rsid w:val="008E0C8D"/>
    <w:rsid w:val="008E13A9"/>
    <w:rsid w:val="008E1764"/>
    <w:rsid w:val="008E1C3C"/>
    <w:rsid w:val="008E1E22"/>
    <w:rsid w:val="008E2421"/>
    <w:rsid w:val="008E3672"/>
    <w:rsid w:val="008E3765"/>
    <w:rsid w:val="008E3B3D"/>
    <w:rsid w:val="008E40B7"/>
    <w:rsid w:val="008E4631"/>
    <w:rsid w:val="008E4E37"/>
    <w:rsid w:val="008E512A"/>
    <w:rsid w:val="008E5500"/>
    <w:rsid w:val="008E59CF"/>
    <w:rsid w:val="008E671C"/>
    <w:rsid w:val="008E7138"/>
    <w:rsid w:val="008E718F"/>
    <w:rsid w:val="008E71AF"/>
    <w:rsid w:val="008F011A"/>
    <w:rsid w:val="008F0719"/>
    <w:rsid w:val="008F07C2"/>
    <w:rsid w:val="008F0B23"/>
    <w:rsid w:val="008F0FFA"/>
    <w:rsid w:val="008F1012"/>
    <w:rsid w:val="008F108A"/>
    <w:rsid w:val="008F11EE"/>
    <w:rsid w:val="008F1352"/>
    <w:rsid w:val="008F140A"/>
    <w:rsid w:val="008F19C4"/>
    <w:rsid w:val="008F20B9"/>
    <w:rsid w:val="008F251C"/>
    <w:rsid w:val="008F2897"/>
    <w:rsid w:val="008F2B62"/>
    <w:rsid w:val="008F2E8D"/>
    <w:rsid w:val="008F42E8"/>
    <w:rsid w:val="008F4325"/>
    <w:rsid w:val="008F48A8"/>
    <w:rsid w:val="008F4B36"/>
    <w:rsid w:val="008F50DF"/>
    <w:rsid w:val="008F54A4"/>
    <w:rsid w:val="008F556B"/>
    <w:rsid w:val="008F59CE"/>
    <w:rsid w:val="008F5B2A"/>
    <w:rsid w:val="008F5C2B"/>
    <w:rsid w:val="008F5F78"/>
    <w:rsid w:val="008F6094"/>
    <w:rsid w:val="008F60D6"/>
    <w:rsid w:val="008F6177"/>
    <w:rsid w:val="008F69A2"/>
    <w:rsid w:val="008F6B52"/>
    <w:rsid w:val="008F6EC6"/>
    <w:rsid w:val="008F76EE"/>
    <w:rsid w:val="008F7D17"/>
    <w:rsid w:val="008F7D53"/>
    <w:rsid w:val="008F7FE8"/>
    <w:rsid w:val="00900962"/>
    <w:rsid w:val="00900A14"/>
    <w:rsid w:val="00901C10"/>
    <w:rsid w:val="00901F33"/>
    <w:rsid w:val="0090248F"/>
    <w:rsid w:val="00902560"/>
    <w:rsid w:val="00902C11"/>
    <w:rsid w:val="00902E92"/>
    <w:rsid w:val="009046CA"/>
    <w:rsid w:val="00904839"/>
    <w:rsid w:val="00904E34"/>
    <w:rsid w:val="00905C24"/>
    <w:rsid w:val="00905CBF"/>
    <w:rsid w:val="0090602C"/>
    <w:rsid w:val="00906584"/>
    <w:rsid w:val="00906687"/>
    <w:rsid w:val="00906C84"/>
    <w:rsid w:val="00907486"/>
    <w:rsid w:val="009075C1"/>
    <w:rsid w:val="00907991"/>
    <w:rsid w:val="00907AB5"/>
    <w:rsid w:val="00907BC8"/>
    <w:rsid w:val="0091013F"/>
    <w:rsid w:val="00910234"/>
    <w:rsid w:val="00910604"/>
    <w:rsid w:val="00910E44"/>
    <w:rsid w:val="0091143C"/>
    <w:rsid w:val="00911A14"/>
    <w:rsid w:val="00911AFC"/>
    <w:rsid w:val="00911D07"/>
    <w:rsid w:val="00912D65"/>
    <w:rsid w:val="0091341B"/>
    <w:rsid w:val="009139A6"/>
    <w:rsid w:val="009141B4"/>
    <w:rsid w:val="00914BF5"/>
    <w:rsid w:val="00914D10"/>
    <w:rsid w:val="00914D53"/>
    <w:rsid w:val="00914DB4"/>
    <w:rsid w:val="009150F2"/>
    <w:rsid w:val="00915970"/>
    <w:rsid w:val="00915BA3"/>
    <w:rsid w:val="00916127"/>
    <w:rsid w:val="0091618D"/>
    <w:rsid w:val="009161DE"/>
    <w:rsid w:val="009163C2"/>
    <w:rsid w:val="00916574"/>
    <w:rsid w:val="00917105"/>
    <w:rsid w:val="00917562"/>
    <w:rsid w:val="00917AEF"/>
    <w:rsid w:val="00917EB0"/>
    <w:rsid w:val="00917F62"/>
    <w:rsid w:val="009204C5"/>
    <w:rsid w:val="009206BA"/>
    <w:rsid w:val="009208DF"/>
    <w:rsid w:val="00921676"/>
    <w:rsid w:val="009223EB"/>
    <w:rsid w:val="0092241F"/>
    <w:rsid w:val="00922652"/>
    <w:rsid w:val="009226E5"/>
    <w:rsid w:val="00922714"/>
    <w:rsid w:val="0092314C"/>
    <w:rsid w:val="009231AF"/>
    <w:rsid w:val="0092360A"/>
    <w:rsid w:val="00923653"/>
    <w:rsid w:val="009236F1"/>
    <w:rsid w:val="00924310"/>
    <w:rsid w:val="009246B2"/>
    <w:rsid w:val="0092470F"/>
    <w:rsid w:val="00924C69"/>
    <w:rsid w:val="00924F49"/>
    <w:rsid w:val="00925360"/>
    <w:rsid w:val="0092576F"/>
    <w:rsid w:val="0092586B"/>
    <w:rsid w:val="00925A2C"/>
    <w:rsid w:val="00925AEF"/>
    <w:rsid w:val="00925B8B"/>
    <w:rsid w:val="009267A7"/>
    <w:rsid w:val="00926B1B"/>
    <w:rsid w:val="00926DAA"/>
    <w:rsid w:val="00926EB1"/>
    <w:rsid w:val="00927043"/>
    <w:rsid w:val="009271BB"/>
    <w:rsid w:val="0092726A"/>
    <w:rsid w:val="0092738E"/>
    <w:rsid w:val="00927586"/>
    <w:rsid w:val="00927E97"/>
    <w:rsid w:val="00927FED"/>
    <w:rsid w:val="00930340"/>
    <w:rsid w:val="00930A75"/>
    <w:rsid w:val="00930C39"/>
    <w:rsid w:val="00930E9B"/>
    <w:rsid w:val="00930EB9"/>
    <w:rsid w:val="00930FE2"/>
    <w:rsid w:val="0093116A"/>
    <w:rsid w:val="00931415"/>
    <w:rsid w:val="00931BA3"/>
    <w:rsid w:val="009322D2"/>
    <w:rsid w:val="00932939"/>
    <w:rsid w:val="00932D5D"/>
    <w:rsid w:val="00932F8F"/>
    <w:rsid w:val="009336EE"/>
    <w:rsid w:val="00933976"/>
    <w:rsid w:val="009339D2"/>
    <w:rsid w:val="00933C29"/>
    <w:rsid w:val="00933EF4"/>
    <w:rsid w:val="00933EFD"/>
    <w:rsid w:val="00933FF1"/>
    <w:rsid w:val="00934057"/>
    <w:rsid w:val="00934594"/>
    <w:rsid w:val="00934CD8"/>
    <w:rsid w:val="00936BE1"/>
    <w:rsid w:val="00936C49"/>
    <w:rsid w:val="00937232"/>
    <w:rsid w:val="00937288"/>
    <w:rsid w:val="009375A5"/>
    <w:rsid w:val="00940313"/>
    <w:rsid w:val="00941AFC"/>
    <w:rsid w:val="0094235A"/>
    <w:rsid w:val="00942747"/>
    <w:rsid w:val="00943013"/>
    <w:rsid w:val="00943458"/>
    <w:rsid w:val="009438FE"/>
    <w:rsid w:val="0094423F"/>
    <w:rsid w:val="009443D3"/>
    <w:rsid w:val="00944DE3"/>
    <w:rsid w:val="00945169"/>
    <w:rsid w:val="009453DC"/>
    <w:rsid w:val="009456B5"/>
    <w:rsid w:val="00945C44"/>
    <w:rsid w:val="00945DE6"/>
    <w:rsid w:val="009461F7"/>
    <w:rsid w:val="00946E95"/>
    <w:rsid w:val="00946F0D"/>
    <w:rsid w:val="00947253"/>
    <w:rsid w:val="00947510"/>
    <w:rsid w:val="00950511"/>
    <w:rsid w:val="00950731"/>
    <w:rsid w:val="009508E8"/>
    <w:rsid w:val="00950D84"/>
    <w:rsid w:val="00951074"/>
    <w:rsid w:val="00951C42"/>
    <w:rsid w:val="00951C86"/>
    <w:rsid w:val="00952004"/>
    <w:rsid w:val="009524B6"/>
    <w:rsid w:val="00952C3D"/>
    <w:rsid w:val="00953AAB"/>
    <w:rsid w:val="00953CF7"/>
    <w:rsid w:val="00953EC6"/>
    <w:rsid w:val="00953FD8"/>
    <w:rsid w:val="0095442E"/>
    <w:rsid w:val="009547EB"/>
    <w:rsid w:val="00954F13"/>
    <w:rsid w:val="009563A7"/>
    <w:rsid w:val="00956442"/>
    <w:rsid w:val="00956821"/>
    <w:rsid w:val="009568CA"/>
    <w:rsid w:val="00956B63"/>
    <w:rsid w:val="00956C3B"/>
    <w:rsid w:val="00956D4D"/>
    <w:rsid w:val="009575C6"/>
    <w:rsid w:val="00957A8B"/>
    <w:rsid w:val="00960372"/>
    <w:rsid w:val="009604D3"/>
    <w:rsid w:val="00960824"/>
    <w:rsid w:val="00960EF2"/>
    <w:rsid w:val="00960F76"/>
    <w:rsid w:val="00960FDD"/>
    <w:rsid w:val="009610F7"/>
    <w:rsid w:val="009611BF"/>
    <w:rsid w:val="0096164F"/>
    <w:rsid w:val="00961AA0"/>
    <w:rsid w:val="00961C4D"/>
    <w:rsid w:val="00961FD2"/>
    <w:rsid w:val="00962535"/>
    <w:rsid w:val="00962BBD"/>
    <w:rsid w:val="009634C1"/>
    <w:rsid w:val="0096383B"/>
    <w:rsid w:val="00963A80"/>
    <w:rsid w:val="00963BE8"/>
    <w:rsid w:val="0096417C"/>
    <w:rsid w:val="009649D6"/>
    <w:rsid w:val="00965117"/>
    <w:rsid w:val="00965753"/>
    <w:rsid w:val="00965C13"/>
    <w:rsid w:val="00965C50"/>
    <w:rsid w:val="00966439"/>
    <w:rsid w:val="00966BCC"/>
    <w:rsid w:val="00966C33"/>
    <w:rsid w:val="009673AC"/>
    <w:rsid w:val="00967735"/>
    <w:rsid w:val="009677BF"/>
    <w:rsid w:val="00967F7C"/>
    <w:rsid w:val="00970070"/>
    <w:rsid w:val="0097023B"/>
    <w:rsid w:val="00971171"/>
    <w:rsid w:val="00971401"/>
    <w:rsid w:val="00972235"/>
    <w:rsid w:val="00973367"/>
    <w:rsid w:val="00973853"/>
    <w:rsid w:val="00973C2B"/>
    <w:rsid w:val="0097411B"/>
    <w:rsid w:val="009741C9"/>
    <w:rsid w:val="009743B7"/>
    <w:rsid w:val="0097477A"/>
    <w:rsid w:val="00974999"/>
    <w:rsid w:val="00974BDD"/>
    <w:rsid w:val="00975455"/>
    <w:rsid w:val="00975B22"/>
    <w:rsid w:val="00975F18"/>
    <w:rsid w:val="0097754F"/>
    <w:rsid w:val="00977640"/>
    <w:rsid w:val="00977A4D"/>
    <w:rsid w:val="00977C52"/>
    <w:rsid w:val="0098029C"/>
    <w:rsid w:val="00980688"/>
    <w:rsid w:val="009806DA"/>
    <w:rsid w:val="00980965"/>
    <w:rsid w:val="00980C3F"/>
    <w:rsid w:val="00980EA2"/>
    <w:rsid w:val="00981011"/>
    <w:rsid w:val="00981454"/>
    <w:rsid w:val="00981CC0"/>
    <w:rsid w:val="00982186"/>
    <w:rsid w:val="00982B7B"/>
    <w:rsid w:val="00982E6E"/>
    <w:rsid w:val="0098314C"/>
    <w:rsid w:val="00983212"/>
    <w:rsid w:val="00983271"/>
    <w:rsid w:val="0098392A"/>
    <w:rsid w:val="00983A89"/>
    <w:rsid w:val="00984583"/>
    <w:rsid w:val="009846B4"/>
    <w:rsid w:val="00984D2D"/>
    <w:rsid w:val="0098543B"/>
    <w:rsid w:val="00985541"/>
    <w:rsid w:val="00985777"/>
    <w:rsid w:val="00985915"/>
    <w:rsid w:val="00985B64"/>
    <w:rsid w:val="009872F5"/>
    <w:rsid w:val="00987362"/>
    <w:rsid w:val="009875C1"/>
    <w:rsid w:val="009875E4"/>
    <w:rsid w:val="0098763E"/>
    <w:rsid w:val="009879C9"/>
    <w:rsid w:val="00987B70"/>
    <w:rsid w:val="00987CFA"/>
    <w:rsid w:val="00987F48"/>
    <w:rsid w:val="00990064"/>
    <w:rsid w:val="00990068"/>
    <w:rsid w:val="00990766"/>
    <w:rsid w:val="0099095B"/>
    <w:rsid w:val="00990F13"/>
    <w:rsid w:val="00990FC4"/>
    <w:rsid w:val="00991055"/>
    <w:rsid w:val="00991810"/>
    <w:rsid w:val="00991FB3"/>
    <w:rsid w:val="00992005"/>
    <w:rsid w:val="00992616"/>
    <w:rsid w:val="00992C34"/>
    <w:rsid w:val="00992C3A"/>
    <w:rsid w:val="00992F1B"/>
    <w:rsid w:val="009931C5"/>
    <w:rsid w:val="009933A8"/>
    <w:rsid w:val="009935E1"/>
    <w:rsid w:val="00993D40"/>
    <w:rsid w:val="00993DF3"/>
    <w:rsid w:val="00993F2F"/>
    <w:rsid w:val="00994473"/>
    <w:rsid w:val="00994E4B"/>
    <w:rsid w:val="00994EDE"/>
    <w:rsid w:val="009954B9"/>
    <w:rsid w:val="00995F0B"/>
    <w:rsid w:val="00995F82"/>
    <w:rsid w:val="009964DF"/>
    <w:rsid w:val="009965B0"/>
    <w:rsid w:val="009967CA"/>
    <w:rsid w:val="009968B5"/>
    <w:rsid w:val="00996958"/>
    <w:rsid w:val="00997287"/>
    <w:rsid w:val="009976BF"/>
    <w:rsid w:val="0099785A"/>
    <w:rsid w:val="00997910"/>
    <w:rsid w:val="00997CF3"/>
    <w:rsid w:val="00997F8F"/>
    <w:rsid w:val="009A085A"/>
    <w:rsid w:val="009A092C"/>
    <w:rsid w:val="009A102E"/>
    <w:rsid w:val="009A1721"/>
    <w:rsid w:val="009A1AAD"/>
    <w:rsid w:val="009A1C1A"/>
    <w:rsid w:val="009A1D07"/>
    <w:rsid w:val="009A1D78"/>
    <w:rsid w:val="009A277D"/>
    <w:rsid w:val="009A27A8"/>
    <w:rsid w:val="009A2D93"/>
    <w:rsid w:val="009A2DBC"/>
    <w:rsid w:val="009A30D7"/>
    <w:rsid w:val="009A31BE"/>
    <w:rsid w:val="009A32C2"/>
    <w:rsid w:val="009A32C6"/>
    <w:rsid w:val="009A3C59"/>
    <w:rsid w:val="009A43AC"/>
    <w:rsid w:val="009A45DA"/>
    <w:rsid w:val="009A4983"/>
    <w:rsid w:val="009A5063"/>
    <w:rsid w:val="009A507E"/>
    <w:rsid w:val="009A5187"/>
    <w:rsid w:val="009A53D2"/>
    <w:rsid w:val="009A5446"/>
    <w:rsid w:val="009A5561"/>
    <w:rsid w:val="009A5644"/>
    <w:rsid w:val="009A56DE"/>
    <w:rsid w:val="009A5998"/>
    <w:rsid w:val="009A6457"/>
    <w:rsid w:val="009A66A0"/>
    <w:rsid w:val="009A68FB"/>
    <w:rsid w:val="009A6C96"/>
    <w:rsid w:val="009A759C"/>
    <w:rsid w:val="009A7C8D"/>
    <w:rsid w:val="009B012B"/>
    <w:rsid w:val="009B061B"/>
    <w:rsid w:val="009B10A5"/>
    <w:rsid w:val="009B1AD4"/>
    <w:rsid w:val="009B1F0E"/>
    <w:rsid w:val="009B269F"/>
    <w:rsid w:val="009B2870"/>
    <w:rsid w:val="009B2A2C"/>
    <w:rsid w:val="009B2B1C"/>
    <w:rsid w:val="009B2E06"/>
    <w:rsid w:val="009B383A"/>
    <w:rsid w:val="009B3B6B"/>
    <w:rsid w:val="009B3E1C"/>
    <w:rsid w:val="009B3E2C"/>
    <w:rsid w:val="009B3E74"/>
    <w:rsid w:val="009B4236"/>
    <w:rsid w:val="009B4CF8"/>
    <w:rsid w:val="009B57BB"/>
    <w:rsid w:val="009B5F79"/>
    <w:rsid w:val="009B61CD"/>
    <w:rsid w:val="009B658A"/>
    <w:rsid w:val="009B6740"/>
    <w:rsid w:val="009B6917"/>
    <w:rsid w:val="009B6AD5"/>
    <w:rsid w:val="009B6BFC"/>
    <w:rsid w:val="009B70D4"/>
    <w:rsid w:val="009B714F"/>
    <w:rsid w:val="009C04BF"/>
    <w:rsid w:val="009C060C"/>
    <w:rsid w:val="009C0933"/>
    <w:rsid w:val="009C0A24"/>
    <w:rsid w:val="009C1273"/>
    <w:rsid w:val="009C1B00"/>
    <w:rsid w:val="009C1C5E"/>
    <w:rsid w:val="009C22EB"/>
    <w:rsid w:val="009C236A"/>
    <w:rsid w:val="009C23D6"/>
    <w:rsid w:val="009C2451"/>
    <w:rsid w:val="009C2A07"/>
    <w:rsid w:val="009C2B12"/>
    <w:rsid w:val="009C2BCE"/>
    <w:rsid w:val="009C3340"/>
    <w:rsid w:val="009C334E"/>
    <w:rsid w:val="009C3478"/>
    <w:rsid w:val="009C36B4"/>
    <w:rsid w:val="009C3903"/>
    <w:rsid w:val="009C392B"/>
    <w:rsid w:val="009C3F67"/>
    <w:rsid w:val="009C4072"/>
    <w:rsid w:val="009C4709"/>
    <w:rsid w:val="009C4BBF"/>
    <w:rsid w:val="009C4CD1"/>
    <w:rsid w:val="009C4DEE"/>
    <w:rsid w:val="009C521B"/>
    <w:rsid w:val="009C5746"/>
    <w:rsid w:val="009C6044"/>
    <w:rsid w:val="009C61BA"/>
    <w:rsid w:val="009C69CA"/>
    <w:rsid w:val="009D02C8"/>
    <w:rsid w:val="009D0742"/>
    <w:rsid w:val="009D0A5C"/>
    <w:rsid w:val="009D0C80"/>
    <w:rsid w:val="009D157E"/>
    <w:rsid w:val="009D1967"/>
    <w:rsid w:val="009D1B41"/>
    <w:rsid w:val="009D1D25"/>
    <w:rsid w:val="009D221E"/>
    <w:rsid w:val="009D2368"/>
    <w:rsid w:val="009D24E7"/>
    <w:rsid w:val="009D252A"/>
    <w:rsid w:val="009D2A41"/>
    <w:rsid w:val="009D2CE6"/>
    <w:rsid w:val="009D2DFE"/>
    <w:rsid w:val="009D2F47"/>
    <w:rsid w:val="009D33E6"/>
    <w:rsid w:val="009D3BE8"/>
    <w:rsid w:val="009D3C80"/>
    <w:rsid w:val="009D4424"/>
    <w:rsid w:val="009D4505"/>
    <w:rsid w:val="009D45DA"/>
    <w:rsid w:val="009D4912"/>
    <w:rsid w:val="009D4959"/>
    <w:rsid w:val="009D51F6"/>
    <w:rsid w:val="009D5264"/>
    <w:rsid w:val="009D5373"/>
    <w:rsid w:val="009D55FF"/>
    <w:rsid w:val="009D571B"/>
    <w:rsid w:val="009D5937"/>
    <w:rsid w:val="009D621E"/>
    <w:rsid w:val="009D678A"/>
    <w:rsid w:val="009D6809"/>
    <w:rsid w:val="009D77B6"/>
    <w:rsid w:val="009D7FAB"/>
    <w:rsid w:val="009E00E5"/>
    <w:rsid w:val="009E01B6"/>
    <w:rsid w:val="009E0785"/>
    <w:rsid w:val="009E0E22"/>
    <w:rsid w:val="009E11A7"/>
    <w:rsid w:val="009E1330"/>
    <w:rsid w:val="009E1679"/>
    <w:rsid w:val="009E1867"/>
    <w:rsid w:val="009E1B3A"/>
    <w:rsid w:val="009E2D31"/>
    <w:rsid w:val="009E2DA0"/>
    <w:rsid w:val="009E2E65"/>
    <w:rsid w:val="009E370D"/>
    <w:rsid w:val="009E3996"/>
    <w:rsid w:val="009E3CF8"/>
    <w:rsid w:val="009E43D1"/>
    <w:rsid w:val="009E4461"/>
    <w:rsid w:val="009E45BF"/>
    <w:rsid w:val="009E460D"/>
    <w:rsid w:val="009E4873"/>
    <w:rsid w:val="009E4DA4"/>
    <w:rsid w:val="009E50B2"/>
    <w:rsid w:val="009E50F2"/>
    <w:rsid w:val="009E572E"/>
    <w:rsid w:val="009E5F35"/>
    <w:rsid w:val="009E6638"/>
    <w:rsid w:val="009E6699"/>
    <w:rsid w:val="009E66FF"/>
    <w:rsid w:val="009E6AAA"/>
    <w:rsid w:val="009E6C50"/>
    <w:rsid w:val="009E72B1"/>
    <w:rsid w:val="009E75B3"/>
    <w:rsid w:val="009E7C8F"/>
    <w:rsid w:val="009E7E9E"/>
    <w:rsid w:val="009F096F"/>
    <w:rsid w:val="009F0AFC"/>
    <w:rsid w:val="009F0D9A"/>
    <w:rsid w:val="009F0ED9"/>
    <w:rsid w:val="009F0F55"/>
    <w:rsid w:val="009F1CDA"/>
    <w:rsid w:val="009F21EE"/>
    <w:rsid w:val="009F235A"/>
    <w:rsid w:val="009F2475"/>
    <w:rsid w:val="009F24FF"/>
    <w:rsid w:val="009F28E8"/>
    <w:rsid w:val="009F32D2"/>
    <w:rsid w:val="009F38D7"/>
    <w:rsid w:val="009F3AB6"/>
    <w:rsid w:val="009F3EB6"/>
    <w:rsid w:val="009F41E9"/>
    <w:rsid w:val="009F4B6D"/>
    <w:rsid w:val="009F4E0C"/>
    <w:rsid w:val="009F5027"/>
    <w:rsid w:val="009F524D"/>
    <w:rsid w:val="009F60CA"/>
    <w:rsid w:val="009F69EF"/>
    <w:rsid w:val="009F7174"/>
    <w:rsid w:val="009F76FA"/>
    <w:rsid w:val="009F7953"/>
    <w:rsid w:val="009F79C4"/>
    <w:rsid w:val="009F7CFB"/>
    <w:rsid w:val="00A001D1"/>
    <w:rsid w:val="00A00AB6"/>
    <w:rsid w:val="00A0102B"/>
    <w:rsid w:val="00A0154E"/>
    <w:rsid w:val="00A016C6"/>
    <w:rsid w:val="00A01DDD"/>
    <w:rsid w:val="00A02089"/>
    <w:rsid w:val="00A02AC7"/>
    <w:rsid w:val="00A02B78"/>
    <w:rsid w:val="00A02DA1"/>
    <w:rsid w:val="00A02DDF"/>
    <w:rsid w:val="00A02E36"/>
    <w:rsid w:val="00A03529"/>
    <w:rsid w:val="00A03D72"/>
    <w:rsid w:val="00A03E52"/>
    <w:rsid w:val="00A0432D"/>
    <w:rsid w:val="00A04737"/>
    <w:rsid w:val="00A04810"/>
    <w:rsid w:val="00A048F9"/>
    <w:rsid w:val="00A05073"/>
    <w:rsid w:val="00A051E5"/>
    <w:rsid w:val="00A056F0"/>
    <w:rsid w:val="00A0635D"/>
    <w:rsid w:val="00A0653C"/>
    <w:rsid w:val="00A0682A"/>
    <w:rsid w:val="00A072CF"/>
    <w:rsid w:val="00A074BD"/>
    <w:rsid w:val="00A07612"/>
    <w:rsid w:val="00A0798D"/>
    <w:rsid w:val="00A07E01"/>
    <w:rsid w:val="00A10345"/>
    <w:rsid w:val="00A1082A"/>
    <w:rsid w:val="00A11246"/>
    <w:rsid w:val="00A1136A"/>
    <w:rsid w:val="00A1144D"/>
    <w:rsid w:val="00A118F4"/>
    <w:rsid w:val="00A11970"/>
    <w:rsid w:val="00A11C42"/>
    <w:rsid w:val="00A121C8"/>
    <w:rsid w:val="00A12AFE"/>
    <w:rsid w:val="00A1327A"/>
    <w:rsid w:val="00A13DE4"/>
    <w:rsid w:val="00A1404B"/>
    <w:rsid w:val="00A142C6"/>
    <w:rsid w:val="00A14325"/>
    <w:rsid w:val="00A14796"/>
    <w:rsid w:val="00A14965"/>
    <w:rsid w:val="00A149AE"/>
    <w:rsid w:val="00A14EFD"/>
    <w:rsid w:val="00A14FE8"/>
    <w:rsid w:val="00A1504E"/>
    <w:rsid w:val="00A1525D"/>
    <w:rsid w:val="00A15399"/>
    <w:rsid w:val="00A15E11"/>
    <w:rsid w:val="00A1616B"/>
    <w:rsid w:val="00A16365"/>
    <w:rsid w:val="00A16551"/>
    <w:rsid w:val="00A168D6"/>
    <w:rsid w:val="00A170AC"/>
    <w:rsid w:val="00A17355"/>
    <w:rsid w:val="00A178C1"/>
    <w:rsid w:val="00A209B2"/>
    <w:rsid w:val="00A214E7"/>
    <w:rsid w:val="00A21791"/>
    <w:rsid w:val="00A2181F"/>
    <w:rsid w:val="00A2319A"/>
    <w:rsid w:val="00A2364E"/>
    <w:rsid w:val="00A23708"/>
    <w:rsid w:val="00A237DD"/>
    <w:rsid w:val="00A2386F"/>
    <w:rsid w:val="00A2393B"/>
    <w:rsid w:val="00A23D20"/>
    <w:rsid w:val="00A23EFE"/>
    <w:rsid w:val="00A24306"/>
    <w:rsid w:val="00A24847"/>
    <w:rsid w:val="00A24A16"/>
    <w:rsid w:val="00A24D60"/>
    <w:rsid w:val="00A24F0D"/>
    <w:rsid w:val="00A24F62"/>
    <w:rsid w:val="00A258E5"/>
    <w:rsid w:val="00A25E7B"/>
    <w:rsid w:val="00A25F8E"/>
    <w:rsid w:val="00A260DC"/>
    <w:rsid w:val="00A263C4"/>
    <w:rsid w:val="00A264DB"/>
    <w:rsid w:val="00A26647"/>
    <w:rsid w:val="00A26B29"/>
    <w:rsid w:val="00A26D9A"/>
    <w:rsid w:val="00A26E7A"/>
    <w:rsid w:val="00A2701F"/>
    <w:rsid w:val="00A27095"/>
    <w:rsid w:val="00A2766C"/>
    <w:rsid w:val="00A27B8A"/>
    <w:rsid w:val="00A3010A"/>
    <w:rsid w:val="00A30120"/>
    <w:rsid w:val="00A302B3"/>
    <w:rsid w:val="00A309E7"/>
    <w:rsid w:val="00A31248"/>
    <w:rsid w:val="00A3159D"/>
    <w:rsid w:val="00A32022"/>
    <w:rsid w:val="00A3204F"/>
    <w:rsid w:val="00A320E7"/>
    <w:rsid w:val="00A32634"/>
    <w:rsid w:val="00A32A4B"/>
    <w:rsid w:val="00A33058"/>
    <w:rsid w:val="00A3317A"/>
    <w:rsid w:val="00A331E5"/>
    <w:rsid w:val="00A3340F"/>
    <w:rsid w:val="00A33746"/>
    <w:rsid w:val="00A33749"/>
    <w:rsid w:val="00A33DBD"/>
    <w:rsid w:val="00A34F11"/>
    <w:rsid w:val="00A352E6"/>
    <w:rsid w:val="00A359F3"/>
    <w:rsid w:val="00A3604F"/>
    <w:rsid w:val="00A36310"/>
    <w:rsid w:val="00A364E9"/>
    <w:rsid w:val="00A36834"/>
    <w:rsid w:val="00A368EA"/>
    <w:rsid w:val="00A36A75"/>
    <w:rsid w:val="00A377D4"/>
    <w:rsid w:val="00A40D4F"/>
    <w:rsid w:val="00A40F2E"/>
    <w:rsid w:val="00A40FBE"/>
    <w:rsid w:val="00A41000"/>
    <w:rsid w:val="00A41421"/>
    <w:rsid w:val="00A418EC"/>
    <w:rsid w:val="00A41C4B"/>
    <w:rsid w:val="00A41DD1"/>
    <w:rsid w:val="00A41EF4"/>
    <w:rsid w:val="00A41F15"/>
    <w:rsid w:val="00A423F0"/>
    <w:rsid w:val="00A42638"/>
    <w:rsid w:val="00A42B36"/>
    <w:rsid w:val="00A42C6C"/>
    <w:rsid w:val="00A42D05"/>
    <w:rsid w:val="00A43639"/>
    <w:rsid w:val="00A43737"/>
    <w:rsid w:val="00A439CA"/>
    <w:rsid w:val="00A43FB8"/>
    <w:rsid w:val="00A45513"/>
    <w:rsid w:val="00A45B01"/>
    <w:rsid w:val="00A46267"/>
    <w:rsid w:val="00A463EB"/>
    <w:rsid w:val="00A46C97"/>
    <w:rsid w:val="00A4718B"/>
    <w:rsid w:val="00A472C6"/>
    <w:rsid w:val="00A4769E"/>
    <w:rsid w:val="00A476D5"/>
    <w:rsid w:val="00A47C44"/>
    <w:rsid w:val="00A50533"/>
    <w:rsid w:val="00A506B6"/>
    <w:rsid w:val="00A50790"/>
    <w:rsid w:val="00A5079B"/>
    <w:rsid w:val="00A5095B"/>
    <w:rsid w:val="00A51C02"/>
    <w:rsid w:val="00A523AA"/>
    <w:rsid w:val="00A525A9"/>
    <w:rsid w:val="00A52A65"/>
    <w:rsid w:val="00A5381E"/>
    <w:rsid w:val="00A53E2B"/>
    <w:rsid w:val="00A53EDA"/>
    <w:rsid w:val="00A543DE"/>
    <w:rsid w:val="00A545CF"/>
    <w:rsid w:val="00A5463E"/>
    <w:rsid w:val="00A5492C"/>
    <w:rsid w:val="00A54B41"/>
    <w:rsid w:val="00A54D8A"/>
    <w:rsid w:val="00A554E5"/>
    <w:rsid w:val="00A5595D"/>
    <w:rsid w:val="00A55B0D"/>
    <w:rsid w:val="00A55D23"/>
    <w:rsid w:val="00A55FEA"/>
    <w:rsid w:val="00A55FFA"/>
    <w:rsid w:val="00A565C1"/>
    <w:rsid w:val="00A56636"/>
    <w:rsid w:val="00A56B5A"/>
    <w:rsid w:val="00A56C27"/>
    <w:rsid w:val="00A56F8E"/>
    <w:rsid w:val="00A57429"/>
    <w:rsid w:val="00A605F1"/>
    <w:rsid w:val="00A61AAC"/>
    <w:rsid w:val="00A61CD4"/>
    <w:rsid w:val="00A61DF3"/>
    <w:rsid w:val="00A620AC"/>
    <w:rsid w:val="00A626F1"/>
    <w:rsid w:val="00A62AE4"/>
    <w:rsid w:val="00A62CE5"/>
    <w:rsid w:val="00A632F7"/>
    <w:rsid w:val="00A63386"/>
    <w:rsid w:val="00A633F4"/>
    <w:rsid w:val="00A6373B"/>
    <w:rsid w:val="00A63BEF"/>
    <w:rsid w:val="00A63DE1"/>
    <w:rsid w:val="00A65461"/>
    <w:rsid w:val="00A657B3"/>
    <w:rsid w:val="00A65A9D"/>
    <w:rsid w:val="00A65C2B"/>
    <w:rsid w:val="00A65E55"/>
    <w:rsid w:val="00A663F6"/>
    <w:rsid w:val="00A66F6D"/>
    <w:rsid w:val="00A6733C"/>
    <w:rsid w:val="00A6736F"/>
    <w:rsid w:val="00A67BD0"/>
    <w:rsid w:val="00A7020C"/>
    <w:rsid w:val="00A70814"/>
    <w:rsid w:val="00A7106A"/>
    <w:rsid w:val="00A713FD"/>
    <w:rsid w:val="00A71886"/>
    <w:rsid w:val="00A71B7F"/>
    <w:rsid w:val="00A727B4"/>
    <w:rsid w:val="00A72FDC"/>
    <w:rsid w:val="00A7361B"/>
    <w:rsid w:val="00A73767"/>
    <w:rsid w:val="00A737FF"/>
    <w:rsid w:val="00A73CF4"/>
    <w:rsid w:val="00A746B8"/>
    <w:rsid w:val="00A748E8"/>
    <w:rsid w:val="00A74BF4"/>
    <w:rsid w:val="00A74E73"/>
    <w:rsid w:val="00A74EC7"/>
    <w:rsid w:val="00A75BE5"/>
    <w:rsid w:val="00A75E38"/>
    <w:rsid w:val="00A765CC"/>
    <w:rsid w:val="00A76D69"/>
    <w:rsid w:val="00A77046"/>
    <w:rsid w:val="00A77EDA"/>
    <w:rsid w:val="00A7EB38"/>
    <w:rsid w:val="00A80166"/>
    <w:rsid w:val="00A8035E"/>
    <w:rsid w:val="00A803DB"/>
    <w:rsid w:val="00A8047A"/>
    <w:rsid w:val="00A80C14"/>
    <w:rsid w:val="00A80C24"/>
    <w:rsid w:val="00A80E67"/>
    <w:rsid w:val="00A815C7"/>
    <w:rsid w:val="00A817EF"/>
    <w:rsid w:val="00A8296B"/>
    <w:rsid w:val="00A83052"/>
    <w:rsid w:val="00A83B78"/>
    <w:rsid w:val="00A8418C"/>
    <w:rsid w:val="00A843C6"/>
    <w:rsid w:val="00A8479B"/>
    <w:rsid w:val="00A848C6"/>
    <w:rsid w:val="00A84B91"/>
    <w:rsid w:val="00A84C24"/>
    <w:rsid w:val="00A8530B"/>
    <w:rsid w:val="00A85D4B"/>
    <w:rsid w:val="00A85FC4"/>
    <w:rsid w:val="00A8653E"/>
    <w:rsid w:val="00A8662A"/>
    <w:rsid w:val="00A86934"/>
    <w:rsid w:val="00A8746F"/>
    <w:rsid w:val="00A8749C"/>
    <w:rsid w:val="00A874BF"/>
    <w:rsid w:val="00A879D3"/>
    <w:rsid w:val="00A907AB"/>
    <w:rsid w:val="00A91C65"/>
    <w:rsid w:val="00A92007"/>
    <w:rsid w:val="00A9264E"/>
    <w:rsid w:val="00A92BD2"/>
    <w:rsid w:val="00A92FEE"/>
    <w:rsid w:val="00A93658"/>
    <w:rsid w:val="00A93A86"/>
    <w:rsid w:val="00A93FC9"/>
    <w:rsid w:val="00A9438F"/>
    <w:rsid w:val="00A9461A"/>
    <w:rsid w:val="00A95718"/>
    <w:rsid w:val="00A95810"/>
    <w:rsid w:val="00A96119"/>
    <w:rsid w:val="00A969D6"/>
    <w:rsid w:val="00A976F7"/>
    <w:rsid w:val="00A97914"/>
    <w:rsid w:val="00A97AD5"/>
    <w:rsid w:val="00A97FA8"/>
    <w:rsid w:val="00AA00C7"/>
    <w:rsid w:val="00AA01F0"/>
    <w:rsid w:val="00AA05E8"/>
    <w:rsid w:val="00AA09D8"/>
    <w:rsid w:val="00AA1947"/>
    <w:rsid w:val="00AA1E45"/>
    <w:rsid w:val="00AA24A8"/>
    <w:rsid w:val="00AA25CE"/>
    <w:rsid w:val="00AA2A65"/>
    <w:rsid w:val="00AA2CB0"/>
    <w:rsid w:val="00AA2E48"/>
    <w:rsid w:val="00AA3439"/>
    <w:rsid w:val="00AA39D8"/>
    <w:rsid w:val="00AA43D8"/>
    <w:rsid w:val="00AA45A9"/>
    <w:rsid w:val="00AA5417"/>
    <w:rsid w:val="00AA57FD"/>
    <w:rsid w:val="00AA58E8"/>
    <w:rsid w:val="00AA5EC2"/>
    <w:rsid w:val="00AA5F9B"/>
    <w:rsid w:val="00AA6097"/>
    <w:rsid w:val="00AA6968"/>
    <w:rsid w:val="00AA735C"/>
    <w:rsid w:val="00AA73CD"/>
    <w:rsid w:val="00AB10B5"/>
    <w:rsid w:val="00AB2393"/>
    <w:rsid w:val="00AB24B1"/>
    <w:rsid w:val="00AB291C"/>
    <w:rsid w:val="00AB2953"/>
    <w:rsid w:val="00AB2A33"/>
    <w:rsid w:val="00AB2EB4"/>
    <w:rsid w:val="00AB2F2B"/>
    <w:rsid w:val="00AB3107"/>
    <w:rsid w:val="00AB3947"/>
    <w:rsid w:val="00AB3ACD"/>
    <w:rsid w:val="00AB3D0E"/>
    <w:rsid w:val="00AB3D46"/>
    <w:rsid w:val="00AB46B6"/>
    <w:rsid w:val="00AB515A"/>
    <w:rsid w:val="00AB5420"/>
    <w:rsid w:val="00AB55C4"/>
    <w:rsid w:val="00AB5647"/>
    <w:rsid w:val="00AB5B56"/>
    <w:rsid w:val="00AB5C5E"/>
    <w:rsid w:val="00AB5E38"/>
    <w:rsid w:val="00AB5F1D"/>
    <w:rsid w:val="00AB63AC"/>
    <w:rsid w:val="00AB66D4"/>
    <w:rsid w:val="00AB6C6D"/>
    <w:rsid w:val="00AB6D47"/>
    <w:rsid w:val="00AB746B"/>
    <w:rsid w:val="00AB7548"/>
    <w:rsid w:val="00AB7938"/>
    <w:rsid w:val="00AB79CE"/>
    <w:rsid w:val="00AB7A1E"/>
    <w:rsid w:val="00AB7BFA"/>
    <w:rsid w:val="00AB7D88"/>
    <w:rsid w:val="00AB7DBF"/>
    <w:rsid w:val="00AB7F82"/>
    <w:rsid w:val="00AC013B"/>
    <w:rsid w:val="00AC0AD3"/>
    <w:rsid w:val="00AC1902"/>
    <w:rsid w:val="00AC1FC6"/>
    <w:rsid w:val="00AC2911"/>
    <w:rsid w:val="00AC2ACF"/>
    <w:rsid w:val="00AC2D38"/>
    <w:rsid w:val="00AC3DFE"/>
    <w:rsid w:val="00AC40B6"/>
    <w:rsid w:val="00AC41FF"/>
    <w:rsid w:val="00AC4762"/>
    <w:rsid w:val="00AC55D3"/>
    <w:rsid w:val="00AC6818"/>
    <w:rsid w:val="00AC69C8"/>
    <w:rsid w:val="00AC6EE2"/>
    <w:rsid w:val="00AC7C29"/>
    <w:rsid w:val="00AC7FAB"/>
    <w:rsid w:val="00AC7FB2"/>
    <w:rsid w:val="00AD01E8"/>
    <w:rsid w:val="00AD02B8"/>
    <w:rsid w:val="00AD0DB3"/>
    <w:rsid w:val="00AD0F6E"/>
    <w:rsid w:val="00AD0FF6"/>
    <w:rsid w:val="00AD11DC"/>
    <w:rsid w:val="00AD15D9"/>
    <w:rsid w:val="00AD1696"/>
    <w:rsid w:val="00AD2423"/>
    <w:rsid w:val="00AD3C01"/>
    <w:rsid w:val="00AD3C5E"/>
    <w:rsid w:val="00AD3F15"/>
    <w:rsid w:val="00AD42A5"/>
    <w:rsid w:val="00AD45CA"/>
    <w:rsid w:val="00AD479A"/>
    <w:rsid w:val="00AD59A9"/>
    <w:rsid w:val="00AD6633"/>
    <w:rsid w:val="00AD6762"/>
    <w:rsid w:val="00AD7135"/>
    <w:rsid w:val="00AD72F9"/>
    <w:rsid w:val="00AD7B14"/>
    <w:rsid w:val="00AE03E4"/>
    <w:rsid w:val="00AE05A0"/>
    <w:rsid w:val="00AE0ADC"/>
    <w:rsid w:val="00AE1317"/>
    <w:rsid w:val="00AE1787"/>
    <w:rsid w:val="00AE1C39"/>
    <w:rsid w:val="00AE1C42"/>
    <w:rsid w:val="00AE1CA7"/>
    <w:rsid w:val="00AE1E70"/>
    <w:rsid w:val="00AE1E72"/>
    <w:rsid w:val="00AE2219"/>
    <w:rsid w:val="00AE2635"/>
    <w:rsid w:val="00AE2A0B"/>
    <w:rsid w:val="00AE2BF0"/>
    <w:rsid w:val="00AE2D98"/>
    <w:rsid w:val="00AE2E9F"/>
    <w:rsid w:val="00AE3773"/>
    <w:rsid w:val="00AE38EA"/>
    <w:rsid w:val="00AE39CB"/>
    <w:rsid w:val="00AE40BE"/>
    <w:rsid w:val="00AE4116"/>
    <w:rsid w:val="00AE4554"/>
    <w:rsid w:val="00AE48D9"/>
    <w:rsid w:val="00AE49D2"/>
    <w:rsid w:val="00AE4B97"/>
    <w:rsid w:val="00AE4C07"/>
    <w:rsid w:val="00AE4FDA"/>
    <w:rsid w:val="00AE5462"/>
    <w:rsid w:val="00AE5495"/>
    <w:rsid w:val="00AE5BEA"/>
    <w:rsid w:val="00AE5C41"/>
    <w:rsid w:val="00AE5E97"/>
    <w:rsid w:val="00AE61D8"/>
    <w:rsid w:val="00AE6542"/>
    <w:rsid w:val="00AE6D41"/>
    <w:rsid w:val="00AE758A"/>
    <w:rsid w:val="00AE788D"/>
    <w:rsid w:val="00AE7A57"/>
    <w:rsid w:val="00AE7B2A"/>
    <w:rsid w:val="00AE7D7D"/>
    <w:rsid w:val="00AF0E93"/>
    <w:rsid w:val="00AF1144"/>
    <w:rsid w:val="00AF14F8"/>
    <w:rsid w:val="00AF186B"/>
    <w:rsid w:val="00AF1E6C"/>
    <w:rsid w:val="00AF206C"/>
    <w:rsid w:val="00AF2230"/>
    <w:rsid w:val="00AF2547"/>
    <w:rsid w:val="00AF29C7"/>
    <w:rsid w:val="00AF3798"/>
    <w:rsid w:val="00AF4364"/>
    <w:rsid w:val="00AF45A2"/>
    <w:rsid w:val="00AF488A"/>
    <w:rsid w:val="00AF4A1F"/>
    <w:rsid w:val="00AF4EF9"/>
    <w:rsid w:val="00AF5871"/>
    <w:rsid w:val="00AF597C"/>
    <w:rsid w:val="00AF5EEC"/>
    <w:rsid w:val="00AF5F30"/>
    <w:rsid w:val="00AF6E34"/>
    <w:rsid w:val="00AF7378"/>
    <w:rsid w:val="00AF7741"/>
    <w:rsid w:val="00AF7C28"/>
    <w:rsid w:val="00B0022A"/>
    <w:rsid w:val="00B0059A"/>
    <w:rsid w:val="00B00C24"/>
    <w:rsid w:val="00B0126E"/>
    <w:rsid w:val="00B014CE"/>
    <w:rsid w:val="00B0166E"/>
    <w:rsid w:val="00B018AC"/>
    <w:rsid w:val="00B023C3"/>
    <w:rsid w:val="00B02A05"/>
    <w:rsid w:val="00B02FA9"/>
    <w:rsid w:val="00B0317C"/>
    <w:rsid w:val="00B0338E"/>
    <w:rsid w:val="00B033DC"/>
    <w:rsid w:val="00B03590"/>
    <w:rsid w:val="00B037F6"/>
    <w:rsid w:val="00B03A0E"/>
    <w:rsid w:val="00B03BB9"/>
    <w:rsid w:val="00B03CCF"/>
    <w:rsid w:val="00B03FD9"/>
    <w:rsid w:val="00B0411D"/>
    <w:rsid w:val="00B0444D"/>
    <w:rsid w:val="00B047EB"/>
    <w:rsid w:val="00B04A6C"/>
    <w:rsid w:val="00B0583F"/>
    <w:rsid w:val="00B05CCD"/>
    <w:rsid w:val="00B06344"/>
    <w:rsid w:val="00B0671F"/>
    <w:rsid w:val="00B067BC"/>
    <w:rsid w:val="00B069BB"/>
    <w:rsid w:val="00B06C8E"/>
    <w:rsid w:val="00B06F78"/>
    <w:rsid w:val="00B070C0"/>
    <w:rsid w:val="00B072C5"/>
    <w:rsid w:val="00B0740B"/>
    <w:rsid w:val="00B0758F"/>
    <w:rsid w:val="00B075A3"/>
    <w:rsid w:val="00B0769F"/>
    <w:rsid w:val="00B0773D"/>
    <w:rsid w:val="00B07CBB"/>
    <w:rsid w:val="00B07DD7"/>
    <w:rsid w:val="00B07F6E"/>
    <w:rsid w:val="00B10A58"/>
    <w:rsid w:val="00B124EE"/>
    <w:rsid w:val="00B1268E"/>
    <w:rsid w:val="00B12DD5"/>
    <w:rsid w:val="00B12E62"/>
    <w:rsid w:val="00B1325C"/>
    <w:rsid w:val="00B13467"/>
    <w:rsid w:val="00B1388A"/>
    <w:rsid w:val="00B13D61"/>
    <w:rsid w:val="00B13F6A"/>
    <w:rsid w:val="00B141A0"/>
    <w:rsid w:val="00B141F4"/>
    <w:rsid w:val="00B14436"/>
    <w:rsid w:val="00B144FD"/>
    <w:rsid w:val="00B14622"/>
    <w:rsid w:val="00B1486A"/>
    <w:rsid w:val="00B14BDC"/>
    <w:rsid w:val="00B14C28"/>
    <w:rsid w:val="00B152E8"/>
    <w:rsid w:val="00B15544"/>
    <w:rsid w:val="00B1555D"/>
    <w:rsid w:val="00B15BDE"/>
    <w:rsid w:val="00B15C5A"/>
    <w:rsid w:val="00B162B5"/>
    <w:rsid w:val="00B16E72"/>
    <w:rsid w:val="00B17475"/>
    <w:rsid w:val="00B17624"/>
    <w:rsid w:val="00B176F5"/>
    <w:rsid w:val="00B17955"/>
    <w:rsid w:val="00B17A47"/>
    <w:rsid w:val="00B20DF4"/>
    <w:rsid w:val="00B20FAD"/>
    <w:rsid w:val="00B2100B"/>
    <w:rsid w:val="00B2103B"/>
    <w:rsid w:val="00B2161B"/>
    <w:rsid w:val="00B21795"/>
    <w:rsid w:val="00B2180E"/>
    <w:rsid w:val="00B21EB0"/>
    <w:rsid w:val="00B223D6"/>
    <w:rsid w:val="00B223DD"/>
    <w:rsid w:val="00B225BB"/>
    <w:rsid w:val="00B2296B"/>
    <w:rsid w:val="00B241FD"/>
    <w:rsid w:val="00B24218"/>
    <w:rsid w:val="00B247AD"/>
    <w:rsid w:val="00B24DD8"/>
    <w:rsid w:val="00B25044"/>
    <w:rsid w:val="00B253F6"/>
    <w:rsid w:val="00B255EC"/>
    <w:rsid w:val="00B25B4C"/>
    <w:rsid w:val="00B25EA8"/>
    <w:rsid w:val="00B2608B"/>
    <w:rsid w:val="00B269C2"/>
    <w:rsid w:val="00B26ABB"/>
    <w:rsid w:val="00B26E0F"/>
    <w:rsid w:val="00B26FFC"/>
    <w:rsid w:val="00B27760"/>
    <w:rsid w:val="00B27C9B"/>
    <w:rsid w:val="00B27E72"/>
    <w:rsid w:val="00B27FCF"/>
    <w:rsid w:val="00B308DF"/>
    <w:rsid w:val="00B311DF"/>
    <w:rsid w:val="00B31DA4"/>
    <w:rsid w:val="00B31E13"/>
    <w:rsid w:val="00B32EF1"/>
    <w:rsid w:val="00B32F42"/>
    <w:rsid w:val="00B33455"/>
    <w:rsid w:val="00B33A96"/>
    <w:rsid w:val="00B33AF9"/>
    <w:rsid w:val="00B34C2F"/>
    <w:rsid w:val="00B351CF"/>
    <w:rsid w:val="00B352D1"/>
    <w:rsid w:val="00B35414"/>
    <w:rsid w:val="00B354E5"/>
    <w:rsid w:val="00B356BA"/>
    <w:rsid w:val="00B358DA"/>
    <w:rsid w:val="00B3618D"/>
    <w:rsid w:val="00B36458"/>
    <w:rsid w:val="00B371A3"/>
    <w:rsid w:val="00B371B2"/>
    <w:rsid w:val="00B37461"/>
    <w:rsid w:val="00B37548"/>
    <w:rsid w:val="00B37B83"/>
    <w:rsid w:val="00B37C50"/>
    <w:rsid w:val="00B37C53"/>
    <w:rsid w:val="00B37F35"/>
    <w:rsid w:val="00B40334"/>
    <w:rsid w:val="00B404BB"/>
    <w:rsid w:val="00B40559"/>
    <w:rsid w:val="00B40E1A"/>
    <w:rsid w:val="00B41049"/>
    <w:rsid w:val="00B416EA"/>
    <w:rsid w:val="00B41806"/>
    <w:rsid w:val="00B41939"/>
    <w:rsid w:val="00B419E7"/>
    <w:rsid w:val="00B41AB4"/>
    <w:rsid w:val="00B41C23"/>
    <w:rsid w:val="00B42348"/>
    <w:rsid w:val="00B423B4"/>
    <w:rsid w:val="00B4269E"/>
    <w:rsid w:val="00B429D9"/>
    <w:rsid w:val="00B42ABA"/>
    <w:rsid w:val="00B43261"/>
    <w:rsid w:val="00B433D8"/>
    <w:rsid w:val="00B43C9C"/>
    <w:rsid w:val="00B43E59"/>
    <w:rsid w:val="00B43E77"/>
    <w:rsid w:val="00B44334"/>
    <w:rsid w:val="00B445A2"/>
    <w:rsid w:val="00B44714"/>
    <w:rsid w:val="00B44C93"/>
    <w:rsid w:val="00B450C8"/>
    <w:rsid w:val="00B4542B"/>
    <w:rsid w:val="00B456F1"/>
    <w:rsid w:val="00B45A08"/>
    <w:rsid w:val="00B45BA6"/>
    <w:rsid w:val="00B45BE6"/>
    <w:rsid w:val="00B460F4"/>
    <w:rsid w:val="00B460F7"/>
    <w:rsid w:val="00B4610D"/>
    <w:rsid w:val="00B46BD9"/>
    <w:rsid w:val="00B46C21"/>
    <w:rsid w:val="00B46CD3"/>
    <w:rsid w:val="00B46D49"/>
    <w:rsid w:val="00B476E9"/>
    <w:rsid w:val="00B47A82"/>
    <w:rsid w:val="00B50210"/>
    <w:rsid w:val="00B50395"/>
    <w:rsid w:val="00B50517"/>
    <w:rsid w:val="00B50629"/>
    <w:rsid w:val="00B51448"/>
    <w:rsid w:val="00B515B2"/>
    <w:rsid w:val="00B51663"/>
    <w:rsid w:val="00B5166B"/>
    <w:rsid w:val="00B51C3F"/>
    <w:rsid w:val="00B52A04"/>
    <w:rsid w:val="00B52A35"/>
    <w:rsid w:val="00B5304E"/>
    <w:rsid w:val="00B53A7F"/>
    <w:rsid w:val="00B53FBC"/>
    <w:rsid w:val="00B5426A"/>
    <w:rsid w:val="00B545B1"/>
    <w:rsid w:val="00B547B2"/>
    <w:rsid w:val="00B55089"/>
    <w:rsid w:val="00B55130"/>
    <w:rsid w:val="00B5517E"/>
    <w:rsid w:val="00B55463"/>
    <w:rsid w:val="00B559FE"/>
    <w:rsid w:val="00B560A0"/>
    <w:rsid w:val="00B570A4"/>
    <w:rsid w:val="00B572BD"/>
    <w:rsid w:val="00B5743A"/>
    <w:rsid w:val="00B57A0D"/>
    <w:rsid w:val="00B5A0AC"/>
    <w:rsid w:val="00B608B3"/>
    <w:rsid w:val="00B61B87"/>
    <w:rsid w:val="00B624DE"/>
    <w:rsid w:val="00B62521"/>
    <w:rsid w:val="00B6277B"/>
    <w:rsid w:val="00B629B0"/>
    <w:rsid w:val="00B63310"/>
    <w:rsid w:val="00B636C6"/>
    <w:rsid w:val="00B63B4E"/>
    <w:rsid w:val="00B63DD2"/>
    <w:rsid w:val="00B64860"/>
    <w:rsid w:val="00B64883"/>
    <w:rsid w:val="00B652B4"/>
    <w:rsid w:val="00B6536A"/>
    <w:rsid w:val="00B6544D"/>
    <w:rsid w:val="00B660F7"/>
    <w:rsid w:val="00B66564"/>
    <w:rsid w:val="00B66628"/>
    <w:rsid w:val="00B66AD0"/>
    <w:rsid w:val="00B66BBD"/>
    <w:rsid w:val="00B67176"/>
    <w:rsid w:val="00B674E7"/>
    <w:rsid w:val="00B677D0"/>
    <w:rsid w:val="00B708D6"/>
    <w:rsid w:val="00B709D6"/>
    <w:rsid w:val="00B70A29"/>
    <w:rsid w:val="00B70FDF"/>
    <w:rsid w:val="00B714DA"/>
    <w:rsid w:val="00B71C11"/>
    <w:rsid w:val="00B7274D"/>
    <w:rsid w:val="00B73BB7"/>
    <w:rsid w:val="00B73F8E"/>
    <w:rsid w:val="00B74317"/>
    <w:rsid w:val="00B7489F"/>
    <w:rsid w:val="00B74E21"/>
    <w:rsid w:val="00B74E8E"/>
    <w:rsid w:val="00B750F3"/>
    <w:rsid w:val="00B75239"/>
    <w:rsid w:val="00B75395"/>
    <w:rsid w:val="00B75A27"/>
    <w:rsid w:val="00B75DA2"/>
    <w:rsid w:val="00B76075"/>
    <w:rsid w:val="00B76871"/>
    <w:rsid w:val="00B76FB5"/>
    <w:rsid w:val="00B76FDD"/>
    <w:rsid w:val="00B775A6"/>
    <w:rsid w:val="00B7777E"/>
    <w:rsid w:val="00B8001B"/>
    <w:rsid w:val="00B8040F"/>
    <w:rsid w:val="00B80ADF"/>
    <w:rsid w:val="00B80D75"/>
    <w:rsid w:val="00B81248"/>
    <w:rsid w:val="00B8224E"/>
    <w:rsid w:val="00B8257A"/>
    <w:rsid w:val="00B82DC2"/>
    <w:rsid w:val="00B8361B"/>
    <w:rsid w:val="00B83CEF"/>
    <w:rsid w:val="00B83E30"/>
    <w:rsid w:val="00B844B8"/>
    <w:rsid w:val="00B84A93"/>
    <w:rsid w:val="00B84E30"/>
    <w:rsid w:val="00B84E74"/>
    <w:rsid w:val="00B850C5"/>
    <w:rsid w:val="00B853E1"/>
    <w:rsid w:val="00B85713"/>
    <w:rsid w:val="00B85D16"/>
    <w:rsid w:val="00B8698B"/>
    <w:rsid w:val="00B870F0"/>
    <w:rsid w:val="00B875A8"/>
    <w:rsid w:val="00B8790D"/>
    <w:rsid w:val="00B87CD5"/>
    <w:rsid w:val="00B87E0D"/>
    <w:rsid w:val="00B90308"/>
    <w:rsid w:val="00B9072C"/>
    <w:rsid w:val="00B909C4"/>
    <w:rsid w:val="00B90B23"/>
    <w:rsid w:val="00B91AA0"/>
    <w:rsid w:val="00B91C43"/>
    <w:rsid w:val="00B92254"/>
    <w:rsid w:val="00B92362"/>
    <w:rsid w:val="00B93662"/>
    <w:rsid w:val="00B94139"/>
    <w:rsid w:val="00B944F6"/>
    <w:rsid w:val="00B94764"/>
    <w:rsid w:val="00B949C3"/>
    <w:rsid w:val="00B94E17"/>
    <w:rsid w:val="00B955D6"/>
    <w:rsid w:val="00B96574"/>
    <w:rsid w:val="00B96DB3"/>
    <w:rsid w:val="00B97F70"/>
    <w:rsid w:val="00BA00E9"/>
    <w:rsid w:val="00BA0697"/>
    <w:rsid w:val="00BA07D9"/>
    <w:rsid w:val="00BA0D2F"/>
    <w:rsid w:val="00BA1006"/>
    <w:rsid w:val="00BA13E0"/>
    <w:rsid w:val="00BA1A7B"/>
    <w:rsid w:val="00BA1CD7"/>
    <w:rsid w:val="00BA25B8"/>
    <w:rsid w:val="00BA27E0"/>
    <w:rsid w:val="00BA294F"/>
    <w:rsid w:val="00BA388D"/>
    <w:rsid w:val="00BA39FF"/>
    <w:rsid w:val="00BA3AD9"/>
    <w:rsid w:val="00BA3B41"/>
    <w:rsid w:val="00BA3C1D"/>
    <w:rsid w:val="00BA3D1C"/>
    <w:rsid w:val="00BA3D9B"/>
    <w:rsid w:val="00BA45FC"/>
    <w:rsid w:val="00BA4BEA"/>
    <w:rsid w:val="00BA52D3"/>
    <w:rsid w:val="00BA595B"/>
    <w:rsid w:val="00BA67CE"/>
    <w:rsid w:val="00BA6C25"/>
    <w:rsid w:val="00BA7385"/>
    <w:rsid w:val="00BA7414"/>
    <w:rsid w:val="00BA78A1"/>
    <w:rsid w:val="00BA7F20"/>
    <w:rsid w:val="00BA7FAC"/>
    <w:rsid w:val="00BB01CF"/>
    <w:rsid w:val="00BB06F0"/>
    <w:rsid w:val="00BB0912"/>
    <w:rsid w:val="00BB0E3C"/>
    <w:rsid w:val="00BB15FF"/>
    <w:rsid w:val="00BB1CBB"/>
    <w:rsid w:val="00BB233D"/>
    <w:rsid w:val="00BB243B"/>
    <w:rsid w:val="00BB25F4"/>
    <w:rsid w:val="00BB28A9"/>
    <w:rsid w:val="00BB2EED"/>
    <w:rsid w:val="00BB2F01"/>
    <w:rsid w:val="00BB36A4"/>
    <w:rsid w:val="00BB3803"/>
    <w:rsid w:val="00BB38C3"/>
    <w:rsid w:val="00BB393B"/>
    <w:rsid w:val="00BB4F59"/>
    <w:rsid w:val="00BB52BB"/>
    <w:rsid w:val="00BB5603"/>
    <w:rsid w:val="00BB60F7"/>
    <w:rsid w:val="00BB647F"/>
    <w:rsid w:val="00BB64C4"/>
    <w:rsid w:val="00BB64DE"/>
    <w:rsid w:val="00BB6804"/>
    <w:rsid w:val="00BB6E9A"/>
    <w:rsid w:val="00BB72EE"/>
    <w:rsid w:val="00BB744D"/>
    <w:rsid w:val="00BB7841"/>
    <w:rsid w:val="00BB7E2D"/>
    <w:rsid w:val="00BB7FC2"/>
    <w:rsid w:val="00BC010F"/>
    <w:rsid w:val="00BC0151"/>
    <w:rsid w:val="00BC05DA"/>
    <w:rsid w:val="00BC0646"/>
    <w:rsid w:val="00BC0730"/>
    <w:rsid w:val="00BC1311"/>
    <w:rsid w:val="00BC1C29"/>
    <w:rsid w:val="00BC1E65"/>
    <w:rsid w:val="00BC21B7"/>
    <w:rsid w:val="00BC28A3"/>
    <w:rsid w:val="00BC2993"/>
    <w:rsid w:val="00BC30A8"/>
    <w:rsid w:val="00BC3318"/>
    <w:rsid w:val="00BC34AD"/>
    <w:rsid w:val="00BC35D0"/>
    <w:rsid w:val="00BC3800"/>
    <w:rsid w:val="00BC3CC5"/>
    <w:rsid w:val="00BC4B13"/>
    <w:rsid w:val="00BC56FC"/>
    <w:rsid w:val="00BC5AEC"/>
    <w:rsid w:val="00BC5C5B"/>
    <w:rsid w:val="00BC607D"/>
    <w:rsid w:val="00BC6565"/>
    <w:rsid w:val="00BC6619"/>
    <w:rsid w:val="00BC6656"/>
    <w:rsid w:val="00BC66CB"/>
    <w:rsid w:val="00BC6CA6"/>
    <w:rsid w:val="00BC72C8"/>
    <w:rsid w:val="00BC7432"/>
    <w:rsid w:val="00BC7764"/>
    <w:rsid w:val="00BC7EE8"/>
    <w:rsid w:val="00BC7F99"/>
    <w:rsid w:val="00BD018F"/>
    <w:rsid w:val="00BD05C3"/>
    <w:rsid w:val="00BD090E"/>
    <w:rsid w:val="00BD0949"/>
    <w:rsid w:val="00BD11CD"/>
    <w:rsid w:val="00BD11FB"/>
    <w:rsid w:val="00BD11FF"/>
    <w:rsid w:val="00BD144B"/>
    <w:rsid w:val="00BD1662"/>
    <w:rsid w:val="00BD1909"/>
    <w:rsid w:val="00BD2014"/>
    <w:rsid w:val="00BD225F"/>
    <w:rsid w:val="00BD29AE"/>
    <w:rsid w:val="00BD36D3"/>
    <w:rsid w:val="00BD39C4"/>
    <w:rsid w:val="00BD4441"/>
    <w:rsid w:val="00BD445C"/>
    <w:rsid w:val="00BD45A9"/>
    <w:rsid w:val="00BD465D"/>
    <w:rsid w:val="00BD4DAD"/>
    <w:rsid w:val="00BD4F9E"/>
    <w:rsid w:val="00BD5F0B"/>
    <w:rsid w:val="00BD66DE"/>
    <w:rsid w:val="00BD6CE4"/>
    <w:rsid w:val="00BD713F"/>
    <w:rsid w:val="00BD722C"/>
    <w:rsid w:val="00BD7F6A"/>
    <w:rsid w:val="00BE01DF"/>
    <w:rsid w:val="00BE0822"/>
    <w:rsid w:val="00BE11B1"/>
    <w:rsid w:val="00BE1922"/>
    <w:rsid w:val="00BE3DCE"/>
    <w:rsid w:val="00BE428A"/>
    <w:rsid w:val="00BE4348"/>
    <w:rsid w:val="00BE4AFA"/>
    <w:rsid w:val="00BE4CA2"/>
    <w:rsid w:val="00BE4F8E"/>
    <w:rsid w:val="00BE521C"/>
    <w:rsid w:val="00BE52C7"/>
    <w:rsid w:val="00BE5BD1"/>
    <w:rsid w:val="00BE5BF9"/>
    <w:rsid w:val="00BE605B"/>
    <w:rsid w:val="00BE6466"/>
    <w:rsid w:val="00BE6BD3"/>
    <w:rsid w:val="00BE7822"/>
    <w:rsid w:val="00BE7ABC"/>
    <w:rsid w:val="00BF0214"/>
    <w:rsid w:val="00BF09C5"/>
    <w:rsid w:val="00BF0EB0"/>
    <w:rsid w:val="00BF0FBF"/>
    <w:rsid w:val="00BF120A"/>
    <w:rsid w:val="00BF1CBF"/>
    <w:rsid w:val="00BF294E"/>
    <w:rsid w:val="00BF2DC0"/>
    <w:rsid w:val="00BF2E9E"/>
    <w:rsid w:val="00BF2EE7"/>
    <w:rsid w:val="00BF3113"/>
    <w:rsid w:val="00BF3252"/>
    <w:rsid w:val="00BF34A1"/>
    <w:rsid w:val="00BF3554"/>
    <w:rsid w:val="00BF3568"/>
    <w:rsid w:val="00BF3BDA"/>
    <w:rsid w:val="00BF3F16"/>
    <w:rsid w:val="00BF41FF"/>
    <w:rsid w:val="00BF46F1"/>
    <w:rsid w:val="00BF48CC"/>
    <w:rsid w:val="00BF4A42"/>
    <w:rsid w:val="00BF4C5F"/>
    <w:rsid w:val="00BF4D7B"/>
    <w:rsid w:val="00BF4E40"/>
    <w:rsid w:val="00BF5102"/>
    <w:rsid w:val="00BF5137"/>
    <w:rsid w:val="00BF544A"/>
    <w:rsid w:val="00BF5D33"/>
    <w:rsid w:val="00BF6512"/>
    <w:rsid w:val="00BF6608"/>
    <w:rsid w:val="00BF679E"/>
    <w:rsid w:val="00BF6D43"/>
    <w:rsid w:val="00BF7CF2"/>
    <w:rsid w:val="00BF7D79"/>
    <w:rsid w:val="00C001FE"/>
    <w:rsid w:val="00C00355"/>
    <w:rsid w:val="00C0058F"/>
    <w:rsid w:val="00C007FF"/>
    <w:rsid w:val="00C00F5A"/>
    <w:rsid w:val="00C01707"/>
    <w:rsid w:val="00C01894"/>
    <w:rsid w:val="00C0191A"/>
    <w:rsid w:val="00C01D67"/>
    <w:rsid w:val="00C02389"/>
    <w:rsid w:val="00C02551"/>
    <w:rsid w:val="00C02D57"/>
    <w:rsid w:val="00C02D8C"/>
    <w:rsid w:val="00C02E2E"/>
    <w:rsid w:val="00C02E3C"/>
    <w:rsid w:val="00C02F65"/>
    <w:rsid w:val="00C0379D"/>
    <w:rsid w:val="00C039FA"/>
    <w:rsid w:val="00C03C4D"/>
    <w:rsid w:val="00C040AD"/>
    <w:rsid w:val="00C04933"/>
    <w:rsid w:val="00C04B5C"/>
    <w:rsid w:val="00C051D9"/>
    <w:rsid w:val="00C0544D"/>
    <w:rsid w:val="00C06EC8"/>
    <w:rsid w:val="00C07961"/>
    <w:rsid w:val="00C07E84"/>
    <w:rsid w:val="00C10AD6"/>
    <w:rsid w:val="00C10F03"/>
    <w:rsid w:val="00C11599"/>
    <w:rsid w:val="00C118C0"/>
    <w:rsid w:val="00C12177"/>
    <w:rsid w:val="00C1225B"/>
    <w:rsid w:val="00C1274A"/>
    <w:rsid w:val="00C12CF5"/>
    <w:rsid w:val="00C132BB"/>
    <w:rsid w:val="00C13345"/>
    <w:rsid w:val="00C142C9"/>
    <w:rsid w:val="00C14371"/>
    <w:rsid w:val="00C143C2"/>
    <w:rsid w:val="00C150DE"/>
    <w:rsid w:val="00C154B3"/>
    <w:rsid w:val="00C159ED"/>
    <w:rsid w:val="00C15F12"/>
    <w:rsid w:val="00C1639D"/>
    <w:rsid w:val="00C164EC"/>
    <w:rsid w:val="00C168BA"/>
    <w:rsid w:val="00C16A23"/>
    <w:rsid w:val="00C16BD7"/>
    <w:rsid w:val="00C16C76"/>
    <w:rsid w:val="00C17ADF"/>
    <w:rsid w:val="00C17EEC"/>
    <w:rsid w:val="00C208FB"/>
    <w:rsid w:val="00C20C25"/>
    <w:rsid w:val="00C214D3"/>
    <w:rsid w:val="00C21529"/>
    <w:rsid w:val="00C216DF"/>
    <w:rsid w:val="00C21758"/>
    <w:rsid w:val="00C22104"/>
    <w:rsid w:val="00C22640"/>
    <w:rsid w:val="00C22C4A"/>
    <w:rsid w:val="00C22C9C"/>
    <w:rsid w:val="00C22E39"/>
    <w:rsid w:val="00C22F3E"/>
    <w:rsid w:val="00C230A7"/>
    <w:rsid w:val="00C23374"/>
    <w:rsid w:val="00C2387C"/>
    <w:rsid w:val="00C23A63"/>
    <w:rsid w:val="00C2408B"/>
    <w:rsid w:val="00C24413"/>
    <w:rsid w:val="00C249AB"/>
    <w:rsid w:val="00C24CDB"/>
    <w:rsid w:val="00C256E9"/>
    <w:rsid w:val="00C25C55"/>
    <w:rsid w:val="00C26186"/>
    <w:rsid w:val="00C262D6"/>
    <w:rsid w:val="00C26321"/>
    <w:rsid w:val="00C268B1"/>
    <w:rsid w:val="00C26CF8"/>
    <w:rsid w:val="00C26F81"/>
    <w:rsid w:val="00C270B3"/>
    <w:rsid w:val="00C271EA"/>
    <w:rsid w:val="00C27333"/>
    <w:rsid w:val="00C275A3"/>
    <w:rsid w:val="00C275AE"/>
    <w:rsid w:val="00C27D45"/>
    <w:rsid w:val="00C27DE7"/>
    <w:rsid w:val="00C3060D"/>
    <w:rsid w:val="00C306A2"/>
    <w:rsid w:val="00C307D1"/>
    <w:rsid w:val="00C311BA"/>
    <w:rsid w:val="00C313B0"/>
    <w:rsid w:val="00C319CA"/>
    <w:rsid w:val="00C328E0"/>
    <w:rsid w:val="00C32B0C"/>
    <w:rsid w:val="00C32C6B"/>
    <w:rsid w:val="00C334A6"/>
    <w:rsid w:val="00C33605"/>
    <w:rsid w:val="00C3365D"/>
    <w:rsid w:val="00C33A0E"/>
    <w:rsid w:val="00C33AE1"/>
    <w:rsid w:val="00C33D2D"/>
    <w:rsid w:val="00C33D5B"/>
    <w:rsid w:val="00C344CD"/>
    <w:rsid w:val="00C345D1"/>
    <w:rsid w:val="00C34F71"/>
    <w:rsid w:val="00C34FCC"/>
    <w:rsid w:val="00C34FD6"/>
    <w:rsid w:val="00C34FDF"/>
    <w:rsid w:val="00C35228"/>
    <w:rsid w:val="00C35559"/>
    <w:rsid w:val="00C35DC2"/>
    <w:rsid w:val="00C36110"/>
    <w:rsid w:val="00C36135"/>
    <w:rsid w:val="00C361D1"/>
    <w:rsid w:val="00C36493"/>
    <w:rsid w:val="00C368E8"/>
    <w:rsid w:val="00C36A24"/>
    <w:rsid w:val="00C36C1F"/>
    <w:rsid w:val="00C377EE"/>
    <w:rsid w:val="00C379B4"/>
    <w:rsid w:val="00C37AF9"/>
    <w:rsid w:val="00C37C21"/>
    <w:rsid w:val="00C401BB"/>
    <w:rsid w:val="00C405EF"/>
    <w:rsid w:val="00C406D7"/>
    <w:rsid w:val="00C40AAD"/>
    <w:rsid w:val="00C414AA"/>
    <w:rsid w:val="00C41DD6"/>
    <w:rsid w:val="00C4205C"/>
    <w:rsid w:val="00C426FD"/>
    <w:rsid w:val="00C42AE5"/>
    <w:rsid w:val="00C42C24"/>
    <w:rsid w:val="00C435CC"/>
    <w:rsid w:val="00C435DB"/>
    <w:rsid w:val="00C43A1D"/>
    <w:rsid w:val="00C44475"/>
    <w:rsid w:val="00C444D4"/>
    <w:rsid w:val="00C44807"/>
    <w:rsid w:val="00C44BFC"/>
    <w:rsid w:val="00C44C53"/>
    <w:rsid w:val="00C46347"/>
    <w:rsid w:val="00C4645F"/>
    <w:rsid w:val="00C465BE"/>
    <w:rsid w:val="00C466B1"/>
    <w:rsid w:val="00C468FB"/>
    <w:rsid w:val="00C47422"/>
    <w:rsid w:val="00C47A2A"/>
    <w:rsid w:val="00C47EEF"/>
    <w:rsid w:val="00C50B9F"/>
    <w:rsid w:val="00C51F7B"/>
    <w:rsid w:val="00C520A1"/>
    <w:rsid w:val="00C52132"/>
    <w:rsid w:val="00C527EB"/>
    <w:rsid w:val="00C52A93"/>
    <w:rsid w:val="00C52D6D"/>
    <w:rsid w:val="00C52D7A"/>
    <w:rsid w:val="00C53147"/>
    <w:rsid w:val="00C53E5A"/>
    <w:rsid w:val="00C543B1"/>
    <w:rsid w:val="00C545BE"/>
    <w:rsid w:val="00C5472E"/>
    <w:rsid w:val="00C54A36"/>
    <w:rsid w:val="00C54B2C"/>
    <w:rsid w:val="00C551C6"/>
    <w:rsid w:val="00C5571F"/>
    <w:rsid w:val="00C5576D"/>
    <w:rsid w:val="00C55CD5"/>
    <w:rsid w:val="00C55FBD"/>
    <w:rsid w:val="00C562AF"/>
    <w:rsid w:val="00C5691B"/>
    <w:rsid w:val="00C569DE"/>
    <w:rsid w:val="00C575BA"/>
    <w:rsid w:val="00C57DB2"/>
    <w:rsid w:val="00C611E1"/>
    <w:rsid w:val="00C61270"/>
    <w:rsid w:val="00C61E19"/>
    <w:rsid w:val="00C62064"/>
    <w:rsid w:val="00C62443"/>
    <w:rsid w:val="00C627CB"/>
    <w:rsid w:val="00C62CD3"/>
    <w:rsid w:val="00C62D54"/>
    <w:rsid w:val="00C63496"/>
    <w:rsid w:val="00C638E5"/>
    <w:rsid w:val="00C639BF"/>
    <w:rsid w:val="00C63AC1"/>
    <w:rsid w:val="00C63AE9"/>
    <w:rsid w:val="00C644CC"/>
    <w:rsid w:val="00C644EF"/>
    <w:rsid w:val="00C646A0"/>
    <w:rsid w:val="00C64786"/>
    <w:rsid w:val="00C64845"/>
    <w:rsid w:val="00C653B7"/>
    <w:rsid w:val="00C65498"/>
    <w:rsid w:val="00C65B95"/>
    <w:rsid w:val="00C65BD5"/>
    <w:rsid w:val="00C6694F"/>
    <w:rsid w:val="00C669E2"/>
    <w:rsid w:val="00C66A22"/>
    <w:rsid w:val="00C66BEC"/>
    <w:rsid w:val="00C66D81"/>
    <w:rsid w:val="00C66E64"/>
    <w:rsid w:val="00C67835"/>
    <w:rsid w:val="00C67B9E"/>
    <w:rsid w:val="00C67E85"/>
    <w:rsid w:val="00C704A1"/>
    <w:rsid w:val="00C70981"/>
    <w:rsid w:val="00C70AAE"/>
    <w:rsid w:val="00C71045"/>
    <w:rsid w:val="00C7104B"/>
    <w:rsid w:val="00C7146D"/>
    <w:rsid w:val="00C714C6"/>
    <w:rsid w:val="00C71CB2"/>
    <w:rsid w:val="00C71E5F"/>
    <w:rsid w:val="00C71FE4"/>
    <w:rsid w:val="00C72017"/>
    <w:rsid w:val="00C7201F"/>
    <w:rsid w:val="00C725BB"/>
    <w:rsid w:val="00C72A7B"/>
    <w:rsid w:val="00C72BEA"/>
    <w:rsid w:val="00C72C19"/>
    <w:rsid w:val="00C73086"/>
    <w:rsid w:val="00C737E5"/>
    <w:rsid w:val="00C73B53"/>
    <w:rsid w:val="00C743EC"/>
    <w:rsid w:val="00C74D3A"/>
    <w:rsid w:val="00C758F4"/>
    <w:rsid w:val="00C75C9C"/>
    <w:rsid w:val="00C75CDD"/>
    <w:rsid w:val="00C75E7C"/>
    <w:rsid w:val="00C761A6"/>
    <w:rsid w:val="00C76790"/>
    <w:rsid w:val="00C76A8B"/>
    <w:rsid w:val="00C775A9"/>
    <w:rsid w:val="00C77692"/>
    <w:rsid w:val="00C77A3C"/>
    <w:rsid w:val="00C80399"/>
    <w:rsid w:val="00C81CED"/>
    <w:rsid w:val="00C81F46"/>
    <w:rsid w:val="00C81FE0"/>
    <w:rsid w:val="00C82442"/>
    <w:rsid w:val="00C825FC"/>
    <w:rsid w:val="00C83B1A"/>
    <w:rsid w:val="00C83F5E"/>
    <w:rsid w:val="00C846BB"/>
    <w:rsid w:val="00C846EA"/>
    <w:rsid w:val="00C848A9"/>
    <w:rsid w:val="00C84EC6"/>
    <w:rsid w:val="00C84FD1"/>
    <w:rsid w:val="00C8554C"/>
    <w:rsid w:val="00C85A65"/>
    <w:rsid w:val="00C85C84"/>
    <w:rsid w:val="00C861C0"/>
    <w:rsid w:val="00C86825"/>
    <w:rsid w:val="00C86BE2"/>
    <w:rsid w:val="00C86F8C"/>
    <w:rsid w:val="00C86F8E"/>
    <w:rsid w:val="00C86FC4"/>
    <w:rsid w:val="00C87104"/>
    <w:rsid w:val="00C87358"/>
    <w:rsid w:val="00C90C75"/>
    <w:rsid w:val="00C90E14"/>
    <w:rsid w:val="00C91235"/>
    <w:rsid w:val="00C91960"/>
    <w:rsid w:val="00C91E90"/>
    <w:rsid w:val="00C920A7"/>
    <w:rsid w:val="00C92129"/>
    <w:rsid w:val="00C92357"/>
    <w:rsid w:val="00C92688"/>
    <w:rsid w:val="00C92693"/>
    <w:rsid w:val="00C92A28"/>
    <w:rsid w:val="00C92D6F"/>
    <w:rsid w:val="00C931BF"/>
    <w:rsid w:val="00C93E3B"/>
    <w:rsid w:val="00C9470D"/>
    <w:rsid w:val="00C9479A"/>
    <w:rsid w:val="00C94846"/>
    <w:rsid w:val="00C95840"/>
    <w:rsid w:val="00C9591D"/>
    <w:rsid w:val="00C95999"/>
    <w:rsid w:val="00C96551"/>
    <w:rsid w:val="00C96DF8"/>
    <w:rsid w:val="00C96FBA"/>
    <w:rsid w:val="00C974AE"/>
    <w:rsid w:val="00C97C58"/>
    <w:rsid w:val="00C9E6A8"/>
    <w:rsid w:val="00CA04C0"/>
    <w:rsid w:val="00CA05BA"/>
    <w:rsid w:val="00CA07D9"/>
    <w:rsid w:val="00CA0C4B"/>
    <w:rsid w:val="00CA0C64"/>
    <w:rsid w:val="00CA0E02"/>
    <w:rsid w:val="00CA17B8"/>
    <w:rsid w:val="00CA180C"/>
    <w:rsid w:val="00CA19D9"/>
    <w:rsid w:val="00CA1FCF"/>
    <w:rsid w:val="00CA2430"/>
    <w:rsid w:val="00CA260E"/>
    <w:rsid w:val="00CA2652"/>
    <w:rsid w:val="00CA2975"/>
    <w:rsid w:val="00CA2986"/>
    <w:rsid w:val="00CA2B4A"/>
    <w:rsid w:val="00CA2E33"/>
    <w:rsid w:val="00CA2E78"/>
    <w:rsid w:val="00CA3072"/>
    <w:rsid w:val="00CA3643"/>
    <w:rsid w:val="00CA3926"/>
    <w:rsid w:val="00CA3B09"/>
    <w:rsid w:val="00CA3C89"/>
    <w:rsid w:val="00CA4112"/>
    <w:rsid w:val="00CA4567"/>
    <w:rsid w:val="00CA48E6"/>
    <w:rsid w:val="00CA509E"/>
    <w:rsid w:val="00CA5108"/>
    <w:rsid w:val="00CA563E"/>
    <w:rsid w:val="00CA57EF"/>
    <w:rsid w:val="00CA5896"/>
    <w:rsid w:val="00CA59B2"/>
    <w:rsid w:val="00CA5F19"/>
    <w:rsid w:val="00CA610A"/>
    <w:rsid w:val="00CA62F5"/>
    <w:rsid w:val="00CA6414"/>
    <w:rsid w:val="00CA674D"/>
    <w:rsid w:val="00CA75AF"/>
    <w:rsid w:val="00CA7799"/>
    <w:rsid w:val="00CA7EED"/>
    <w:rsid w:val="00CA7F75"/>
    <w:rsid w:val="00CB013A"/>
    <w:rsid w:val="00CB03DF"/>
    <w:rsid w:val="00CB06BD"/>
    <w:rsid w:val="00CB0B2A"/>
    <w:rsid w:val="00CB1203"/>
    <w:rsid w:val="00CB135C"/>
    <w:rsid w:val="00CB182F"/>
    <w:rsid w:val="00CB1B84"/>
    <w:rsid w:val="00CB1BA3"/>
    <w:rsid w:val="00CB2075"/>
    <w:rsid w:val="00CB23DC"/>
    <w:rsid w:val="00CB2B2F"/>
    <w:rsid w:val="00CB2F39"/>
    <w:rsid w:val="00CB3146"/>
    <w:rsid w:val="00CB3825"/>
    <w:rsid w:val="00CB3C90"/>
    <w:rsid w:val="00CB3D97"/>
    <w:rsid w:val="00CB441B"/>
    <w:rsid w:val="00CB4610"/>
    <w:rsid w:val="00CB4790"/>
    <w:rsid w:val="00CB48BA"/>
    <w:rsid w:val="00CB4D67"/>
    <w:rsid w:val="00CB53B8"/>
    <w:rsid w:val="00CB5B12"/>
    <w:rsid w:val="00CB60DC"/>
    <w:rsid w:val="00CB657D"/>
    <w:rsid w:val="00CB6951"/>
    <w:rsid w:val="00CB6CF5"/>
    <w:rsid w:val="00CB716E"/>
    <w:rsid w:val="00CB735F"/>
    <w:rsid w:val="00CB79D7"/>
    <w:rsid w:val="00CB7DF0"/>
    <w:rsid w:val="00CC0098"/>
    <w:rsid w:val="00CC0AD4"/>
    <w:rsid w:val="00CC0CA3"/>
    <w:rsid w:val="00CC0E55"/>
    <w:rsid w:val="00CC1067"/>
    <w:rsid w:val="00CC10B9"/>
    <w:rsid w:val="00CC119B"/>
    <w:rsid w:val="00CC14FD"/>
    <w:rsid w:val="00CC1B31"/>
    <w:rsid w:val="00CC1B57"/>
    <w:rsid w:val="00CC1D9D"/>
    <w:rsid w:val="00CC1F4D"/>
    <w:rsid w:val="00CC2D5B"/>
    <w:rsid w:val="00CC3D22"/>
    <w:rsid w:val="00CC4053"/>
    <w:rsid w:val="00CC4173"/>
    <w:rsid w:val="00CC4A0D"/>
    <w:rsid w:val="00CC52CB"/>
    <w:rsid w:val="00CC5349"/>
    <w:rsid w:val="00CC559A"/>
    <w:rsid w:val="00CC5715"/>
    <w:rsid w:val="00CC5D84"/>
    <w:rsid w:val="00CC697D"/>
    <w:rsid w:val="00CD01B8"/>
    <w:rsid w:val="00CD045E"/>
    <w:rsid w:val="00CD085E"/>
    <w:rsid w:val="00CD0F25"/>
    <w:rsid w:val="00CD10F0"/>
    <w:rsid w:val="00CD1250"/>
    <w:rsid w:val="00CD164C"/>
    <w:rsid w:val="00CD18AE"/>
    <w:rsid w:val="00CD1BCB"/>
    <w:rsid w:val="00CD1C59"/>
    <w:rsid w:val="00CD21A5"/>
    <w:rsid w:val="00CD27B4"/>
    <w:rsid w:val="00CD2BE1"/>
    <w:rsid w:val="00CD2D46"/>
    <w:rsid w:val="00CD3577"/>
    <w:rsid w:val="00CD3AA4"/>
    <w:rsid w:val="00CD4473"/>
    <w:rsid w:val="00CD571C"/>
    <w:rsid w:val="00CD5FA9"/>
    <w:rsid w:val="00CD6599"/>
    <w:rsid w:val="00CD6712"/>
    <w:rsid w:val="00CD7739"/>
    <w:rsid w:val="00CD7F13"/>
    <w:rsid w:val="00CE0536"/>
    <w:rsid w:val="00CE096D"/>
    <w:rsid w:val="00CE0EBD"/>
    <w:rsid w:val="00CE10EF"/>
    <w:rsid w:val="00CE18A8"/>
    <w:rsid w:val="00CE197D"/>
    <w:rsid w:val="00CE1A04"/>
    <w:rsid w:val="00CE1C43"/>
    <w:rsid w:val="00CE1F44"/>
    <w:rsid w:val="00CE2638"/>
    <w:rsid w:val="00CE283D"/>
    <w:rsid w:val="00CE33F1"/>
    <w:rsid w:val="00CE37EC"/>
    <w:rsid w:val="00CE3A64"/>
    <w:rsid w:val="00CE3A72"/>
    <w:rsid w:val="00CE3AE2"/>
    <w:rsid w:val="00CE3D0A"/>
    <w:rsid w:val="00CE41BE"/>
    <w:rsid w:val="00CE4248"/>
    <w:rsid w:val="00CE4BBB"/>
    <w:rsid w:val="00CE4C8B"/>
    <w:rsid w:val="00CE4EDC"/>
    <w:rsid w:val="00CE503F"/>
    <w:rsid w:val="00CE5624"/>
    <w:rsid w:val="00CE5BB6"/>
    <w:rsid w:val="00CE6064"/>
    <w:rsid w:val="00CE61B0"/>
    <w:rsid w:val="00CE67D2"/>
    <w:rsid w:val="00CE6D9A"/>
    <w:rsid w:val="00CE764E"/>
    <w:rsid w:val="00CE7A5B"/>
    <w:rsid w:val="00CE7A7A"/>
    <w:rsid w:val="00CE7AE6"/>
    <w:rsid w:val="00CF0317"/>
    <w:rsid w:val="00CF0C99"/>
    <w:rsid w:val="00CF0CFA"/>
    <w:rsid w:val="00CF0D2B"/>
    <w:rsid w:val="00CF11AF"/>
    <w:rsid w:val="00CF1518"/>
    <w:rsid w:val="00CF160D"/>
    <w:rsid w:val="00CF1B73"/>
    <w:rsid w:val="00CF1E45"/>
    <w:rsid w:val="00CF21F6"/>
    <w:rsid w:val="00CF243F"/>
    <w:rsid w:val="00CF25EE"/>
    <w:rsid w:val="00CF279D"/>
    <w:rsid w:val="00CF2B18"/>
    <w:rsid w:val="00CF3286"/>
    <w:rsid w:val="00CF3500"/>
    <w:rsid w:val="00CF36B9"/>
    <w:rsid w:val="00CF414D"/>
    <w:rsid w:val="00CF4CC7"/>
    <w:rsid w:val="00CF5183"/>
    <w:rsid w:val="00CF540D"/>
    <w:rsid w:val="00CF55A4"/>
    <w:rsid w:val="00CF61D6"/>
    <w:rsid w:val="00CF6221"/>
    <w:rsid w:val="00CF6274"/>
    <w:rsid w:val="00CF6508"/>
    <w:rsid w:val="00CF6C39"/>
    <w:rsid w:val="00CF6C66"/>
    <w:rsid w:val="00CF7441"/>
    <w:rsid w:val="00CF7AA9"/>
    <w:rsid w:val="00CF7E8D"/>
    <w:rsid w:val="00CF7F56"/>
    <w:rsid w:val="00D00DCA"/>
    <w:rsid w:val="00D010E1"/>
    <w:rsid w:val="00D014E0"/>
    <w:rsid w:val="00D01985"/>
    <w:rsid w:val="00D01C5F"/>
    <w:rsid w:val="00D01F91"/>
    <w:rsid w:val="00D02410"/>
    <w:rsid w:val="00D025E8"/>
    <w:rsid w:val="00D025F5"/>
    <w:rsid w:val="00D0290A"/>
    <w:rsid w:val="00D02B28"/>
    <w:rsid w:val="00D02F60"/>
    <w:rsid w:val="00D03E5B"/>
    <w:rsid w:val="00D041BF"/>
    <w:rsid w:val="00D04993"/>
    <w:rsid w:val="00D04D3C"/>
    <w:rsid w:val="00D04E47"/>
    <w:rsid w:val="00D04F6B"/>
    <w:rsid w:val="00D05222"/>
    <w:rsid w:val="00D053AB"/>
    <w:rsid w:val="00D05462"/>
    <w:rsid w:val="00D05B88"/>
    <w:rsid w:val="00D05DC5"/>
    <w:rsid w:val="00D065FB"/>
    <w:rsid w:val="00D067DD"/>
    <w:rsid w:val="00D068A3"/>
    <w:rsid w:val="00D0708A"/>
    <w:rsid w:val="00D07176"/>
    <w:rsid w:val="00D07340"/>
    <w:rsid w:val="00D076D5"/>
    <w:rsid w:val="00D07891"/>
    <w:rsid w:val="00D07A70"/>
    <w:rsid w:val="00D07E57"/>
    <w:rsid w:val="00D07FA7"/>
    <w:rsid w:val="00D10269"/>
    <w:rsid w:val="00D105DB"/>
    <w:rsid w:val="00D10A85"/>
    <w:rsid w:val="00D10C3D"/>
    <w:rsid w:val="00D10FE3"/>
    <w:rsid w:val="00D10FFC"/>
    <w:rsid w:val="00D116B8"/>
    <w:rsid w:val="00D11961"/>
    <w:rsid w:val="00D11992"/>
    <w:rsid w:val="00D12951"/>
    <w:rsid w:val="00D12C38"/>
    <w:rsid w:val="00D12F97"/>
    <w:rsid w:val="00D13C48"/>
    <w:rsid w:val="00D1434D"/>
    <w:rsid w:val="00D147C9"/>
    <w:rsid w:val="00D147D4"/>
    <w:rsid w:val="00D14F41"/>
    <w:rsid w:val="00D15466"/>
    <w:rsid w:val="00D1547C"/>
    <w:rsid w:val="00D15C28"/>
    <w:rsid w:val="00D15C8E"/>
    <w:rsid w:val="00D15DA8"/>
    <w:rsid w:val="00D1610A"/>
    <w:rsid w:val="00D16180"/>
    <w:rsid w:val="00D163C7"/>
    <w:rsid w:val="00D165BB"/>
    <w:rsid w:val="00D16708"/>
    <w:rsid w:val="00D167E9"/>
    <w:rsid w:val="00D16936"/>
    <w:rsid w:val="00D16CB7"/>
    <w:rsid w:val="00D16DE0"/>
    <w:rsid w:val="00D16E24"/>
    <w:rsid w:val="00D16F1F"/>
    <w:rsid w:val="00D170D1"/>
    <w:rsid w:val="00D20143"/>
    <w:rsid w:val="00D203B7"/>
    <w:rsid w:val="00D21253"/>
    <w:rsid w:val="00D216CD"/>
    <w:rsid w:val="00D21752"/>
    <w:rsid w:val="00D218DA"/>
    <w:rsid w:val="00D21A13"/>
    <w:rsid w:val="00D21AA2"/>
    <w:rsid w:val="00D2202C"/>
    <w:rsid w:val="00D221EC"/>
    <w:rsid w:val="00D22214"/>
    <w:rsid w:val="00D229AF"/>
    <w:rsid w:val="00D22CC5"/>
    <w:rsid w:val="00D22D4D"/>
    <w:rsid w:val="00D22DC9"/>
    <w:rsid w:val="00D23589"/>
    <w:rsid w:val="00D23769"/>
    <w:rsid w:val="00D237BA"/>
    <w:rsid w:val="00D23CC7"/>
    <w:rsid w:val="00D2454E"/>
    <w:rsid w:val="00D24675"/>
    <w:rsid w:val="00D24686"/>
    <w:rsid w:val="00D24745"/>
    <w:rsid w:val="00D24F2A"/>
    <w:rsid w:val="00D2526A"/>
    <w:rsid w:val="00D2533D"/>
    <w:rsid w:val="00D257C5"/>
    <w:rsid w:val="00D259D3"/>
    <w:rsid w:val="00D25A5B"/>
    <w:rsid w:val="00D265A0"/>
    <w:rsid w:val="00D27173"/>
    <w:rsid w:val="00D27550"/>
    <w:rsid w:val="00D277DC"/>
    <w:rsid w:val="00D30345"/>
    <w:rsid w:val="00D30379"/>
    <w:rsid w:val="00D3057E"/>
    <w:rsid w:val="00D308E3"/>
    <w:rsid w:val="00D30E71"/>
    <w:rsid w:val="00D311F1"/>
    <w:rsid w:val="00D31341"/>
    <w:rsid w:val="00D3226C"/>
    <w:rsid w:val="00D32C5B"/>
    <w:rsid w:val="00D32CE1"/>
    <w:rsid w:val="00D33369"/>
    <w:rsid w:val="00D339A1"/>
    <w:rsid w:val="00D33EF0"/>
    <w:rsid w:val="00D341D6"/>
    <w:rsid w:val="00D343AF"/>
    <w:rsid w:val="00D348F1"/>
    <w:rsid w:val="00D34D12"/>
    <w:rsid w:val="00D34F3F"/>
    <w:rsid w:val="00D3510A"/>
    <w:rsid w:val="00D353EE"/>
    <w:rsid w:val="00D359B6"/>
    <w:rsid w:val="00D35AD0"/>
    <w:rsid w:val="00D35D3E"/>
    <w:rsid w:val="00D35F29"/>
    <w:rsid w:val="00D3641F"/>
    <w:rsid w:val="00D36893"/>
    <w:rsid w:val="00D37145"/>
    <w:rsid w:val="00D37AC4"/>
    <w:rsid w:val="00D37F84"/>
    <w:rsid w:val="00D40337"/>
    <w:rsid w:val="00D40717"/>
    <w:rsid w:val="00D40B0B"/>
    <w:rsid w:val="00D40D02"/>
    <w:rsid w:val="00D4127B"/>
    <w:rsid w:val="00D412FC"/>
    <w:rsid w:val="00D41A04"/>
    <w:rsid w:val="00D41A95"/>
    <w:rsid w:val="00D41C81"/>
    <w:rsid w:val="00D42219"/>
    <w:rsid w:val="00D422B7"/>
    <w:rsid w:val="00D425E7"/>
    <w:rsid w:val="00D430CB"/>
    <w:rsid w:val="00D431EE"/>
    <w:rsid w:val="00D4380B"/>
    <w:rsid w:val="00D43DB8"/>
    <w:rsid w:val="00D43DBE"/>
    <w:rsid w:val="00D45F10"/>
    <w:rsid w:val="00D465D0"/>
    <w:rsid w:val="00D46A61"/>
    <w:rsid w:val="00D46A7E"/>
    <w:rsid w:val="00D46CA4"/>
    <w:rsid w:val="00D46CEC"/>
    <w:rsid w:val="00D470B4"/>
    <w:rsid w:val="00D47A0D"/>
    <w:rsid w:val="00D47B5F"/>
    <w:rsid w:val="00D47EC5"/>
    <w:rsid w:val="00D50087"/>
    <w:rsid w:val="00D50FE9"/>
    <w:rsid w:val="00D51110"/>
    <w:rsid w:val="00D513F7"/>
    <w:rsid w:val="00D5161F"/>
    <w:rsid w:val="00D52239"/>
    <w:rsid w:val="00D52452"/>
    <w:rsid w:val="00D527AF"/>
    <w:rsid w:val="00D5291D"/>
    <w:rsid w:val="00D52E94"/>
    <w:rsid w:val="00D532A3"/>
    <w:rsid w:val="00D53479"/>
    <w:rsid w:val="00D53765"/>
    <w:rsid w:val="00D53CBB"/>
    <w:rsid w:val="00D53CF8"/>
    <w:rsid w:val="00D53DFA"/>
    <w:rsid w:val="00D54126"/>
    <w:rsid w:val="00D54350"/>
    <w:rsid w:val="00D54363"/>
    <w:rsid w:val="00D551F7"/>
    <w:rsid w:val="00D557EA"/>
    <w:rsid w:val="00D55872"/>
    <w:rsid w:val="00D563D0"/>
    <w:rsid w:val="00D56544"/>
    <w:rsid w:val="00D56659"/>
    <w:rsid w:val="00D56CCC"/>
    <w:rsid w:val="00D5723B"/>
    <w:rsid w:val="00D573F2"/>
    <w:rsid w:val="00D60134"/>
    <w:rsid w:val="00D6017C"/>
    <w:rsid w:val="00D604F3"/>
    <w:rsid w:val="00D60F4F"/>
    <w:rsid w:val="00D61390"/>
    <w:rsid w:val="00D614BA"/>
    <w:rsid w:val="00D61838"/>
    <w:rsid w:val="00D61B88"/>
    <w:rsid w:val="00D61DBE"/>
    <w:rsid w:val="00D620B1"/>
    <w:rsid w:val="00D6267C"/>
    <w:rsid w:val="00D626FF"/>
    <w:rsid w:val="00D62809"/>
    <w:rsid w:val="00D6292A"/>
    <w:rsid w:val="00D62A23"/>
    <w:rsid w:val="00D62DD3"/>
    <w:rsid w:val="00D62F82"/>
    <w:rsid w:val="00D6316C"/>
    <w:rsid w:val="00D633E2"/>
    <w:rsid w:val="00D638BB"/>
    <w:rsid w:val="00D63A89"/>
    <w:rsid w:val="00D63CCB"/>
    <w:rsid w:val="00D640CC"/>
    <w:rsid w:val="00D64BDA"/>
    <w:rsid w:val="00D64F98"/>
    <w:rsid w:val="00D65D7C"/>
    <w:rsid w:val="00D66911"/>
    <w:rsid w:val="00D66CEB"/>
    <w:rsid w:val="00D67306"/>
    <w:rsid w:val="00D67497"/>
    <w:rsid w:val="00D67D2E"/>
    <w:rsid w:val="00D67E44"/>
    <w:rsid w:val="00D700F9"/>
    <w:rsid w:val="00D701D7"/>
    <w:rsid w:val="00D70936"/>
    <w:rsid w:val="00D70AE5"/>
    <w:rsid w:val="00D70BA0"/>
    <w:rsid w:val="00D7124E"/>
    <w:rsid w:val="00D715FF"/>
    <w:rsid w:val="00D71C17"/>
    <w:rsid w:val="00D71F59"/>
    <w:rsid w:val="00D7241B"/>
    <w:rsid w:val="00D72912"/>
    <w:rsid w:val="00D72E32"/>
    <w:rsid w:val="00D733FC"/>
    <w:rsid w:val="00D735CF"/>
    <w:rsid w:val="00D74166"/>
    <w:rsid w:val="00D74327"/>
    <w:rsid w:val="00D744C5"/>
    <w:rsid w:val="00D74D63"/>
    <w:rsid w:val="00D74E56"/>
    <w:rsid w:val="00D74F85"/>
    <w:rsid w:val="00D779E7"/>
    <w:rsid w:val="00D800BC"/>
    <w:rsid w:val="00D80781"/>
    <w:rsid w:val="00D8079D"/>
    <w:rsid w:val="00D80943"/>
    <w:rsid w:val="00D80D0A"/>
    <w:rsid w:val="00D81997"/>
    <w:rsid w:val="00D819E4"/>
    <w:rsid w:val="00D822E5"/>
    <w:rsid w:val="00D8255C"/>
    <w:rsid w:val="00D82BF6"/>
    <w:rsid w:val="00D8303F"/>
    <w:rsid w:val="00D832D9"/>
    <w:rsid w:val="00D83919"/>
    <w:rsid w:val="00D83A72"/>
    <w:rsid w:val="00D83C75"/>
    <w:rsid w:val="00D84200"/>
    <w:rsid w:val="00D84662"/>
    <w:rsid w:val="00D84693"/>
    <w:rsid w:val="00D8492F"/>
    <w:rsid w:val="00D84B55"/>
    <w:rsid w:val="00D85766"/>
    <w:rsid w:val="00D858DE"/>
    <w:rsid w:val="00D869EC"/>
    <w:rsid w:val="00D86C93"/>
    <w:rsid w:val="00D86EB9"/>
    <w:rsid w:val="00D878DA"/>
    <w:rsid w:val="00D8799F"/>
    <w:rsid w:val="00D879FF"/>
    <w:rsid w:val="00D905E2"/>
    <w:rsid w:val="00D90634"/>
    <w:rsid w:val="00D90B61"/>
    <w:rsid w:val="00D9156A"/>
    <w:rsid w:val="00D91847"/>
    <w:rsid w:val="00D918E3"/>
    <w:rsid w:val="00D91AAC"/>
    <w:rsid w:val="00D92223"/>
    <w:rsid w:val="00D923B3"/>
    <w:rsid w:val="00D92507"/>
    <w:rsid w:val="00D93046"/>
    <w:rsid w:val="00D937CA"/>
    <w:rsid w:val="00D9397A"/>
    <w:rsid w:val="00D94577"/>
    <w:rsid w:val="00D94724"/>
    <w:rsid w:val="00D94750"/>
    <w:rsid w:val="00D948B5"/>
    <w:rsid w:val="00D94A7D"/>
    <w:rsid w:val="00D94C4B"/>
    <w:rsid w:val="00D94D84"/>
    <w:rsid w:val="00D94DD2"/>
    <w:rsid w:val="00D94F3E"/>
    <w:rsid w:val="00D95601"/>
    <w:rsid w:val="00D95AC7"/>
    <w:rsid w:val="00D96097"/>
    <w:rsid w:val="00D961D8"/>
    <w:rsid w:val="00D965EB"/>
    <w:rsid w:val="00D96A9A"/>
    <w:rsid w:val="00D96C42"/>
    <w:rsid w:val="00D9766E"/>
    <w:rsid w:val="00DA0012"/>
    <w:rsid w:val="00DA0467"/>
    <w:rsid w:val="00DA08CA"/>
    <w:rsid w:val="00DA0B5E"/>
    <w:rsid w:val="00DA169D"/>
    <w:rsid w:val="00DA1A4A"/>
    <w:rsid w:val="00DA1CCC"/>
    <w:rsid w:val="00DA1DBC"/>
    <w:rsid w:val="00DA1E46"/>
    <w:rsid w:val="00DA1F98"/>
    <w:rsid w:val="00DA2002"/>
    <w:rsid w:val="00DA25C6"/>
    <w:rsid w:val="00DA2F85"/>
    <w:rsid w:val="00DA3866"/>
    <w:rsid w:val="00DA3A34"/>
    <w:rsid w:val="00DA45FD"/>
    <w:rsid w:val="00DA4A6A"/>
    <w:rsid w:val="00DA4B95"/>
    <w:rsid w:val="00DA4C2F"/>
    <w:rsid w:val="00DA5084"/>
    <w:rsid w:val="00DA516B"/>
    <w:rsid w:val="00DA5235"/>
    <w:rsid w:val="00DA53B8"/>
    <w:rsid w:val="00DA65A9"/>
    <w:rsid w:val="00DA68EC"/>
    <w:rsid w:val="00DA6B74"/>
    <w:rsid w:val="00DA6D87"/>
    <w:rsid w:val="00DA7823"/>
    <w:rsid w:val="00DA78C2"/>
    <w:rsid w:val="00DA7B72"/>
    <w:rsid w:val="00DA7CE3"/>
    <w:rsid w:val="00DA7EEA"/>
    <w:rsid w:val="00DA7F3B"/>
    <w:rsid w:val="00DB043D"/>
    <w:rsid w:val="00DB09A9"/>
    <w:rsid w:val="00DB09B9"/>
    <w:rsid w:val="00DB0A96"/>
    <w:rsid w:val="00DB0E31"/>
    <w:rsid w:val="00DB106B"/>
    <w:rsid w:val="00DB15B3"/>
    <w:rsid w:val="00DB1693"/>
    <w:rsid w:val="00DB1CB6"/>
    <w:rsid w:val="00DB1D21"/>
    <w:rsid w:val="00DB209E"/>
    <w:rsid w:val="00DB2582"/>
    <w:rsid w:val="00DB2688"/>
    <w:rsid w:val="00DB2782"/>
    <w:rsid w:val="00DB2848"/>
    <w:rsid w:val="00DB2C32"/>
    <w:rsid w:val="00DB2FFA"/>
    <w:rsid w:val="00DB3109"/>
    <w:rsid w:val="00DB3737"/>
    <w:rsid w:val="00DB3A38"/>
    <w:rsid w:val="00DB3CCA"/>
    <w:rsid w:val="00DB3FE8"/>
    <w:rsid w:val="00DB4152"/>
    <w:rsid w:val="00DB453B"/>
    <w:rsid w:val="00DB4A33"/>
    <w:rsid w:val="00DB4BDF"/>
    <w:rsid w:val="00DB57AF"/>
    <w:rsid w:val="00DB5947"/>
    <w:rsid w:val="00DB63D9"/>
    <w:rsid w:val="00DB6971"/>
    <w:rsid w:val="00DB6991"/>
    <w:rsid w:val="00DB69DB"/>
    <w:rsid w:val="00DB6CF4"/>
    <w:rsid w:val="00DB6F1A"/>
    <w:rsid w:val="00DB727D"/>
    <w:rsid w:val="00DB783D"/>
    <w:rsid w:val="00DB7F3D"/>
    <w:rsid w:val="00DC003A"/>
    <w:rsid w:val="00DC01A4"/>
    <w:rsid w:val="00DC089A"/>
    <w:rsid w:val="00DC0E8A"/>
    <w:rsid w:val="00DC1001"/>
    <w:rsid w:val="00DC1027"/>
    <w:rsid w:val="00DC16F3"/>
    <w:rsid w:val="00DC17FD"/>
    <w:rsid w:val="00DC1AE0"/>
    <w:rsid w:val="00DC234B"/>
    <w:rsid w:val="00DC2696"/>
    <w:rsid w:val="00DC2CE0"/>
    <w:rsid w:val="00DC2FC1"/>
    <w:rsid w:val="00DC3613"/>
    <w:rsid w:val="00DC3979"/>
    <w:rsid w:val="00DC3D34"/>
    <w:rsid w:val="00DC4139"/>
    <w:rsid w:val="00DC421A"/>
    <w:rsid w:val="00DC43A2"/>
    <w:rsid w:val="00DC4DC0"/>
    <w:rsid w:val="00DC4EE8"/>
    <w:rsid w:val="00DC538F"/>
    <w:rsid w:val="00DC5F67"/>
    <w:rsid w:val="00DC60E4"/>
    <w:rsid w:val="00DC6311"/>
    <w:rsid w:val="00DC64A0"/>
    <w:rsid w:val="00DC64C3"/>
    <w:rsid w:val="00DC64E5"/>
    <w:rsid w:val="00DC64E9"/>
    <w:rsid w:val="00DC6915"/>
    <w:rsid w:val="00DC6B4B"/>
    <w:rsid w:val="00DC70C5"/>
    <w:rsid w:val="00DC72A6"/>
    <w:rsid w:val="00DC77E4"/>
    <w:rsid w:val="00DC7F40"/>
    <w:rsid w:val="00DC7FB1"/>
    <w:rsid w:val="00DD01DA"/>
    <w:rsid w:val="00DD0D6F"/>
    <w:rsid w:val="00DD0F83"/>
    <w:rsid w:val="00DD0FE9"/>
    <w:rsid w:val="00DD10A5"/>
    <w:rsid w:val="00DD1447"/>
    <w:rsid w:val="00DD195C"/>
    <w:rsid w:val="00DD2606"/>
    <w:rsid w:val="00DD27F7"/>
    <w:rsid w:val="00DD2841"/>
    <w:rsid w:val="00DD2965"/>
    <w:rsid w:val="00DD2D2A"/>
    <w:rsid w:val="00DD34E1"/>
    <w:rsid w:val="00DD371C"/>
    <w:rsid w:val="00DD387B"/>
    <w:rsid w:val="00DD3BAD"/>
    <w:rsid w:val="00DD3BE1"/>
    <w:rsid w:val="00DD3E3C"/>
    <w:rsid w:val="00DD4D40"/>
    <w:rsid w:val="00DD52C1"/>
    <w:rsid w:val="00DD5323"/>
    <w:rsid w:val="00DD538D"/>
    <w:rsid w:val="00DD5B3B"/>
    <w:rsid w:val="00DD5BD4"/>
    <w:rsid w:val="00DD5DD6"/>
    <w:rsid w:val="00DD5FF6"/>
    <w:rsid w:val="00DD6033"/>
    <w:rsid w:val="00DD6795"/>
    <w:rsid w:val="00DD6B70"/>
    <w:rsid w:val="00DD6B9C"/>
    <w:rsid w:val="00DD6E97"/>
    <w:rsid w:val="00DD7772"/>
    <w:rsid w:val="00DD7A9F"/>
    <w:rsid w:val="00DD7BFD"/>
    <w:rsid w:val="00DE012A"/>
    <w:rsid w:val="00DE038A"/>
    <w:rsid w:val="00DE04B2"/>
    <w:rsid w:val="00DE0F9C"/>
    <w:rsid w:val="00DE1188"/>
    <w:rsid w:val="00DE1722"/>
    <w:rsid w:val="00DE1B61"/>
    <w:rsid w:val="00DE1C42"/>
    <w:rsid w:val="00DE22E8"/>
    <w:rsid w:val="00DE32E1"/>
    <w:rsid w:val="00DE3420"/>
    <w:rsid w:val="00DE349C"/>
    <w:rsid w:val="00DE3BEE"/>
    <w:rsid w:val="00DE3E07"/>
    <w:rsid w:val="00DE40FC"/>
    <w:rsid w:val="00DE426A"/>
    <w:rsid w:val="00DE42C4"/>
    <w:rsid w:val="00DE42E4"/>
    <w:rsid w:val="00DE49D6"/>
    <w:rsid w:val="00DE4B8E"/>
    <w:rsid w:val="00DE50B4"/>
    <w:rsid w:val="00DE5174"/>
    <w:rsid w:val="00DE549B"/>
    <w:rsid w:val="00DE58FD"/>
    <w:rsid w:val="00DE5A68"/>
    <w:rsid w:val="00DE689D"/>
    <w:rsid w:val="00DE6E85"/>
    <w:rsid w:val="00DE71A6"/>
    <w:rsid w:val="00DE777E"/>
    <w:rsid w:val="00DE7881"/>
    <w:rsid w:val="00DE7B9D"/>
    <w:rsid w:val="00DE7FD5"/>
    <w:rsid w:val="00DF078E"/>
    <w:rsid w:val="00DF0842"/>
    <w:rsid w:val="00DF084C"/>
    <w:rsid w:val="00DF0CB9"/>
    <w:rsid w:val="00DF0DD5"/>
    <w:rsid w:val="00DF1228"/>
    <w:rsid w:val="00DF138E"/>
    <w:rsid w:val="00DF1608"/>
    <w:rsid w:val="00DF19CB"/>
    <w:rsid w:val="00DF1FAC"/>
    <w:rsid w:val="00DF2A9C"/>
    <w:rsid w:val="00DF2B01"/>
    <w:rsid w:val="00DF312F"/>
    <w:rsid w:val="00DF337F"/>
    <w:rsid w:val="00DF360E"/>
    <w:rsid w:val="00DF363E"/>
    <w:rsid w:val="00DF3667"/>
    <w:rsid w:val="00DF36A0"/>
    <w:rsid w:val="00DF3C6F"/>
    <w:rsid w:val="00DF4541"/>
    <w:rsid w:val="00DF475C"/>
    <w:rsid w:val="00DF4BF4"/>
    <w:rsid w:val="00DF4CDB"/>
    <w:rsid w:val="00DF4FD9"/>
    <w:rsid w:val="00DF51CC"/>
    <w:rsid w:val="00DF56B2"/>
    <w:rsid w:val="00DF5918"/>
    <w:rsid w:val="00DF5F2E"/>
    <w:rsid w:val="00DF63C0"/>
    <w:rsid w:val="00DF63CA"/>
    <w:rsid w:val="00DF69EC"/>
    <w:rsid w:val="00DF6A2E"/>
    <w:rsid w:val="00DF6C77"/>
    <w:rsid w:val="00DF6F46"/>
    <w:rsid w:val="00DF75F8"/>
    <w:rsid w:val="00E00251"/>
    <w:rsid w:val="00E00335"/>
    <w:rsid w:val="00E00419"/>
    <w:rsid w:val="00E0073C"/>
    <w:rsid w:val="00E00AD5"/>
    <w:rsid w:val="00E012D2"/>
    <w:rsid w:val="00E01416"/>
    <w:rsid w:val="00E01A0F"/>
    <w:rsid w:val="00E028BB"/>
    <w:rsid w:val="00E029D9"/>
    <w:rsid w:val="00E02DE9"/>
    <w:rsid w:val="00E034E2"/>
    <w:rsid w:val="00E04065"/>
    <w:rsid w:val="00E0464D"/>
    <w:rsid w:val="00E04E8C"/>
    <w:rsid w:val="00E0504C"/>
    <w:rsid w:val="00E054C8"/>
    <w:rsid w:val="00E0587A"/>
    <w:rsid w:val="00E05B48"/>
    <w:rsid w:val="00E05BFA"/>
    <w:rsid w:val="00E05DFD"/>
    <w:rsid w:val="00E064E0"/>
    <w:rsid w:val="00E06656"/>
    <w:rsid w:val="00E06F8D"/>
    <w:rsid w:val="00E075C2"/>
    <w:rsid w:val="00E1045D"/>
    <w:rsid w:val="00E11021"/>
    <w:rsid w:val="00E1115E"/>
    <w:rsid w:val="00E11FC6"/>
    <w:rsid w:val="00E121BE"/>
    <w:rsid w:val="00E1279D"/>
    <w:rsid w:val="00E12828"/>
    <w:rsid w:val="00E12830"/>
    <w:rsid w:val="00E12A58"/>
    <w:rsid w:val="00E13281"/>
    <w:rsid w:val="00E13AD9"/>
    <w:rsid w:val="00E13C87"/>
    <w:rsid w:val="00E14403"/>
    <w:rsid w:val="00E14478"/>
    <w:rsid w:val="00E144C2"/>
    <w:rsid w:val="00E14E17"/>
    <w:rsid w:val="00E14FEB"/>
    <w:rsid w:val="00E15369"/>
    <w:rsid w:val="00E15A96"/>
    <w:rsid w:val="00E16023"/>
    <w:rsid w:val="00E16F82"/>
    <w:rsid w:val="00E17526"/>
    <w:rsid w:val="00E176C5"/>
    <w:rsid w:val="00E17750"/>
    <w:rsid w:val="00E17983"/>
    <w:rsid w:val="00E17A8C"/>
    <w:rsid w:val="00E17B1D"/>
    <w:rsid w:val="00E17EAE"/>
    <w:rsid w:val="00E20469"/>
    <w:rsid w:val="00E20BFB"/>
    <w:rsid w:val="00E219E6"/>
    <w:rsid w:val="00E21E75"/>
    <w:rsid w:val="00E22B86"/>
    <w:rsid w:val="00E22CE4"/>
    <w:rsid w:val="00E23A16"/>
    <w:rsid w:val="00E23A81"/>
    <w:rsid w:val="00E2426A"/>
    <w:rsid w:val="00E243CA"/>
    <w:rsid w:val="00E24570"/>
    <w:rsid w:val="00E24840"/>
    <w:rsid w:val="00E249DD"/>
    <w:rsid w:val="00E24D7C"/>
    <w:rsid w:val="00E25656"/>
    <w:rsid w:val="00E258A8"/>
    <w:rsid w:val="00E25BD3"/>
    <w:rsid w:val="00E25DDA"/>
    <w:rsid w:val="00E25F52"/>
    <w:rsid w:val="00E260E8"/>
    <w:rsid w:val="00E26492"/>
    <w:rsid w:val="00E26AA7"/>
    <w:rsid w:val="00E26AB8"/>
    <w:rsid w:val="00E2704E"/>
    <w:rsid w:val="00E30039"/>
    <w:rsid w:val="00E30530"/>
    <w:rsid w:val="00E307CF"/>
    <w:rsid w:val="00E30F4C"/>
    <w:rsid w:val="00E31648"/>
    <w:rsid w:val="00E31BEF"/>
    <w:rsid w:val="00E3260A"/>
    <w:rsid w:val="00E326B2"/>
    <w:rsid w:val="00E332BE"/>
    <w:rsid w:val="00E338C8"/>
    <w:rsid w:val="00E338EB"/>
    <w:rsid w:val="00E33F60"/>
    <w:rsid w:val="00E34D39"/>
    <w:rsid w:val="00E34F3E"/>
    <w:rsid w:val="00E350BB"/>
    <w:rsid w:val="00E35296"/>
    <w:rsid w:val="00E35798"/>
    <w:rsid w:val="00E35810"/>
    <w:rsid w:val="00E35EFA"/>
    <w:rsid w:val="00E360B4"/>
    <w:rsid w:val="00E364B6"/>
    <w:rsid w:val="00E36692"/>
    <w:rsid w:val="00E36ECC"/>
    <w:rsid w:val="00E371F6"/>
    <w:rsid w:val="00E3734A"/>
    <w:rsid w:val="00E37565"/>
    <w:rsid w:val="00E37C41"/>
    <w:rsid w:val="00E40413"/>
    <w:rsid w:val="00E4060F"/>
    <w:rsid w:val="00E40875"/>
    <w:rsid w:val="00E4097B"/>
    <w:rsid w:val="00E40980"/>
    <w:rsid w:val="00E40EE3"/>
    <w:rsid w:val="00E4124E"/>
    <w:rsid w:val="00E412A8"/>
    <w:rsid w:val="00E414CC"/>
    <w:rsid w:val="00E41832"/>
    <w:rsid w:val="00E41FC8"/>
    <w:rsid w:val="00E421DF"/>
    <w:rsid w:val="00E42B2F"/>
    <w:rsid w:val="00E43862"/>
    <w:rsid w:val="00E43F69"/>
    <w:rsid w:val="00E4405F"/>
    <w:rsid w:val="00E44300"/>
    <w:rsid w:val="00E44340"/>
    <w:rsid w:val="00E44379"/>
    <w:rsid w:val="00E445E6"/>
    <w:rsid w:val="00E445FE"/>
    <w:rsid w:val="00E44911"/>
    <w:rsid w:val="00E44D8E"/>
    <w:rsid w:val="00E4534D"/>
    <w:rsid w:val="00E454FC"/>
    <w:rsid w:val="00E4592D"/>
    <w:rsid w:val="00E45F2E"/>
    <w:rsid w:val="00E45F58"/>
    <w:rsid w:val="00E45F71"/>
    <w:rsid w:val="00E4623F"/>
    <w:rsid w:val="00E4666B"/>
    <w:rsid w:val="00E468F9"/>
    <w:rsid w:val="00E46C80"/>
    <w:rsid w:val="00E46D10"/>
    <w:rsid w:val="00E4709B"/>
    <w:rsid w:val="00E47189"/>
    <w:rsid w:val="00E47D1F"/>
    <w:rsid w:val="00E50132"/>
    <w:rsid w:val="00E510D7"/>
    <w:rsid w:val="00E51412"/>
    <w:rsid w:val="00E51559"/>
    <w:rsid w:val="00E51FB1"/>
    <w:rsid w:val="00E52030"/>
    <w:rsid w:val="00E521E4"/>
    <w:rsid w:val="00E52484"/>
    <w:rsid w:val="00E524F6"/>
    <w:rsid w:val="00E52938"/>
    <w:rsid w:val="00E52BB3"/>
    <w:rsid w:val="00E52FB4"/>
    <w:rsid w:val="00E53388"/>
    <w:rsid w:val="00E53406"/>
    <w:rsid w:val="00E53B05"/>
    <w:rsid w:val="00E54B33"/>
    <w:rsid w:val="00E54EA8"/>
    <w:rsid w:val="00E5524F"/>
    <w:rsid w:val="00E552D7"/>
    <w:rsid w:val="00E555DA"/>
    <w:rsid w:val="00E55C53"/>
    <w:rsid w:val="00E55CD2"/>
    <w:rsid w:val="00E55DF2"/>
    <w:rsid w:val="00E56585"/>
    <w:rsid w:val="00E565DD"/>
    <w:rsid w:val="00E56D94"/>
    <w:rsid w:val="00E5747C"/>
    <w:rsid w:val="00E577C8"/>
    <w:rsid w:val="00E57A79"/>
    <w:rsid w:val="00E60067"/>
    <w:rsid w:val="00E60481"/>
    <w:rsid w:val="00E6075C"/>
    <w:rsid w:val="00E613FB"/>
    <w:rsid w:val="00E61B75"/>
    <w:rsid w:val="00E61C7D"/>
    <w:rsid w:val="00E62499"/>
    <w:rsid w:val="00E62C51"/>
    <w:rsid w:val="00E62FA6"/>
    <w:rsid w:val="00E631B8"/>
    <w:rsid w:val="00E6361B"/>
    <w:rsid w:val="00E63A28"/>
    <w:rsid w:val="00E63D26"/>
    <w:rsid w:val="00E64100"/>
    <w:rsid w:val="00E645E9"/>
    <w:rsid w:val="00E646CC"/>
    <w:rsid w:val="00E6473B"/>
    <w:rsid w:val="00E65091"/>
    <w:rsid w:val="00E655DD"/>
    <w:rsid w:val="00E656C3"/>
    <w:rsid w:val="00E657D8"/>
    <w:rsid w:val="00E65A66"/>
    <w:rsid w:val="00E661A8"/>
    <w:rsid w:val="00E66F0D"/>
    <w:rsid w:val="00E675B9"/>
    <w:rsid w:val="00E67FFE"/>
    <w:rsid w:val="00E711A3"/>
    <w:rsid w:val="00E713EF"/>
    <w:rsid w:val="00E71487"/>
    <w:rsid w:val="00E7230C"/>
    <w:rsid w:val="00E74CE4"/>
    <w:rsid w:val="00E750CD"/>
    <w:rsid w:val="00E75270"/>
    <w:rsid w:val="00E7536B"/>
    <w:rsid w:val="00E7558A"/>
    <w:rsid w:val="00E75C8E"/>
    <w:rsid w:val="00E761DE"/>
    <w:rsid w:val="00E76D36"/>
    <w:rsid w:val="00E77182"/>
    <w:rsid w:val="00E77DF8"/>
    <w:rsid w:val="00E8046E"/>
    <w:rsid w:val="00E809BC"/>
    <w:rsid w:val="00E80E59"/>
    <w:rsid w:val="00E80F24"/>
    <w:rsid w:val="00E814EA"/>
    <w:rsid w:val="00E81A03"/>
    <w:rsid w:val="00E81AC3"/>
    <w:rsid w:val="00E821FF"/>
    <w:rsid w:val="00E82389"/>
    <w:rsid w:val="00E8296F"/>
    <w:rsid w:val="00E82B5E"/>
    <w:rsid w:val="00E82DA2"/>
    <w:rsid w:val="00E82E0D"/>
    <w:rsid w:val="00E83399"/>
    <w:rsid w:val="00E83A83"/>
    <w:rsid w:val="00E83C80"/>
    <w:rsid w:val="00E83CAF"/>
    <w:rsid w:val="00E844B0"/>
    <w:rsid w:val="00E84769"/>
    <w:rsid w:val="00E84FEE"/>
    <w:rsid w:val="00E8513F"/>
    <w:rsid w:val="00E8518D"/>
    <w:rsid w:val="00E851D5"/>
    <w:rsid w:val="00E85277"/>
    <w:rsid w:val="00E85286"/>
    <w:rsid w:val="00E852F9"/>
    <w:rsid w:val="00E85822"/>
    <w:rsid w:val="00E85A29"/>
    <w:rsid w:val="00E85ECE"/>
    <w:rsid w:val="00E8602B"/>
    <w:rsid w:val="00E86161"/>
    <w:rsid w:val="00E86169"/>
    <w:rsid w:val="00E86B35"/>
    <w:rsid w:val="00E90329"/>
    <w:rsid w:val="00E90642"/>
    <w:rsid w:val="00E90A8F"/>
    <w:rsid w:val="00E90AF9"/>
    <w:rsid w:val="00E913C0"/>
    <w:rsid w:val="00E91630"/>
    <w:rsid w:val="00E91CB1"/>
    <w:rsid w:val="00E92418"/>
    <w:rsid w:val="00E92A4B"/>
    <w:rsid w:val="00E930A4"/>
    <w:rsid w:val="00E9335F"/>
    <w:rsid w:val="00E9337F"/>
    <w:rsid w:val="00E93528"/>
    <w:rsid w:val="00E93DB8"/>
    <w:rsid w:val="00E93DF1"/>
    <w:rsid w:val="00E93E0E"/>
    <w:rsid w:val="00E94559"/>
    <w:rsid w:val="00E9470B"/>
    <w:rsid w:val="00E94B0A"/>
    <w:rsid w:val="00E94C87"/>
    <w:rsid w:val="00E94ECE"/>
    <w:rsid w:val="00E95094"/>
    <w:rsid w:val="00E9577B"/>
    <w:rsid w:val="00E958CF"/>
    <w:rsid w:val="00E95B6A"/>
    <w:rsid w:val="00E95E69"/>
    <w:rsid w:val="00E95FA7"/>
    <w:rsid w:val="00E96168"/>
    <w:rsid w:val="00E96516"/>
    <w:rsid w:val="00E9678F"/>
    <w:rsid w:val="00E96CF1"/>
    <w:rsid w:val="00E976E4"/>
    <w:rsid w:val="00E979AA"/>
    <w:rsid w:val="00EA0CA2"/>
    <w:rsid w:val="00EA180F"/>
    <w:rsid w:val="00EA1833"/>
    <w:rsid w:val="00EA1860"/>
    <w:rsid w:val="00EA18BC"/>
    <w:rsid w:val="00EA253A"/>
    <w:rsid w:val="00EA2939"/>
    <w:rsid w:val="00EA2C1D"/>
    <w:rsid w:val="00EA2D5F"/>
    <w:rsid w:val="00EA30E7"/>
    <w:rsid w:val="00EA3FA6"/>
    <w:rsid w:val="00EA3FE1"/>
    <w:rsid w:val="00EA4250"/>
    <w:rsid w:val="00EA4548"/>
    <w:rsid w:val="00EA5369"/>
    <w:rsid w:val="00EA5599"/>
    <w:rsid w:val="00EA5888"/>
    <w:rsid w:val="00EA5984"/>
    <w:rsid w:val="00EA5AFF"/>
    <w:rsid w:val="00EA5D42"/>
    <w:rsid w:val="00EA5E58"/>
    <w:rsid w:val="00EA5F7D"/>
    <w:rsid w:val="00EA5FA3"/>
    <w:rsid w:val="00EA605E"/>
    <w:rsid w:val="00EA68D0"/>
    <w:rsid w:val="00EA6AE2"/>
    <w:rsid w:val="00EA6CED"/>
    <w:rsid w:val="00EA6FBE"/>
    <w:rsid w:val="00EA70D5"/>
    <w:rsid w:val="00EA735B"/>
    <w:rsid w:val="00EA77DD"/>
    <w:rsid w:val="00EA7DF9"/>
    <w:rsid w:val="00EA7F21"/>
    <w:rsid w:val="00EB0141"/>
    <w:rsid w:val="00EB1057"/>
    <w:rsid w:val="00EB1316"/>
    <w:rsid w:val="00EB16AB"/>
    <w:rsid w:val="00EB1C0D"/>
    <w:rsid w:val="00EB2418"/>
    <w:rsid w:val="00EB2DCB"/>
    <w:rsid w:val="00EB2EED"/>
    <w:rsid w:val="00EB361E"/>
    <w:rsid w:val="00EB3878"/>
    <w:rsid w:val="00EB396B"/>
    <w:rsid w:val="00EB39A2"/>
    <w:rsid w:val="00EB3AC0"/>
    <w:rsid w:val="00EB3D56"/>
    <w:rsid w:val="00EB3E0B"/>
    <w:rsid w:val="00EB3FF4"/>
    <w:rsid w:val="00EB489E"/>
    <w:rsid w:val="00EB490F"/>
    <w:rsid w:val="00EB4FA0"/>
    <w:rsid w:val="00EB4FC4"/>
    <w:rsid w:val="00EB545D"/>
    <w:rsid w:val="00EB559E"/>
    <w:rsid w:val="00EB57CF"/>
    <w:rsid w:val="00EB5A90"/>
    <w:rsid w:val="00EB5ED7"/>
    <w:rsid w:val="00EB5F1E"/>
    <w:rsid w:val="00EB6307"/>
    <w:rsid w:val="00EB6CA6"/>
    <w:rsid w:val="00EB7027"/>
    <w:rsid w:val="00EB71F1"/>
    <w:rsid w:val="00EB73CA"/>
    <w:rsid w:val="00EB7682"/>
    <w:rsid w:val="00EC0706"/>
    <w:rsid w:val="00EC0802"/>
    <w:rsid w:val="00EC0B44"/>
    <w:rsid w:val="00EC16B4"/>
    <w:rsid w:val="00EC1D46"/>
    <w:rsid w:val="00EC236C"/>
    <w:rsid w:val="00EC243C"/>
    <w:rsid w:val="00EC2952"/>
    <w:rsid w:val="00EC2FDD"/>
    <w:rsid w:val="00EC33F9"/>
    <w:rsid w:val="00EC3F70"/>
    <w:rsid w:val="00EC45B0"/>
    <w:rsid w:val="00EC4A7B"/>
    <w:rsid w:val="00EC579D"/>
    <w:rsid w:val="00EC61A9"/>
    <w:rsid w:val="00EC63D5"/>
    <w:rsid w:val="00EC6DA2"/>
    <w:rsid w:val="00EC6DC5"/>
    <w:rsid w:val="00EC7007"/>
    <w:rsid w:val="00EC74D9"/>
    <w:rsid w:val="00ED03EE"/>
    <w:rsid w:val="00ED0593"/>
    <w:rsid w:val="00ED1103"/>
    <w:rsid w:val="00ED12FA"/>
    <w:rsid w:val="00ED1717"/>
    <w:rsid w:val="00ED1953"/>
    <w:rsid w:val="00ED1BB5"/>
    <w:rsid w:val="00ED1C15"/>
    <w:rsid w:val="00ED3849"/>
    <w:rsid w:val="00ED397C"/>
    <w:rsid w:val="00ED3AC6"/>
    <w:rsid w:val="00ED3C57"/>
    <w:rsid w:val="00ED44E9"/>
    <w:rsid w:val="00ED4C4F"/>
    <w:rsid w:val="00ED52AF"/>
    <w:rsid w:val="00ED54BB"/>
    <w:rsid w:val="00ED57C3"/>
    <w:rsid w:val="00ED5EB7"/>
    <w:rsid w:val="00ED67F8"/>
    <w:rsid w:val="00ED6AF2"/>
    <w:rsid w:val="00ED6D6F"/>
    <w:rsid w:val="00ED7171"/>
    <w:rsid w:val="00ED71A8"/>
    <w:rsid w:val="00ED7AF8"/>
    <w:rsid w:val="00EE0068"/>
    <w:rsid w:val="00EE01F8"/>
    <w:rsid w:val="00EE0D2F"/>
    <w:rsid w:val="00EE1015"/>
    <w:rsid w:val="00EE1989"/>
    <w:rsid w:val="00EE199F"/>
    <w:rsid w:val="00EE20B1"/>
    <w:rsid w:val="00EE264C"/>
    <w:rsid w:val="00EE27B3"/>
    <w:rsid w:val="00EE2A96"/>
    <w:rsid w:val="00EE32C2"/>
    <w:rsid w:val="00EE34BA"/>
    <w:rsid w:val="00EE3780"/>
    <w:rsid w:val="00EE3843"/>
    <w:rsid w:val="00EE399F"/>
    <w:rsid w:val="00EE3EEB"/>
    <w:rsid w:val="00EE3F92"/>
    <w:rsid w:val="00EE4051"/>
    <w:rsid w:val="00EE4906"/>
    <w:rsid w:val="00EE4D41"/>
    <w:rsid w:val="00EE51B0"/>
    <w:rsid w:val="00EE5252"/>
    <w:rsid w:val="00EE55F8"/>
    <w:rsid w:val="00EE563D"/>
    <w:rsid w:val="00EE584B"/>
    <w:rsid w:val="00EE58A2"/>
    <w:rsid w:val="00EE5A3C"/>
    <w:rsid w:val="00EE6436"/>
    <w:rsid w:val="00EE6490"/>
    <w:rsid w:val="00EE65F0"/>
    <w:rsid w:val="00EE66E2"/>
    <w:rsid w:val="00EE7434"/>
    <w:rsid w:val="00EE76EE"/>
    <w:rsid w:val="00EE7C09"/>
    <w:rsid w:val="00EE7D87"/>
    <w:rsid w:val="00EF0BD6"/>
    <w:rsid w:val="00EF0C05"/>
    <w:rsid w:val="00EF1339"/>
    <w:rsid w:val="00EF1493"/>
    <w:rsid w:val="00EF1502"/>
    <w:rsid w:val="00EF179A"/>
    <w:rsid w:val="00EF1A3D"/>
    <w:rsid w:val="00EF1C08"/>
    <w:rsid w:val="00EF1CE4"/>
    <w:rsid w:val="00EF2306"/>
    <w:rsid w:val="00EF2508"/>
    <w:rsid w:val="00EF282B"/>
    <w:rsid w:val="00EF29AB"/>
    <w:rsid w:val="00EF2CC7"/>
    <w:rsid w:val="00EF32D6"/>
    <w:rsid w:val="00EF3ADB"/>
    <w:rsid w:val="00EF47ED"/>
    <w:rsid w:val="00EF4820"/>
    <w:rsid w:val="00EF489B"/>
    <w:rsid w:val="00EF4E5D"/>
    <w:rsid w:val="00EF52AD"/>
    <w:rsid w:val="00EF5556"/>
    <w:rsid w:val="00EF558C"/>
    <w:rsid w:val="00EF5742"/>
    <w:rsid w:val="00EF5764"/>
    <w:rsid w:val="00EF5F43"/>
    <w:rsid w:val="00EF605C"/>
    <w:rsid w:val="00EF666C"/>
    <w:rsid w:val="00EF66F4"/>
    <w:rsid w:val="00EF707C"/>
    <w:rsid w:val="00EF777B"/>
    <w:rsid w:val="00EF7D0F"/>
    <w:rsid w:val="00F001E1"/>
    <w:rsid w:val="00F00B37"/>
    <w:rsid w:val="00F01C34"/>
    <w:rsid w:val="00F01E63"/>
    <w:rsid w:val="00F01F66"/>
    <w:rsid w:val="00F02246"/>
    <w:rsid w:val="00F027BA"/>
    <w:rsid w:val="00F02D3C"/>
    <w:rsid w:val="00F02DEC"/>
    <w:rsid w:val="00F02EB2"/>
    <w:rsid w:val="00F03186"/>
    <w:rsid w:val="00F0328F"/>
    <w:rsid w:val="00F0381F"/>
    <w:rsid w:val="00F0400B"/>
    <w:rsid w:val="00F0441B"/>
    <w:rsid w:val="00F0462D"/>
    <w:rsid w:val="00F04ADA"/>
    <w:rsid w:val="00F0529D"/>
    <w:rsid w:val="00F05845"/>
    <w:rsid w:val="00F05AC7"/>
    <w:rsid w:val="00F05B4B"/>
    <w:rsid w:val="00F05C3E"/>
    <w:rsid w:val="00F06355"/>
    <w:rsid w:val="00F06E17"/>
    <w:rsid w:val="00F06EA7"/>
    <w:rsid w:val="00F076E7"/>
    <w:rsid w:val="00F07AAE"/>
    <w:rsid w:val="00F07D5D"/>
    <w:rsid w:val="00F10AFE"/>
    <w:rsid w:val="00F11195"/>
    <w:rsid w:val="00F11659"/>
    <w:rsid w:val="00F11BA5"/>
    <w:rsid w:val="00F11D80"/>
    <w:rsid w:val="00F12C30"/>
    <w:rsid w:val="00F12D97"/>
    <w:rsid w:val="00F130BF"/>
    <w:rsid w:val="00F130EA"/>
    <w:rsid w:val="00F13C62"/>
    <w:rsid w:val="00F13C6E"/>
    <w:rsid w:val="00F13E6C"/>
    <w:rsid w:val="00F14405"/>
    <w:rsid w:val="00F14FDB"/>
    <w:rsid w:val="00F153C2"/>
    <w:rsid w:val="00F15806"/>
    <w:rsid w:val="00F15883"/>
    <w:rsid w:val="00F15928"/>
    <w:rsid w:val="00F159AF"/>
    <w:rsid w:val="00F15DE6"/>
    <w:rsid w:val="00F17550"/>
    <w:rsid w:val="00F17F91"/>
    <w:rsid w:val="00F209A5"/>
    <w:rsid w:val="00F20C39"/>
    <w:rsid w:val="00F211F4"/>
    <w:rsid w:val="00F216B3"/>
    <w:rsid w:val="00F2176A"/>
    <w:rsid w:val="00F22A91"/>
    <w:rsid w:val="00F22B8C"/>
    <w:rsid w:val="00F22C0A"/>
    <w:rsid w:val="00F23E59"/>
    <w:rsid w:val="00F2434F"/>
    <w:rsid w:val="00F24D41"/>
    <w:rsid w:val="00F24D59"/>
    <w:rsid w:val="00F24E0B"/>
    <w:rsid w:val="00F253D3"/>
    <w:rsid w:val="00F260C5"/>
    <w:rsid w:val="00F26404"/>
    <w:rsid w:val="00F26EB8"/>
    <w:rsid w:val="00F271A5"/>
    <w:rsid w:val="00F2747B"/>
    <w:rsid w:val="00F276F6"/>
    <w:rsid w:val="00F27783"/>
    <w:rsid w:val="00F27A78"/>
    <w:rsid w:val="00F27D9F"/>
    <w:rsid w:val="00F27E3B"/>
    <w:rsid w:val="00F30021"/>
    <w:rsid w:val="00F3010F"/>
    <w:rsid w:val="00F306B5"/>
    <w:rsid w:val="00F30EF1"/>
    <w:rsid w:val="00F3140D"/>
    <w:rsid w:val="00F316D4"/>
    <w:rsid w:val="00F322D8"/>
    <w:rsid w:val="00F32841"/>
    <w:rsid w:val="00F32B48"/>
    <w:rsid w:val="00F32E18"/>
    <w:rsid w:val="00F3308C"/>
    <w:rsid w:val="00F33149"/>
    <w:rsid w:val="00F3335D"/>
    <w:rsid w:val="00F33489"/>
    <w:rsid w:val="00F3359C"/>
    <w:rsid w:val="00F33697"/>
    <w:rsid w:val="00F34049"/>
    <w:rsid w:val="00F351C3"/>
    <w:rsid w:val="00F3532C"/>
    <w:rsid w:val="00F35923"/>
    <w:rsid w:val="00F3608F"/>
    <w:rsid w:val="00F3610A"/>
    <w:rsid w:val="00F364FE"/>
    <w:rsid w:val="00F36877"/>
    <w:rsid w:val="00F36E4B"/>
    <w:rsid w:val="00F36FE3"/>
    <w:rsid w:val="00F3766C"/>
    <w:rsid w:val="00F37949"/>
    <w:rsid w:val="00F37D8C"/>
    <w:rsid w:val="00F403D1"/>
    <w:rsid w:val="00F4054F"/>
    <w:rsid w:val="00F40728"/>
    <w:rsid w:val="00F409A9"/>
    <w:rsid w:val="00F413F3"/>
    <w:rsid w:val="00F418FD"/>
    <w:rsid w:val="00F4193C"/>
    <w:rsid w:val="00F438C5"/>
    <w:rsid w:val="00F43A36"/>
    <w:rsid w:val="00F43B08"/>
    <w:rsid w:val="00F444A8"/>
    <w:rsid w:val="00F44D8D"/>
    <w:rsid w:val="00F44EFA"/>
    <w:rsid w:val="00F463A7"/>
    <w:rsid w:val="00F46419"/>
    <w:rsid w:val="00F46442"/>
    <w:rsid w:val="00F467E6"/>
    <w:rsid w:val="00F470C7"/>
    <w:rsid w:val="00F47220"/>
    <w:rsid w:val="00F474EF"/>
    <w:rsid w:val="00F500CD"/>
    <w:rsid w:val="00F5048B"/>
    <w:rsid w:val="00F506D6"/>
    <w:rsid w:val="00F50837"/>
    <w:rsid w:val="00F50894"/>
    <w:rsid w:val="00F50A76"/>
    <w:rsid w:val="00F50FFB"/>
    <w:rsid w:val="00F516D3"/>
    <w:rsid w:val="00F51889"/>
    <w:rsid w:val="00F519D6"/>
    <w:rsid w:val="00F51AD5"/>
    <w:rsid w:val="00F5201A"/>
    <w:rsid w:val="00F52048"/>
    <w:rsid w:val="00F520EA"/>
    <w:rsid w:val="00F52669"/>
    <w:rsid w:val="00F5297E"/>
    <w:rsid w:val="00F52B7C"/>
    <w:rsid w:val="00F52F98"/>
    <w:rsid w:val="00F53466"/>
    <w:rsid w:val="00F5364A"/>
    <w:rsid w:val="00F537BB"/>
    <w:rsid w:val="00F53832"/>
    <w:rsid w:val="00F53E30"/>
    <w:rsid w:val="00F54816"/>
    <w:rsid w:val="00F54E36"/>
    <w:rsid w:val="00F5572C"/>
    <w:rsid w:val="00F558D0"/>
    <w:rsid w:val="00F558D1"/>
    <w:rsid w:val="00F55A2C"/>
    <w:rsid w:val="00F55AD9"/>
    <w:rsid w:val="00F563AD"/>
    <w:rsid w:val="00F565C5"/>
    <w:rsid w:val="00F567B6"/>
    <w:rsid w:val="00F567EB"/>
    <w:rsid w:val="00F56D74"/>
    <w:rsid w:val="00F56F35"/>
    <w:rsid w:val="00F57990"/>
    <w:rsid w:val="00F6010B"/>
    <w:rsid w:val="00F602E9"/>
    <w:rsid w:val="00F60EFC"/>
    <w:rsid w:val="00F61157"/>
    <w:rsid w:val="00F616F8"/>
    <w:rsid w:val="00F61AA0"/>
    <w:rsid w:val="00F61CF2"/>
    <w:rsid w:val="00F61E9E"/>
    <w:rsid w:val="00F624BA"/>
    <w:rsid w:val="00F63209"/>
    <w:rsid w:val="00F6368F"/>
    <w:rsid w:val="00F637FE"/>
    <w:rsid w:val="00F63870"/>
    <w:rsid w:val="00F63A27"/>
    <w:rsid w:val="00F63A9D"/>
    <w:rsid w:val="00F64008"/>
    <w:rsid w:val="00F6402B"/>
    <w:rsid w:val="00F643D3"/>
    <w:rsid w:val="00F6449E"/>
    <w:rsid w:val="00F64547"/>
    <w:rsid w:val="00F649FC"/>
    <w:rsid w:val="00F64CBC"/>
    <w:rsid w:val="00F64CE6"/>
    <w:rsid w:val="00F64E97"/>
    <w:rsid w:val="00F652FE"/>
    <w:rsid w:val="00F654A8"/>
    <w:rsid w:val="00F65A24"/>
    <w:rsid w:val="00F65AA6"/>
    <w:rsid w:val="00F65ABC"/>
    <w:rsid w:val="00F65BD6"/>
    <w:rsid w:val="00F66032"/>
    <w:rsid w:val="00F66145"/>
    <w:rsid w:val="00F66342"/>
    <w:rsid w:val="00F668FB"/>
    <w:rsid w:val="00F66997"/>
    <w:rsid w:val="00F6699B"/>
    <w:rsid w:val="00F66A8E"/>
    <w:rsid w:val="00F671B8"/>
    <w:rsid w:val="00F6782F"/>
    <w:rsid w:val="00F67B79"/>
    <w:rsid w:val="00F67ECC"/>
    <w:rsid w:val="00F70280"/>
    <w:rsid w:val="00F70EBD"/>
    <w:rsid w:val="00F7111A"/>
    <w:rsid w:val="00F71297"/>
    <w:rsid w:val="00F71BC1"/>
    <w:rsid w:val="00F71C9C"/>
    <w:rsid w:val="00F72384"/>
    <w:rsid w:val="00F72ACD"/>
    <w:rsid w:val="00F72CFD"/>
    <w:rsid w:val="00F72CFE"/>
    <w:rsid w:val="00F72D33"/>
    <w:rsid w:val="00F735F2"/>
    <w:rsid w:val="00F743AF"/>
    <w:rsid w:val="00F747F7"/>
    <w:rsid w:val="00F74969"/>
    <w:rsid w:val="00F74B3E"/>
    <w:rsid w:val="00F750CF"/>
    <w:rsid w:val="00F753DA"/>
    <w:rsid w:val="00F75BB6"/>
    <w:rsid w:val="00F75CCA"/>
    <w:rsid w:val="00F75CDA"/>
    <w:rsid w:val="00F769E3"/>
    <w:rsid w:val="00F76F01"/>
    <w:rsid w:val="00F77266"/>
    <w:rsid w:val="00F772A6"/>
    <w:rsid w:val="00F77427"/>
    <w:rsid w:val="00F77BE3"/>
    <w:rsid w:val="00F77CD0"/>
    <w:rsid w:val="00F80375"/>
    <w:rsid w:val="00F804C7"/>
    <w:rsid w:val="00F80A04"/>
    <w:rsid w:val="00F80AC3"/>
    <w:rsid w:val="00F81DAC"/>
    <w:rsid w:val="00F81E8B"/>
    <w:rsid w:val="00F81E98"/>
    <w:rsid w:val="00F82645"/>
    <w:rsid w:val="00F83517"/>
    <w:rsid w:val="00F83518"/>
    <w:rsid w:val="00F8382A"/>
    <w:rsid w:val="00F83A48"/>
    <w:rsid w:val="00F83C07"/>
    <w:rsid w:val="00F842E8"/>
    <w:rsid w:val="00F84938"/>
    <w:rsid w:val="00F84C9D"/>
    <w:rsid w:val="00F85288"/>
    <w:rsid w:val="00F85805"/>
    <w:rsid w:val="00F86298"/>
    <w:rsid w:val="00F8648A"/>
    <w:rsid w:val="00F866B2"/>
    <w:rsid w:val="00F86820"/>
    <w:rsid w:val="00F86911"/>
    <w:rsid w:val="00F86D86"/>
    <w:rsid w:val="00F87321"/>
    <w:rsid w:val="00F90593"/>
    <w:rsid w:val="00F9096A"/>
    <w:rsid w:val="00F90EE6"/>
    <w:rsid w:val="00F91159"/>
    <w:rsid w:val="00F913C1"/>
    <w:rsid w:val="00F91CBA"/>
    <w:rsid w:val="00F91DE9"/>
    <w:rsid w:val="00F92419"/>
    <w:rsid w:val="00F924DF"/>
    <w:rsid w:val="00F92880"/>
    <w:rsid w:val="00F929AD"/>
    <w:rsid w:val="00F92CFA"/>
    <w:rsid w:val="00F93BCE"/>
    <w:rsid w:val="00F93C40"/>
    <w:rsid w:val="00F93DD5"/>
    <w:rsid w:val="00F94460"/>
    <w:rsid w:val="00F94874"/>
    <w:rsid w:val="00F9492A"/>
    <w:rsid w:val="00F94A60"/>
    <w:rsid w:val="00F95688"/>
    <w:rsid w:val="00F95A64"/>
    <w:rsid w:val="00F96B9A"/>
    <w:rsid w:val="00F96BDE"/>
    <w:rsid w:val="00F96CE2"/>
    <w:rsid w:val="00F971AA"/>
    <w:rsid w:val="00F9725E"/>
    <w:rsid w:val="00F973B3"/>
    <w:rsid w:val="00F97512"/>
    <w:rsid w:val="00F97D89"/>
    <w:rsid w:val="00F97F20"/>
    <w:rsid w:val="00FA078E"/>
    <w:rsid w:val="00FA0D2A"/>
    <w:rsid w:val="00FA159A"/>
    <w:rsid w:val="00FA1CEF"/>
    <w:rsid w:val="00FA242A"/>
    <w:rsid w:val="00FA2F08"/>
    <w:rsid w:val="00FA32E5"/>
    <w:rsid w:val="00FA372C"/>
    <w:rsid w:val="00FA4104"/>
    <w:rsid w:val="00FA47D5"/>
    <w:rsid w:val="00FA4FAB"/>
    <w:rsid w:val="00FA59E6"/>
    <w:rsid w:val="00FA5C9B"/>
    <w:rsid w:val="00FA5F7F"/>
    <w:rsid w:val="00FA6753"/>
    <w:rsid w:val="00FA6A9D"/>
    <w:rsid w:val="00FA6C67"/>
    <w:rsid w:val="00FA6C97"/>
    <w:rsid w:val="00FA6FCF"/>
    <w:rsid w:val="00FA734E"/>
    <w:rsid w:val="00FA759F"/>
    <w:rsid w:val="00FA7D89"/>
    <w:rsid w:val="00FB0964"/>
    <w:rsid w:val="00FB103C"/>
    <w:rsid w:val="00FB1268"/>
    <w:rsid w:val="00FB1616"/>
    <w:rsid w:val="00FB1785"/>
    <w:rsid w:val="00FB1B73"/>
    <w:rsid w:val="00FB21C5"/>
    <w:rsid w:val="00FB2245"/>
    <w:rsid w:val="00FB236C"/>
    <w:rsid w:val="00FB2D71"/>
    <w:rsid w:val="00FB2D7A"/>
    <w:rsid w:val="00FB2E7C"/>
    <w:rsid w:val="00FB34E5"/>
    <w:rsid w:val="00FB3AFF"/>
    <w:rsid w:val="00FB3D7A"/>
    <w:rsid w:val="00FB43B3"/>
    <w:rsid w:val="00FB456E"/>
    <w:rsid w:val="00FB476D"/>
    <w:rsid w:val="00FB47DB"/>
    <w:rsid w:val="00FB49DE"/>
    <w:rsid w:val="00FB49EC"/>
    <w:rsid w:val="00FB4D35"/>
    <w:rsid w:val="00FB5037"/>
    <w:rsid w:val="00FB52EB"/>
    <w:rsid w:val="00FB54FA"/>
    <w:rsid w:val="00FB5601"/>
    <w:rsid w:val="00FB5654"/>
    <w:rsid w:val="00FB59C5"/>
    <w:rsid w:val="00FB6563"/>
    <w:rsid w:val="00FB7241"/>
    <w:rsid w:val="00FB72DF"/>
    <w:rsid w:val="00FB72E5"/>
    <w:rsid w:val="00FB755D"/>
    <w:rsid w:val="00FB75B5"/>
    <w:rsid w:val="00FB772F"/>
    <w:rsid w:val="00FB7C3B"/>
    <w:rsid w:val="00FC01C3"/>
    <w:rsid w:val="00FC0492"/>
    <w:rsid w:val="00FC0D9C"/>
    <w:rsid w:val="00FC0E2D"/>
    <w:rsid w:val="00FC0EFB"/>
    <w:rsid w:val="00FC145D"/>
    <w:rsid w:val="00FC1849"/>
    <w:rsid w:val="00FC2077"/>
    <w:rsid w:val="00FC2C2D"/>
    <w:rsid w:val="00FC2DC5"/>
    <w:rsid w:val="00FC363D"/>
    <w:rsid w:val="00FC3672"/>
    <w:rsid w:val="00FC43E9"/>
    <w:rsid w:val="00FC4662"/>
    <w:rsid w:val="00FC468A"/>
    <w:rsid w:val="00FC545B"/>
    <w:rsid w:val="00FC5502"/>
    <w:rsid w:val="00FC5701"/>
    <w:rsid w:val="00FC5B74"/>
    <w:rsid w:val="00FC68F4"/>
    <w:rsid w:val="00FC69DE"/>
    <w:rsid w:val="00FC73F3"/>
    <w:rsid w:val="00FC75C6"/>
    <w:rsid w:val="00FC7D9E"/>
    <w:rsid w:val="00FC7FE9"/>
    <w:rsid w:val="00FD0034"/>
    <w:rsid w:val="00FD06D6"/>
    <w:rsid w:val="00FD0AEA"/>
    <w:rsid w:val="00FD0D70"/>
    <w:rsid w:val="00FD11B9"/>
    <w:rsid w:val="00FD133E"/>
    <w:rsid w:val="00FD156D"/>
    <w:rsid w:val="00FD169F"/>
    <w:rsid w:val="00FD1ACA"/>
    <w:rsid w:val="00FD29D9"/>
    <w:rsid w:val="00FD2BD3"/>
    <w:rsid w:val="00FD2CB4"/>
    <w:rsid w:val="00FD36A5"/>
    <w:rsid w:val="00FD37CB"/>
    <w:rsid w:val="00FD4219"/>
    <w:rsid w:val="00FD46E3"/>
    <w:rsid w:val="00FD46FD"/>
    <w:rsid w:val="00FD47E7"/>
    <w:rsid w:val="00FD4B79"/>
    <w:rsid w:val="00FD59B7"/>
    <w:rsid w:val="00FD5B1E"/>
    <w:rsid w:val="00FD69F3"/>
    <w:rsid w:val="00FD7A2B"/>
    <w:rsid w:val="00FD7C39"/>
    <w:rsid w:val="00FE11A2"/>
    <w:rsid w:val="00FE1F7C"/>
    <w:rsid w:val="00FE2406"/>
    <w:rsid w:val="00FE2545"/>
    <w:rsid w:val="00FE2696"/>
    <w:rsid w:val="00FE2B2E"/>
    <w:rsid w:val="00FE31AC"/>
    <w:rsid w:val="00FE3699"/>
    <w:rsid w:val="00FE3862"/>
    <w:rsid w:val="00FE3AAF"/>
    <w:rsid w:val="00FE3F02"/>
    <w:rsid w:val="00FE4533"/>
    <w:rsid w:val="00FE5431"/>
    <w:rsid w:val="00FE5A23"/>
    <w:rsid w:val="00FE5E7D"/>
    <w:rsid w:val="00FE63B4"/>
    <w:rsid w:val="00FE6BA7"/>
    <w:rsid w:val="00FE6FAA"/>
    <w:rsid w:val="00FE7292"/>
    <w:rsid w:val="00FE7900"/>
    <w:rsid w:val="00FE7A01"/>
    <w:rsid w:val="00FE7D67"/>
    <w:rsid w:val="00FF0388"/>
    <w:rsid w:val="00FF03C0"/>
    <w:rsid w:val="00FF05BB"/>
    <w:rsid w:val="00FF0C2F"/>
    <w:rsid w:val="00FF0D30"/>
    <w:rsid w:val="00FF1CE4"/>
    <w:rsid w:val="00FF21B7"/>
    <w:rsid w:val="00FF24FE"/>
    <w:rsid w:val="00FF2923"/>
    <w:rsid w:val="00FF2FAE"/>
    <w:rsid w:val="00FF387A"/>
    <w:rsid w:val="00FF3A63"/>
    <w:rsid w:val="00FF3C46"/>
    <w:rsid w:val="00FF3DCC"/>
    <w:rsid w:val="00FF3E3C"/>
    <w:rsid w:val="00FF426B"/>
    <w:rsid w:val="00FF4369"/>
    <w:rsid w:val="00FF47ED"/>
    <w:rsid w:val="00FF4819"/>
    <w:rsid w:val="00FF4FC0"/>
    <w:rsid w:val="00FF6079"/>
    <w:rsid w:val="00FF69EA"/>
    <w:rsid w:val="00FF7CEB"/>
    <w:rsid w:val="01047D64"/>
    <w:rsid w:val="01049E1F"/>
    <w:rsid w:val="01103392"/>
    <w:rsid w:val="0120BB19"/>
    <w:rsid w:val="0132FFC7"/>
    <w:rsid w:val="01395155"/>
    <w:rsid w:val="0158701A"/>
    <w:rsid w:val="01629561"/>
    <w:rsid w:val="016929C7"/>
    <w:rsid w:val="016C61EE"/>
    <w:rsid w:val="0199DE2A"/>
    <w:rsid w:val="01AC1990"/>
    <w:rsid w:val="01BEC54E"/>
    <w:rsid w:val="01C9EF31"/>
    <w:rsid w:val="01D29A41"/>
    <w:rsid w:val="0200C9B0"/>
    <w:rsid w:val="02043AEB"/>
    <w:rsid w:val="020A1788"/>
    <w:rsid w:val="022AD346"/>
    <w:rsid w:val="02361554"/>
    <w:rsid w:val="023CD6E2"/>
    <w:rsid w:val="025B424C"/>
    <w:rsid w:val="025DC526"/>
    <w:rsid w:val="02607B66"/>
    <w:rsid w:val="0260E007"/>
    <w:rsid w:val="026E2437"/>
    <w:rsid w:val="026F8086"/>
    <w:rsid w:val="027D7D35"/>
    <w:rsid w:val="02894E39"/>
    <w:rsid w:val="02932336"/>
    <w:rsid w:val="02A46E83"/>
    <w:rsid w:val="02B25E4C"/>
    <w:rsid w:val="02B2B5AE"/>
    <w:rsid w:val="02CA8145"/>
    <w:rsid w:val="02F031ED"/>
    <w:rsid w:val="03005425"/>
    <w:rsid w:val="0319435B"/>
    <w:rsid w:val="0323DF70"/>
    <w:rsid w:val="032E1344"/>
    <w:rsid w:val="0330C344"/>
    <w:rsid w:val="033B0F57"/>
    <w:rsid w:val="0341649B"/>
    <w:rsid w:val="034482FA"/>
    <w:rsid w:val="0359676B"/>
    <w:rsid w:val="03603443"/>
    <w:rsid w:val="036735F9"/>
    <w:rsid w:val="0378E120"/>
    <w:rsid w:val="03AA4A39"/>
    <w:rsid w:val="03EA49FE"/>
    <w:rsid w:val="03F024C3"/>
    <w:rsid w:val="03F1DD1E"/>
    <w:rsid w:val="03FCD496"/>
    <w:rsid w:val="041FB5FC"/>
    <w:rsid w:val="044C13DE"/>
    <w:rsid w:val="0465B8C8"/>
    <w:rsid w:val="0469B7FF"/>
    <w:rsid w:val="0493524B"/>
    <w:rsid w:val="049885D7"/>
    <w:rsid w:val="04C85E61"/>
    <w:rsid w:val="04CC8C3C"/>
    <w:rsid w:val="04F9B541"/>
    <w:rsid w:val="05062EAF"/>
    <w:rsid w:val="05265C5D"/>
    <w:rsid w:val="0532AE78"/>
    <w:rsid w:val="05375874"/>
    <w:rsid w:val="053EFBDB"/>
    <w:rsid w:val="05649930"/>
    <w:rsid w:val="056E897E"/>
    <w:rsid w:val="0571A54E"/>
    <w:rsid w:val="0571DF8D"/>
    <w:rsid w:val="0575BD90"/>
    <w:rsid w:val="0581D18F"/>
    <w:rsid w:val="0589D907"/>
    <w:rsid w:val="0589F256"/>
    <w:rsid w:val="058D57D6"/>
    <w:rsid w:val="05C198F1"/>
    <w:rsid w:val="05C4B360"/>
    <w:rsid w:val="05D3FE6C"/>
    <w:rsid w:val="05DE83CE"/>
    <w:rsid w:val="05E998CD"/>
    <w:rsid w:val="060283C0"/>
    <w:rsid w:val="060EBDE1"/>
    <w:rsid w:val="06208F1D"/>
    <w:rsid w:val="06326173"/>
    <w:rsid w:val="0651FE0F"/>
    <w:rsid w:val="0656B755"/>
    <w:rsid w:val="0662C0E9"/>
    <w:rsid w:val="069147AC"/>
    <w:rsid w:val="06A65A45"/>
    <w:rsid w:val="06D95450"/>
    <w:rsid w:val="070003EE"/>
    <w:rsid w:val="070006F1"/>
    <w:rsid w:val="0705C717"/>
    <w:rsid w:val="07102B78"/>
    <w:rsid w:val="07528956"/>
    <w:rsid w:val="0766B5E8"/>
    <w:rsid w:val="076775AE"/>
    <w:rsid w:val="077420DF"/>
    <w:rsid w:val="077EBDF7"/>
    <w:rsid w:val="078CF966"/>
    <w:rsid w:val="07A93765"/>
    <w:rsid w:val="07AF5A5C"/>
    <w:rsid w:val="07B0C8BB"/>
    <w:rsid w:val="07B83D20"/>
    <w:rsid w:val="07CDFA18"/>
    <w:rsid w:val="07F95D1A"/>
    <w:rsid w:val="080B378E"/>
    <w:rsid w:val="080BF721"/>
    <w:rsid w:val="080D332C"/>
    <w:rsid w:val="086AB768"/>
    <w:rsid w:val="087B77C0"/>
    <w:rsid w:val="087CFAA4"/>
    <w:rsid w:val="08822997"/>
    <w:rsid w:val="089984BB"/>
    <w:rsid w:val="08A8FCAF"/>
    <w:rsid w:val="08C45FA0"/>
    <w:rsid w:val="08D3387D"/>
    <w:rsid w:val="08DCE738"/>
    <w:rsid w:val="08EF73AA"/>
    <w:rsid w:val="08F5EEB2"/>
    <w:rsid w:val="094AF48E"/>
    <w:rsid w:val="0951A1DC"/>
    <w:rsid w:val="095A196C"/>
    <w:rsid w:val="09625B36"/>
    <w:rsid w:val="0967952A"/>
    <w:rsid w:val="0968ACBF"/>
    <w:rsid w:val="09708EE3"/>
    <w:rsid w:val="0971CC74"/>
    <w:rsid w:val="097EDDED"/>
    <w:rsid w:val="09876122"/>
    <w:rsid w:val="099F9A9C"/>
    <w:rsid w:val="0A2530F2"/>
    <w:rsid w:val="0A28CF77"/>
    <w:rsid w:val="0A6A9D6F"/>
    <w:rsid w:val="0A758EAB"/>
    <w:rsid w:val="0A88054F"/>
    <w:rsid w:val="0A88D1E4"/>
    <w:rsid w:val="0A9C0475"/>
    <w:rsid w:val="0AAEA18D"/>
    <w:rsid w:val="0AB5A5D4"/>
    <w:rsid w:val="0AB910E4"/>
    <w:rsid w:val="0ABB2828"/>
    <w:rsid w:val="0AC3BAE5"/>
    <w:rsid w:val="0AE6C30D"/>
    <w:rsid w:val="0AFB6F85"/>
    <w:rsid w:val="0B1408BE"/>
    <w:rsid w:val="0B167B64"/>
    <w:rsid w:val="0B1C5910"/>
    <w:rsid w:val="0B2CBEB8"/>
    <w:rsid w:val="0B46CF28"/>
    <w:rsid w:val="0B4F55A0"/>
    <w:rsid w:val="0B505826"/>
    <w:rsid w:val="0B537B09"/>
    <w:rsid w:val="0B54F8E1"/>
    <w:rsid w:val="0B7EAA4E"/>
    <w:rsid w:val="0B83B9AD"/>
    <w:rsid w:val="0B8DEE2F"/>
    <w:rsid w:val="0BA6D32C"/>
    <w:rsid w:val="0BD9860A"/>
    <w:rsid w:val="0BE2B7E0"/>
    <w:rsid w:val="0BEAF956"/>
    <w:rsid w:val="0BEFF68A"/>
    <w:rsid w:val="0BFBB0A7"/>
    <w:rsid w:val="0C01F4F8"/>
    <w:rsid w:val="0C2A810C"/>
    <w:rsid w:val="0C4AD1EE"/>
    <w:rsid w:val="0C4FA091"/>
    <w:rsid w:val="0C5CA9CC"/>
    <w:rsid w:val="0C65195F"/>
    <w:rsid w:val="0C743EFF"/>
    <w:rsid w:val="0C89DABF"/>
    <w:rsid w:val="0C8AD7F6"/>
    <w:rsid w:val="0C91B31E"/>
    <w:rsid w:val="0C938E55"/>
    <w:rsid w:val="0C9CA84A"/>
    <w:rsid w:val="0CBBC7C7"/>
    <w:rsid w:val="0CC0AB9B"/>
    <w:rsid w:val="0CD4038C"/>
    <w:rsid w:val="0CFD72D6"/>
    <w:rsid w:val="0D372D9D"/>
    <w:rsid w:val="0D41EACD"/>
    <w:rsid w:val="0D51DD6C"/>
    <w:rsid w:val="0D538BF8"/>
    <w:rsid w:val="0D74BF70"/>
    <w:rsid w:val="0D8950AA"/>
    <w:rsid w:val="0D8B8A73"/>
    <w:rsid w:val="0D9240DF"/>
    <w:rsid w:val="0DB72F36"/>
    <w:rsid w:val="0DC01307"/>
    <w:rsid w:val="0DDD74DB"/>
    <w:rsid w:val="0DDE34DF"/>
    <w:rsid w:val="0DDEAA47"/>
    <w:rsid w:val="0E336975"/>
    <w:rsid w:val="0E38A708"/>
    <w:rsid w:val="0E4813E9"/>
    <w:rsid w:val="0E48DF6B"/>
    <w:rsid w:val="0E5AC07B"/>
    <w:rsid w:val="0E5BCE77"/>
    <w:rsid w:val="0E603016"/>
    <w:rsid w:val="0E85B27E"/>
    <w:rsid w:val="0EA12096"/>
    <w:rsid w:val="0EB2729D"/>
    <w:rsid w:val="0EBC50E4"/>
    <w:rsid w:val="0ED1AA71"/>
    <w:rsid w:val="0ED75A32"/>
    <w:rsid w:val="0F0740A9"/>
    <w:rsid w:val="0F11A15E"/>
    <w:rsid w:val="0F1CBBA4"/>
    <w:rsid w:val="0F2F78DD"/>
    <w:rsid w:val="0F5A23DC"/>
    <w:rsid w:val="0F68B1CF"/>
    <w:rsid w:val="0F69E137"/>
    <w:rsid w:val="0F7C2E30"/>
    <w:rsid w:val="0F850E40"/>
    <w:rsid w:val="0F8DB4EB"/>
    <w:rsid w:val="0FA6B371"/>
    <w:rsid w:val="0FC9D502"/>
    <w:rsid w:val="0FE4FBA4"/>
    <w:rsid w:val="103CDC60"/>
    <w:rsid w:val="1076CBD2"/>
    <w:rsid w:val="10A7AA60"/>
    <w:rsid w:val="10AAC556"/>
    <w:rsid w:val="10DB975A"/>
    <w:rsid w:val="10DBFFD7"/>
    <w:rsid w:val="10E11EA9"/>
    <w:rsid w:val="10E1C558"/>
    <w:rsid w:val="1118FEF3"/>
    <w:rsid w:val="115D2B45"/>
    <w:rsid w:val="1186AA41"/>
    <w:rsid w:val="119DEE50"/>
    <w:rsid w:val="11A9FFFC"/>
    <w:rsid w:val="11B858E4"/>
    <w:rsid w:val="11BD6A3A"/>
    <w:rsid w:val="12013FFD"/>
    <w:rsid w:val="120B4EEC"/>
    <w:rsid w:val="120FC387"/>
    <w:rsid w:val="1211A30F"/>
    <w:rsid w:val="12270BB1"/>
    <w:rsid w:val="124D1657"/>
    <w:rsid w:val="124F3360"/>
    <w:rsid w:val="12527EB5"/>
    <w:rsid w:val="1259592D"/>
    <w:rsid w:val="126F16C6"/>
    <w:rsid w:val="127B2D12"/>
    <w:rsid w:val="127D4AD0"/>
    <w:rsid w:val="127DE68D"/>
    <w:rsid w:val="1291D5AB"/>
    <w:rsid w:val="12CD368B"/>
    <w:rsid w:val="12DB964C"/>
    <w:rsid w:val="12F9DCA5"/>
    <w:rsid w:val="131F8042"/>
    <w:rsid w:val="1323DC8A"/>
    <w:rsid w:val="13294B99"/>
    <w:rsid w:val="13381DC6"/>
    <w:rsid w:val="1347C1A1"/>
    <w:rsid w:val="13622966"/>
    <w:rsid w:val="13675FD8"/>
    <w:rsid w:val="13754592"/>
    <w:rsid w:val="138B1756"/>
    <w:rsid w:val="13A4EE92"/>
    <w:rsid w:val="13B48C32"/>
    <w:rsid w:val="13B5CE20"/>
    <w:rsid w:val="13B926AE"/>
    <w:rsid w:val="13E6A538"/>
    <w:rsid w:val="149070D4"/>
    <w:rsid w:val="14ADCB7C"/>
    <w:rsid w:val="14B78C58"/>
    <w:rsid w:val="14BBF6DA"/>
    <w:rsid w:val="14BEC3E2"/>
    <w:rsid w:val="1530F27E"/>
    <w:rsid w:val="154982BD"/>
    <w:rsid w:val="15564C8E"/>
    <w:rsid w:val="15589946"/>
    <w:rsid w:val="155A4DDF"/>
    <w:rsid w:val="1581D663"/>
    <w:rsid w:val="158C49B6"/>
    <w:rsid w:val="159F16E0"/>
    <w:rsid w:val="15BB7052"/>
    <w:rsid w:val="15E97BD1"/>
    <w:rsid w:val="161E5A3D"/>
    <w:rsid w:val="16226F82"/>
    <w:rsid w:val="1658871B"/>
    <w:rsid w:val="16670ADD"/>
    <w:rsid w:val="166BB973"/>
    <w:rsid w:val="1676CD09"/>
    <w:rsid w:val="168D5189"/>
    <w:rsid w:val="16A8BA33"/>
    <w:rsid w:val="16AC221A"/>
    <w:rsid w:val="16B33AED"/>
    <w:rsid w:val="16BE7FF4"/>
    <w:rsid w:val="16BFF339"/>
    <w:rsid w:val="16ED8568"/>
    <w:rsid w:val="17079CAC"/>
    <w:rsid w:val="171024CD"/>
    <w:rsid w:val="17225EA0"/>
    <w:rsid w:val="173208BF"/>
    <w:rsid w:val="1738EC0E"/>
    <w:rsid w:val="17477A23"/>
    <w:rsid w:val="174F2775"/>
    <w:rsid w:val="1767956B"/>
    <w:rsid w:val="17773AEE"/>
    <w:rsid w:val="1789E602"/>
    <w:rsid w:val="178AC213"/>
    <w:rsid w:val="178F3211"/>
    <w:rsid w:val="17A097FD"/>
    <w:rsid w:val="17B71EBD"/>
    <w:rsid w:val="17D490C2"/>
    <w:rsid w:val="17F4502F"/>
    <w:rsid w:val="17F702A4"/>
    <w:rsid w:val="17F8D430"/>
    <w:rsid w:val="18475EAC"/>
    <w:rsid w:val="185B965D"/>
    <w:rsid w:val="1860C6D0"/>
    <w:rsid w:val="1866B028"/>
    <w:rsid w:val="1867AFDE"/>
    <w:rsid w:val="1869A1C5"/>
    <w:rsid w:val="186AEEE8"/>
    <w:rsid w:val="1879442F"/>
    <w:rsid w:val="1879DDF7"/>
    <w:rsid w:val="187C0358"/>
    <w:rsid w:val="18A85273"/>
    <w:rsid w:val="18C71348"/>
    <w:rsid w:val="18D0D441"/>
    <w:rsid w:val="18D2B23B"/>
    <w:rsid w:val="18D38C72"/>
    <w:rsid w:val="18E19CAA"/>
    <w:rsid w:val="18FD3436"/>
    <w:rsid w:val="19132209"/>
    <w:rsid w:val="1917F111"/>
    <w:rsid w:val="19354F3E"/>
    <w:rsid w:val="19445709"/>
    <w:rsid w:val="1951CE66"/>
    <w:rsid w:val="196C83F1"/>
    <w:rsid w:val="1971651E"/>
    <w:rsid w:val="19730453"/>
    <w:rsid w:val="1981AB44"/>
    <w:rsid w:val="1984D82E"/>
    <w:rsid w:val="19852FCC"/>
    <w:rsid w:val="1996E349"/>
    <w:rsid w:val="19DB7F44"/>
    <w:rsid w:val="19E1D651"/>
    <w:rsid w:val="19E4496C"/>
    <w:rsid w:val="19F38BA4"/>
    <w:rsid w:val="1A4B6649"/>
    <w:rsid w:val="1A4F52E4"/>
    <w:rsid w:val="1A568BD3"/>
    <w:rsid w:val="1A5B98F9"/>
    <w:rsid w:val="1A60F3C5"/>
    <w:rsid w:val="1A9B23A6"/>
    <w:rsid w:val="1AC78B6D"/>
    <w:rsid w:val="1B05719D"/>
    <w:rsid w:val="1B0898ED"/>
    <w:rsid w:val="1B2FE04E"/>
    <w:rsid w:val="1B42B96B"/>
    <w:rsid w:val="1B4873C5"/>
    <w:rsid w:val="1B5928E1"/>
    <w:rsid w:val="1B7E37C1"/>
    <w:rsid w:val="1B8BFEBB"/>
    <w:rsid w:val="1B8E7653"/>
    <w:rsid w:val="1BB16963"/>
    <w:rsid w:val="1BC544ED"/>
    <w:rsid w:val="1BDBA5D8"/>
    <w:rsid w:val="1BE0C8C4"/>
    <w:rsid w:val="1BE3B043"/>
    <w:rsid w:val="1BFDCEE5"/>
    <w:rsid w:val="1C0078E8"/>
    <w:rsid w:val="1C0D339E"/>
    <w:rsid w:val="1C23B882"/>
    <w:rsid w:val="1C427AC2"/>
    <w:rsid w:val="1C4F03CE"/>
    <w:rsid w:val="1C5574A3"/>
    <w:rsid w:val="1C6A9C81"/>
    <w:rsid w:val="1C7B5759"/>
    <w:rsid w:val="1C7B8401"/>
    <w:rsid w:val="1CA78854"/>
    <w:rsid w:val="1CAF750C"/>
    <w:rsid w:val="1CAFC99D"/>
    <w:rsid w:val="1CC27A6E"/>
    <w:rsid w:val="1CE0C750"/>
    <w:rsid w:val="1CF836BC"/>
    <w:rsid w:val="1D064B75"/>
    <w:rsid w:val="1D4DA94C"/>
    <w:rsid w:val="1D565353"/>
    <w:rsid w:val="1DA2E3F0"/>
    <w:rsid w:val="1DA4798B"/>
    <w:rsid w:val="1DAC50FF"/>
    <w:rsid w:val="1DEF8523"/>
    <w:rsid w:val="1DF11955"/>
    <w:rsid w:val="1DFB188E"/>
    <w:rsid w:val="1E1573F6"/>
    <w:rsid w:val="1E2E2784"/>
    <w:rsid w:val="1E34A2E7"/>
    <w:rsid w:val="1E4D710F"/>
    <w:rsid w:val="1E4DF823"/>
    <w:rsid w:val="1E4F047E"/>
    <w:rsid w:val="1E512274"/>
    <w:rsid w:val="1E57E54D"/>
    <w:rsid w:val="1E793F61"/>
    <w:rsid w:val="1E813DE9"/>
    <w:rsid w:val="1E843E47"/>
    <w:rsid w:val="1E934CD1"/>
    <w:rsid w:val="1EB35614"/>
    <w:rsid w:val="1EB70788"/>
    <w:rsid w:val="1ECE6FD1"/>
    <w:rsid w:val="1ED45281"/>
    <w:rsid w:val="1EF6F1A8"/>
    <w:rsid w:val="1F06D007"/>
    <w:rsid w:val="1F0C6E8B"/>
    <w:rsid w:val="1F2AC362"/>
    <w:rsid w:val="1F57113A"/>
    <w:rsid w:val="1F79259C"/>
    <w:rsid w:val="1F845963"/>
    <w:rsid w:val="1F85B8E1"/>
    <w:rsid w:val="1F9D2EFC"/>
    <w:rsid w:val="1FAB87C9"/>
    <w:rsid w:val="1FD83FB2"/>
    <w:rsid w:val="1FEC12C0"/>
    <w:rsid w:val="2001E9DA"/>
    <w:rsid w:val="200EA5E8"/>
    <w:rsid w:val="201195EC"/>
    <w:rsid w:val="203C29F9"/>
    <w:rsid w:val="2048974F"/>
    <w:rsid w:val="206CEAE3"/>
    <w:rsid w:val="207865C7"/>
    <w:rsid w:val="207CA16B"/>
    <w:rsid w:val="20A0714F"/>
    <w:rsid w:val="20B353BD"/>
    <w:rsid w:val="20B9C946"/>
    <w:rsid w:val="20C857FA"/>
    <w:rsid w:val="20EE9DFC"/>
    <w:rsid w:val="20F0CF4B"/>
    <w:rsid w:val="210DB7A8"/>
    <w:rsid w:val="2117D1FC"/>
    <w:rsid w:val="212D99EC"/>
    <w:rsid w:val="212F1841"/>
    <w:rsid w:val="21464EC3"/>
    <w:rsid w:val="21544C7C"/>
    <w:rsid w:val="2162B236"/>
    <w:rsid w:val="218F6F2D"/>
    <w:rsid w:val="2190E4DC"/>
    <w:rsid w:val="21CA3886"/>
    <w:rsid w:val="22082FA9"/>
    <w:rsid w:val="221DEADF"/>
    <w:rsid w:val="2238315E"/>
    <w:rsid w:val="226615F5"/>
    <w:rsid w:val="2278AAED"/>
    <w:rsid w:val="22AC72A6"/>
    <w:rsid w:val="22B102A8"/>
    <w:rsid w:val="22D2D062"/>
    <w:rsid w:val="22D85C40"/>
    <w:rsid w:val="22E290FE"/>
    <w:rsid w:val="22F7F1A0"/>
    <w:rsid w:val="230E0E72"/>
    <w:rsid w:val="23266F53"/>
    <w:rsid w:val="232E057D"/>
    <w:rsid w:val="233A05C4"/>
    <w:rsid w:val="23509EE6"/>
    <w:rsid w:val="236E8A78"/>
    <w:rsid w:val="2394E8A2"/>
    <w:rsid w:val="2395351E"/>
    <w:rsid w:val="23BC3EC3"/>
    <w:rsid w:val="23CDBC4B"/>
    <w:rsid w:val="23D198A6"/>
    <w:rsid w:val="24014AF9"/>
    <w:rsid w:val="24205838"/>
    <w:rsid w:val="24245199"/>
    <w:rsid w:val="24288B2A"/>
    <w:rsid w:val="242C8713"/>
    <w:rsid w:val="243C249E"/>
    <w:rsid w:val="24702672"/>
    <w:rsid w:val="2475599F"/>
    <w:rsid w:val="248E216C"/>
    <w:rsid w:val="24A90DA8"/>
    <w:rsid w:val="24C60611"/>
    <w:rsid w:val="24D77230"/>
    <w:rsid w:val="24D8B2BE"/>
    <w:rsid w:val="24DF1A23"/>
    <w:rsid w:val="24F84AF5"/>
    <w:rsid w:val="24FFA7C1"/>
    <w:rsid w:val="251DBFF9"/>
    <w:rsid w:val="25224962"/>
    <w:rsid w:val="252969E0"/>
    <w:rsid w:val="252DE5DD"/>
    <w:rsid w:val="2540FF21"/>
    <w:rsid w:val="2549FAC6"/>
    <w:rsid w:val="254B7E7C"/>
    <w:rsid w:val="254E12B4"/>
    <w:rsid w:val="255E27B2"/>
    <w:rsid w:val="256E1EF2"/>
    <w:rsid w:val="25932B1A"/>
    <w:rsid w:val="25BCBBBC"/>
    <w:rsid w:val="25D21C70"/>
    <w:rsid w:val="25D9CC9E"/>
    <w:rsid w:val="2619B4A5"/>
    <w:rsid w:val="261F80FD"/>
    <w:rsid w:val="2620779D"/>
    <w:rsid w:val="2620881C"/>
    <w:rsid w:val="26228C56"/>
    <w:rsid w:val="265D650C"/>
    <w:rsid w:val="26603C28"/>
    <w:rsid w:val="2666A8EC"/>
    <w:rsid w:val="268CD7FB"/>
    <w:rsid w:val="26A970A1"/>
    <w:rsid w:val="26D05DEA"/>
    <w:rsid w:val="26FF7032"/>
    <w:rsid w:val="27026C56"/>
    <w:rsid w:val="270EA5C2"/>
    <w:rsid w:val="2724D0DB"/>
    <w:rsid w:val="273DFF6C"/>
    <w:rsid w:val="274B7260"/>
    <w:rsid w:val="27529280"/>
    <w:rsid w:val="275F8A9D"/>
    <w:rsid w:val="276CBE47"/>
    <w:rsid w:val="277DE118"/>
    <w:rsid w:val="27806D89"/>
    <w:rsid w:val="278D4846"/>
    <w:rsid w:val="278E9AB4"/>
    <w:rsid w:val="27A470DE"/>
    <w:rsid w:val="27A772CF"/>
    <w:rsid w:val="27AA95CB"/>
    <w:rsid w:val="27AF6806"/>
    <w:rsid w:val="27B756DD"/>
    <w:rsid w:val="27BE247F"/>
    <w:rsid w:val="27D905B8"/>
    <w:rsid w:val="27F65F60"/>
    <w:rsid w:val="27F80025"/>
    <w:rsid w:val="28020F58"/>
    <w:rsid w:val="280E1544"/>
    <w:rsid w:val="28338A84"/>
    <w:rsid w:val="2833A6A7"/>
    <w:rsid w:val="2843F47D"/>
    <w:rsid w:val="28501602"/>
    <w:rsid w:val="2881B71C"/>
    <w:rsid w:val="28872494"/>
    <w:rsid w:val="28A0DC98"/>
    <w:rsid w:val="28FAA24D"/>
    <w:rsid w:val="2919D3A5"/>
    <w:rsid w:val="294EC8D4"/>
    <w:rsid w:val="2952B30C"/>
    <w:rsid w:val="2954E7CB"/>
    <w:rsid w:val="2977CD6D"/>
    <w:rsid w:val="2988045D"/>
    <w:rsid w:val="2992158A"/>
    <w:rsid w:val="29A49D9F"/>
    <w:rsid w:val="29AEE91A"/>
    <w:rsid w:val="29BE7132"/>
    <w:rsid w:val="29CF0C1D"/>
    <w:rsid w:val="29D214BF"/>
    <w:rsid w:val="29FB0ED9"/>
    <w:rsid w:val="29FBEDA4"/>
    <w:rsid w:val="2A077B10"/>
    <w:rsid w:val="2A113AE3"/>
    <w:rsid w:val="2A1310D3"/>
    <w:rsid w:val="2A30609C"/>
    <w:rsid w:val="2A40480A"/>
    <w:rsid w:val="2A4848C4"/>
    <w:rsid w:val="2A494725"/>
    <w:rsid w:val="2A5A9DBD"/>
    <w:rsid w:val="2A67A2B5"/>
    <w:rsid w:val="2A71ACB1"/>
    <w:rsid w:val="2A8459E5"/>
    <w:rsid w:val="2A998C25"/>
    <w:rsid w:val="2AA1ACB4"/>
    <w:rsid w:val="2AA3369A"/>
    <w:rsid w:val="2AA3D8CE"/>
    <w:rsid w:val="2AC0550B"/>
    <w:rsid w:val="2ACB397A"/>
    <w:rsid w:val="2ACF0AC4"/>
    <w:rsid w:val="2AE30CF8"/>
    <w:rsid w:val="2AEC8D0F"/>
    <w:rsid w:val="2B25C4E8"/>
    <w:rsid w:val="2B32C748"/>
    <w:rsid w:val="2B6BCA52"/>
    <w:rsid w:val="2B7C3EA3"/>
    <w:rsid w:val="2B90920E"/>
    <w:rsid w:val="2BD2A04A"/>
    <w:rsid w:val="2BD5927D"/>
    <w:rsid w:val="2C2FACCC"/>
    <w:rsid w:val="2C520DC2"/>
    <w:rsid w:val="2C52B3C1"/>
    <w:rsid w:val="2C560A17"/>
    <w:rsid w:val="2C568731"/>
    <w:rsid w:val="2C719D17"/>
    <w:rsid w:val="2C736D7B"/>
    <w:rsid w:val="2C86DAA6"/>
    <w:rsid w:val="2C9A3972"/>
    <w:rsid w:val="2CA53937"/>
    <w:rsid w:val="2CBF6DEE"/>
    <w:rsid w:val="2CE24787"/>
    <w:rsid w:val="2D07F967"/>
    <w:rsid w:val="2D2A2250"/>
    <w:rsid w:val="2D2EA99A"/>
    <w:rsid w:val="2D4019EB"/>
    <w:rsid w:val="2D71B87B"/>
    <w:rsid w:val="2D746C11"/>
    <w:rsid w:val="2D7903A5"/>
    <w:rsid w:val="2D793B7F"/>
    <w:rsid w:val="2DB83A84"/>
    <w:rsid w:val="2DBF9F77"/>
    <w:rsid w:val="2DC529A4"/>
    <w:rsid w:val="2DD50ADB"/>
    <w:rsid w:val="2DFBBC99"/>
    <w:rsid w:val="2E2BD2C0"/>
    <w:rsid w:val="2E3E0FD2"/>
    <w:rsid w:val="2E402A1D"/>
    <w:rsid w:val="2E6CC421"/>
    <w:rsid w:val="2E7EDF32"/>
    <w:rsid w:val="2E85C781"/>
    <w:rsid w:val="2E9E82E6"/>
    <w:rsid w:val="2EAAD796"/>
    <w:rsid w:val="2EB5EC57"/>
    <w:rsid w:val="2EC28BD8"/>
    <w:rsid w:val="2ECA8B36"/>
    <w:rsid w:val="2ECF9071"/>
    <w:rsid w:val="2ED96733"/>
    <w:rsid w:val="2EDC35A1"/>
    <w:rsid w:val="2EEC490B"/>
    <w:rsid w:val="2F03B0A4"/>
    <w:rsid w:val="2F232CC5"/>
    <w:rsid w:val="2F301BA7"/>
    <w:rsid w:val="2F3C81A6"/>
    <w:rsid w:val="2F3FECDF"/>
    <w:rsid w:val="2F645DC0"/>
    <w:rsid w:val="2F65C77D"/>
    <w:rsid w:val="2F89B641"/>
    <w:rsid w:val="2F96299C"/>
    <w:rsid w:val="2F98E954"/>
    <w:rsid w:val="2F9E8CB1"/>
    <w:rsid w:val="2FA53928"/>
    <w:rsid w:val="2FAB36DD"/>
    <w:rsid w:val="2FE296D9"/>
    <w:rsid w:val="2FE428E2"/>
    <w:rsid w:val="2FE81F98"/>
    <w:rsid w:val="2FEE71E3"/>
    <w:rsid w:val="3005B9B2"/>
    <w:rsid w:val="300FD3FC"/>
    <w:rsid w:val="301B090F"/>
    <w:rsid w:val="302A061E"/>
    <w:rsid w:val="306618DF"/>
    <w:rsid w:val="306A3F72"/>
    <w:rsid w:val="3080C1E1"/>
    <w:rsid w:val="30A9338A"/>
    <w:rsid w:val="30B0F8D9"/>
    <w:rsid w:val="30CC92FB"/>
    <w:rsid w:val="30CF3C72"/>
    <w:rsid w:val="30DFC70A"/>
    <w:rsid w:val="30E2D3BA"/>
    <w:rsid w:val="310C54AE"/>
    <w:rsid w:val="3121D5DC"/>
    <w:rsid w:val="31279EEA"/>
    <w:rsid w:val="313083B8"/>
    <w:rsid w:val="31355A2B"/>
    <w:rsid w:val="3172A433"/>
    <w:rsid w:val="3185AF20"/>
    <w:rsid w:val="31AC8585"/>
    <w:rsid w:val="31B34AD7"/>
    <w:rsid w:val="31D728FA"/>
    <w:rsid w:val="31DD8A6A"/>
    <w:rsid w:val="31DF5EA4"/>
    <w:rsid w:val="31E157EE"/>
    <w:rsid w:val="31FF709D"/>
    <w:rsid w:val="3201A99B"/>
    <w:rsid w:val="3204C84A"/>
    <w:rsid w:val="32161D1A"/>
    <w:rsid w:val="32289042"/>
    <w:rsid w:val="323EA617"/>
    <w:rsid w:val="324674C8"/>
    <w:rsid w:val="326DA896"/>
    <w:rsid w:val="327B50BE"/>
    <w:rsid w:val="32A4FDAD"/>
    <w:rsid w:val="32B09809"/>
    <w:rsid w:val="32BA7744"/>
    <w:rsid w:val="32C2C42C"/>
    <w:rsid w:val="32D6FAC6"/>
    <w:rsid w:val="32E450F0"/>
    <w:rsid w:val="32EAFDAF"/>
    <w:rsid w:val="32FA2DCE"/>
    <w:rsid w:val="3306ACA8"/>
    <w:rsid w:val="331294EC"/>
    <w:rsid w:val="33144737"/>
    <w:rsid w:val="33286F47"/>
    <w:rsid w:val="334F44F3"/>
    <w:rsid w:val="3359295D"/>
    <w:rsid w:val="33637BCB"/>
    <w:rsid w:val="33647E8D"/>
    <w:rsid w:val="337C974C"/>
    <w:rsid w:val="337F95BD"/>
    <w:rsid w:val="338FE0D4"/>
    <w:rsid w:val="33AD180D"/>
    <w:rsid w:val="33B0A77B"/>
    <w:rsid w:val="33B4CCC8"/>
    <w:rsid w:val="33C6DCD9"/>
    <w:rsid w:val="33DC84EA"/>
    <w:rsid w:val="33F7E4CA"/>
    <w:rsid w:val="33FB2C3D"/>
    <w:rsid w:val="340E8AC2"/>
    <w:rsid w:val="34176535"/>
    <w:rsid w:val="34182C01"/>
    <w:rsid w:val="341EA978"/>
    <w:rsid w:val="34212FF0"/>
    <w:rsid w:val="34317C65"/>
    <w:rsid w:val="343E21D0"/>
    <w:rsid w:val="3447317E"/>
    <w:rsid w:val="344E91AD"/>
    <w:rsid w:val="345DE593"/>
    <w:rsid w:val="345E6B6E"/>
    <w:rsid w:val="346BFFBC"/>
    <w:rsid w:val="3485C85F"/>
    <w:rsid w:val="348A8D03"/>
    <w:rsid w:val="348EEC98"/>
    <w:rsid w:val="34A31561"/>
    <w:rsid w:val="34EC84BE"/>
    <w:rsid w:val="34F9F123"/>
    <w:rsid w:val="3500DF3A"/>
    <w:rsid w:val="350562B1"/>
    <w:rsid w:val="350C0B2F"/>
    <w:rsid w:val="353C937A"/>
    <w:rsid w:val="3553C5C3"/>
    <w:rsid w:val="355C2ADB"/>
    <w:rsid w:val="3597219C"/>
    <w:rsid w:val="35AF2948"/>
    <w:rsid w:val="35B97915"/>
    <w:rsid w:val="35D27054"/>
    <w:rsid w:val="35E0417E"/>
    <w:rsid w:val="35F5FAD4"/>
    <w:rsid w:val="35FBFD83"/>
    <w:rsid w:val="3608BAC5"/>
    <w:rsid w:val="3609FF66"/>
    <w:rsid w:val="360CAFF4"/>
    <w:rsid w:val="3611F806"/>
    <w:rsid w:val="361BEF0A"/>
    <w:rsid w:val="36227D70"/>
    <w:rsid w:val="36244550"/>
    <w:rsid w:val="3631C121"/>
    <w:rsid w:val="3645E367"/>
    <w:rsid w:val="36748AE2"/>
    <w:rsid w:val="36B1B010"/>
    <w:rsid w:val="36B479ED"/>
    <w:rsid w:val="36B780C1"/>
    <w:rsid w:val="36BCAACF"/>
    <w:rsid w:val="36C7FC22"/>
    <w:rsid w:val="36C894F1"/>
    <w:rsid w:val="36C94855"/>
    <w:rsid w:val="36CC79B9"/>
    <w:rsid w:val="36D45EF5"/>
    <w:rsid w:val="36D7D961"/>
    <w:rsid w:val="36E6C8B9"/>
    <w:rsid w:val="374034E8"/>
    <w:rsid w:val="37432F1D"/>
    <w:rsid w:val="37464AB4"/>
    <w:rsid w:val="375B2B13"/>
    <w:rsid w:val="375EFB19"/>
    <w:rsid w:val="3789B3EB"/>
    <w:rsid w:val="379661F6"/>
    <w:rsid w:val="379B5798"/>
    <w:rsid w:val="37DCDCD3"/>
    <w:rsid w:val="37DEFC12"/>
    <w:rsid w:val="37DFA3CE"/>
    <w:rsid w:val="37E5908A"/>
    <w:rsid w:val="37F5BAF9"/>
    <w:rsid w:val="37FAE7DC"/>
    <w:rsid w:val="381E20DC"/>
    <w:rsid w:val="3820C897"/>
    <w:rsid w:val="3837AE57"/>
    <w:rsid w:val="38385136"/>
    <w:rsid w:val="384335C3"/>
    <w:rsid w:val="3874D891"/>
    <w:rsid w:val="38899E9A"/>
    <w:rsid w:val="388E92B6"/>
    <w:rsid w:val="388EB4C8"/>
    <w:rsid w:val="3892A12D"/>
    <w:rsid w:val="38A63388"/>
    <w:rsid w:val="38AFB280"/>
    <w:rsid w:val="38BAACB7"/>
    <w:rsid w:val="38CADC6B"/>
    <w:rsid w:val="38D629C5"/>
    <w:rsid w:val="38E88C07"/>
    <w:rsid w:val="38F16624"/>
    <w:rsid w:val="391F91C0"/>
    <w:rsid w:val="395AC9F7"/>
    <w:rsid w:val="396D9D18"/>
    <w:rsid w:val="399F824B"/>
    <w:rsid w:val="39B2551B"/>
    <w:rsid w:val="39C9F070"/>
    <w:rsid w:val="39E3013B"/>
    <w:rsid w:val="39F0BC38"/>
    <w:rsid w:val="3A214169"/>
    <w:rsid w:val="3A2AFBEA"/>
    <w:rsid w:val="3A35BA05"/>
    <w:rsid w:val="3A42CBD9"/>
    <w:rsid w:val="3A4E74DD"/>
    <w:rsid w:val="3A74C3BD"/>
    <w:rsid w:val="3A7890E1"/>
    <w:rsid w:val="3A877BA5"/>
    <w:rsid w:val="3A9AB649"/>
    <w:rsid w:val="3AB1BE91"/>
    <w:rsid w:val="3AB2B4AD"/>
    <w:rsid w:val="3AE6C8E6"/>
    <w:rsid w:val="3AEFC1CA"/>
    <w:rsid w:val="3B09FA0C"/>
    <w:rsid w:val="3B0F0855"/>
    <w:rsid w:val="3B137620"/>
    <w:rsid w:val="3B22D76E"/>
    <w:rsid w:val="3B26F3DF"/>
    <w:rsid w:val="3B3B508B"/>
    <w:rsid w:val="3B5DAA56"/>
    <w:rsid w:val="3B934536"/>
    <w:rsid w:val="3B970D14"/>
    <w:rsid w:val="3BA532E6"/>
    <w:rsid w:val="3BAB5BE4"/>
    <w:rsid w:val="3BBF280E"/>
    <w:rsid w:val="3BCE0649"/>
    <w:rsid w:val="3BD850F1"/>
    <w:rsid w:val="3BF2D5E1"/>
    <w:rsid w:val="3BFA8190"/>
    <w:rsid w:val="3C051A72"/>
    <w:rsid w:val="3C109782"/>
    <w:rsid w:val="3C121365"/>
    <w:rsid w:val="3C38DB3A"/>
    <w:rsid w:val="3C438762"/>
    <w:rsid w:val="3C49AAA7"/>
    <w:rsid w:val="3C7B24DB"/>
    <w:rsid w:val="3CA182A5"/>
    <w:rsid w:val="3CBA88E1"/>
    <w:rsid w:val="3CC56126"/>
    <w:rsid w:val="3CD5EDD6"/>
    <w:rsid w:val="3CDAD67E"/>
    <w:rsid w:val="3CDE2CAC"/>
    <w:rsid w:val="3CEACEA9"/>
    <w:rsid w:val="3CEC254A"/>
    <w:rsid w:val="3CF3AB49"/>
    <w:rsid w:val="3CFF0C81"/>
    <w:rsid w:val="3D0CE475"/>
    <w:rsid w:val="3D28FEAB"/>
    <w:rsid w:val="3D29D6BF"/>
    <w:rsid w:val="3D3E7552"/>
    <w:rsid w:val="3D825B1B"/>
    <w:rsid w:val="3DA4B6EA"/>
    <w:rsid w:val="3DA95851"/>
    <w:rsid w:val="3DADF754"/>
    <w:rsid w:val="3DBD7370"/>
    <w:rsid w:val="3DF352E6"/>
    <w:rsid w:val="3E07D4DD"/>
    <w:rsid w:val="3E477787"/>
    <w:rsid w:val="3E55C858"/>
    <w:rsid w:val="3E5ABBF9"/>
    <w:rsid w:val="3E5AEA61"/>
    <w:rsid w:val="3E645C83"/>
    <w:rsid w:val="3E666FD9"/>
    <w:rsid w:val="3E85472F"/>
    <w:rsid w:val="3E8871E2"/>
    <w:rsid w:val="3E8C8199"/>
    <w:rsid w:val="3EDD96FB"/>
    <w:rsid w:val="3EF14719"/>
    <w:rsid w:val="3EF85A70"/>
    <w:rsid w:val="3F02343E"/>
    <w:rsid w:val="3F096BF0"/>
    <w:rsid w:val="3F0D15A8"/>
    <w:rsid w:val="3F1D9A51"/>
    <w:rsid w:val="3F1E1E93"/>
    <w:rsid w:val="3F4831BC"/>
    <w:rsid w:val="3F49BEC6"/>
    <w:rsid w:val="3F5AC465"/>
    <w:rsid w:val="3F65E4B8"/>
    <w:rsid w:val="3F69F862"/>
    <w:rsid w:val="3F758A22"/>
    <w:rsid w:val="3F94C196"/>
    <w:rsid w:val="3F9BE07D"/>
    <w:rsid w:val="3F9F8815"/>
    <w:rsid w:val="3FA6DEFA"/>
    <w:rsid w:val="3FA72039"/>
    <w:rsid w:val="3FBCDD0E"/>
    <w:rsid w:val="3FC50B53"/>
    <w:rsid w:val="3FC562BB"/>
    <w:rsid w:val="3FCEABE1"/>
    <w:rsid w:val="3FDDED27"/>
    <w:rsid w:val="3FE7DA1D"/>
    <w:rsid w:val="400F03A1"/>
    <w:rsid w:val="401ACFE8"/>
    <w:rsid w:val="401DBCEF"/>
    <w:rsid w:val="40212C79"/>
    <w:rsid w:val="402378D1"/>
    <w:rsid w:val="405A0E92"/>
    <w:rsid w:val="4062ADC7"/>
    <w:rsid w:val="4065EFA0"/>
    <w:rsid w:val="406E689C"/>
    <w:rsid w:val="4074B2A4"/>
    <w:rsid w:val="4088C560"/>
    <w:rsid w:val="4089196A"/>
    <w:rsid w:val="40A3DC78"/>
    <w:rsid w:val="40A7DFDD"/>
    <w:rsid w:val="40A90F19"/>
    <w:rsid w:val="40D0FC8A"/>
    <w:rsid w:val="40EFD7BF"/>
    <w:rsid w:val="40F895D6"/>
    <w:rsid w:val="41357A0B"/>
    <w:rsid w:val="413677DB"/>
    <w:rsid w:val="414EDAEA"/>
    <w:rsid w:val="416CA72A"/>
    <w:rsid w:val="416F73D2"/>
    <w:rsid w:val="41791079"/>
    <w:rsid w:val="417C5BB9"/>
    <w:rsid w:val="418E645C"/>
    <w:rsid w:val="418F6707"/>
    <w:rsid w:val="41A127A3"/>
    <w:rsid w:val="41A46832"/>
    <w:rsid w:val="41D8BE16"/>
    <w:rsid w:val="41DF9318"/>
    <w:rsid w:val="41E145B6"/>
    <w:rsid w:val="41ECDC18"/>
    <w:rsid w:val="41F7435B"/>
    <w:rsid w:val="41FC4339"/>
    <w:rsid w:val="420C01A7"/>
    <w:rsid w:val="4216D313"/>
    <w:rsid w:val="421E1E82"/>
    <w:rsid w:val="422742AE"/>
    <w:rsid w:val="42284172"/>
    <w:rsid w:val="425A3BFC"/>
    <w:rsid w:val="42666C17"/>
    <w:rsid w:val="426A9B89"/>
    <w:rsid w:val="426AFECE"/>
    <w:rsid w:val="42863C44"/>
    <w:rsid w:val="42905748"/>
    <w:rsid w:val="42A72AE7"/>
    <w:rsid w:val="42E7DF2A"/>
    <w:rsid w:val="4303BB26"/>
    <w:rsid w:val="43231F60"/>
    <w:rsid w:val="432BDE08"/>
    <w:rsid w:val="433BBE8E"/>
    <w:rsid w:val="43595984"/>
    <w:rsid w:val="4364CBA8"/>
    <w:rsid w:val="4372462A"/>
    <w:rsid w:val="438070B8"/>
    <w:rsid w:val="43820343"/>
    <w:rsid w:val="438C40C4"/>
    <w:rsid w:val="438E8E77"/>
    <w:rsid w:val="43A74E6C"/>
    <w:rsid w:val="43B32D18"/>
    <w:rsid w:val="43C0B6AB"/>
    <w:rsid w:val="43C54453"/>
    <w:rsid w:val="43CD4698"/>
    <w:rsid w:val="43D7A2B8"/>
    <w:rsid w:val="43E76D13"/>
    <w:rsid w:val="442DCA7A"/>
    <w:rsid w:val="44309030"/>
    <w:rsid w:val="44339C30"/>
    <w:rsid w:val="443B2EC7"/>
    <w:rsid w:val="443CA6EC"/>
    <w:rsid w:val="44486888"/>
    <w:rsid w:val="444D1B42"/>
    <w:rsid w:val="446E8ECC"/>
    <w:rsid w:val="447B64A9"/>
    <w:rsid w:val="447EF342"/>
    <w:rsid w:val="448555C0"/>
    <w:rsid w:val="448683C1"/>
    <w:rsid w:val="4496E74E"/>
    <w:rsid w:val="44A3D7B9"/>
    <w:rsid w:val="44AD66BF"/>
    <w:rsid w:val="44C37E70"/>
    <w:rsid w:val="44C8F953"/>
    <w:rsid w:val="44DE59DA"/>
    <w:rsid w:val="44ED0E16"/>
    <w:rsid w:val="45070C31"/>
    <w:rsid w:val="451C52AF"/>
    <w:rsid w:val="4537EC80"/>
    <w:rsid w:val="4546D841"/>
    <w:rsid w:val="455A7842"/>
    <w:rsid w:val="456A8A08"/>
    <w:rsid w:val="45A5D174"/>
    <w:rsid w:val="45B776FA"/>
    <w:rsid w:val="45CA0970"/>
    <w:rsid w:val="45F6A1DA"/>
    <w:rsid w:val="45F8C762"/>
    <w:rsid w:val="45FC8D99"/>
    <w:rsid w:val="460108F8"/>
    <w:rsid w:val="46168C84"/>
    <w:rsid w:val="461FF548"/>
    <w:rsid w:val="46240A75"/>
    <w:rsid w:val="4633640D"/>
    <w:rsid w:val="468244D9"/>
    <w:rsid w:val="46970AFA"/>
    <w:rsid w:val="46A0EF61"/>
    <w:rsid w:val="46B3D6CA"/>
    <w:rsid w:val="46C1E212"/>
    <w:rsid w:val="46DC70C3"/>
    <w:rsid w:val="46EF76C6"/>
    <w:rsid w:val="470D418D"/>
    <w:rsid w:val="472C03B8"/>
    <w:rsid w:val="4732DE1B"/>
    <w:rsid w:val="476502BD"/>
    <w:rsid w:val="4765ECB4"/>
    <w:rsid w:val="4773A5E0"/>
    <w:rsid w:val="477622A4"/>
    <w:rsid w:val="47854EBA"/>
    <w:rsid w:val="478BD4B5"/>
    <w:rsid w:val="479A4965"/>
    <w:rsid w:val="47A3A5D9"/>
    <w:rsid w:val="47C49956"/>
    <w:rsid w:val="4803FF47"/>
    <w:rsid w:val="4813026C"/>
    <w:rsid w:val="4816F526"/>
    <w:rsid w:val="48221FAD"/>
    <w:rsid w:val="483442A2"/>
    <w:rsid w:val="483B8869"/>
    <w:rsid w:val="4846CBB7"/>
    <w:rsid w:val="484AB897"/>
    <w:rsid w:val="4853A0A5"/>
    <w:rsid w:val="48C9E9B5"/>
    <w:rsid w:val="48CE98BC"/>
    <w:rsid w:val="48D6951B"/>
    <w:rsid w:val="48DD3D8D"/>
    <w:rsid w:val="48E9B5CA"/>
    <w:rsid w:val="48F90649"/>
    <w:rsid w:val="48FC2DBB"/>
    <w:rsid w:val="48FFFF42"/>
    <w:rsid w:val="4902D44E"/>
    <w:rsid w:val="4908AD76"/>
    <w:rsid w:val="490CA634"/>
    <w:rsid w:val="49444898"/>
    <w:rsid w:val="494697C9"/>
    <w:rsid w:val="4954C3D2"/>
    <w:rsid w:val="49623102"/>
    <w:rsid w:val="496B22F2"/>
    <w:rsid w:val="496BA6D8"/>
    <w:rsid w:val="49936DDC"/>
    <w:rsid w:val="49AAC1C0"/>
    <w:rsid w:val="49C5F4A7"/>
    <w:rsid w:val="49CA4446"/>
    <w:rsid w:val="49CD172F"/>
    <w:rsid w:val="49F4C281"/>
    <w:rsid w:val="4A259436"/>
    <w:rsid w:val="4A25DCEE"/>
    <w:rsid w:val="4A2AA059"/>
    <w:rsid w:val="4A2E4AF1"/>
    <w:rsid w:val="4A52A862"/>
    <w:rsid w:val="4A690579"/>
    <w:rsid w:val="4A80FED1"/>
    <w:rsid w:val="4AA0DB34"/>
    <w:rsid w:val="4ABE60F0"/>
    <w:rsid w:val="4ACCCA3F"/>
    <w:rsid w:val="4AF092CD"/>
    <w:rsid w:val="4B037C15"/>
    <w:rsid w:val="4B2B688B"/>
    <w:rsid w:val="4B382803"/>
    <w:rsid w:val="4B5EE221"/>
    <w:rsid w:val="4B688294"/>
    <w:rsid w:val="4B73A07C"/>
    <w:rsid w:val="4B7D60B8"/>
    <w:rsid w:val="4B7F4C09"/>
    <w:rsid w:val="4B822624"/>
    <w:rsid w:val="4B91F76E"/>
    <w:rsid w:val="4BA5F22B"/>
    <w:rsid w:val="4BB3AA51"/>
    <w:rsid w:val="4BBE685D"/>
    <w:rsid w:val="4BDDBE50"/>
    <w:rsid w:val="4BDE2337"/>
    <w:rsid w:val="4BEA8FEF"/>
    <w:rsid w:val="4C07B162"/>
    <w:rsid w:val="4C3AF329"/>
    <w:rsid w:val="4C43305E"/>
    <w:rsid w:val="4C69FA18"/>
    <w:rsid w:val="4C80D184"/>
    <w:rsid w:val="4C86AEB6"/>
    <w:rsid w:val="4CA2FF57"/>
    <w:rsid w:val="4CA85F1C"/>
    <w:rsid w:val="4CACFF55"/>
    <w:rsid w:val="4CC660C1"/>
    <w:rsid w:val="4CE0CCE5"/>
    <w:rsid w:val="4CE8A6B6"/>
    <w:rsid w:val="4D017F5B"/>
    <w:rsid w:val="4D0DBD17"/>
    <w:rsid w:val="4D184A5F"/>
    <w:rsid w:val="4D1B10CA"/>
    <w:rsid w:val="4D1CE7AB"/>
    <w:rsid w:val="4D218285"/>
    <w:rsid w:val="4D2189B7"/>
    <w:rsid w:val="4D21A669"/>
    <w:rsid w:val="4D21A9E9"/>
    <w:rsid w:val="4D2883D1"/>
    <w:rsid w:val="4D59F181"/>
    <w:rsid w:val="4D5BE13A"/>
    <w:rsid w:val="4D5D8C5E"/>
    <w:rsid w:val="4D7017DD"/>
    <w:rsid w:val="4D816D79"/>
    <w:rsid w:val="4D8F0BA8"/>
    <w:rsid w:val="4D8F1395"/>
    <w:rsid w:val="4DA3A641"/>
    <w:rsid w:val="4DA8A3E9"/>
    <w:rsid w:val="4DC7ED91"/>
    <w:rsid w:val="4DD614AD"/>
    <w:rsid w:val="4DE2A73E"/>
    <w:rsid w:val="4DE5E47B"/>
    <w:rsid w:val="4DE95658"/>
    <w:rsid w:val="4DEC9B72"/>
    <w:rsid w:val="4DEE215E"/>
    <w:rsid w:val="4DF87664"/>
    <w:rsid w:val="4DF8BBFB"/>
    <w:rsid w:val="4E1635E3"/>
    <w:rsid w:val="4E782902"/>
    <w:rsid w:val="4E7D54F6"/>
    <w:rsid w:val="4E85B744"/>
    <w:rsid w:val="4E8EB01E"/>
    <w:rsid w:val="4E9A21A6"/>
    <w:rsid w:val="4EBA436C"/>
    <w:rsid w:val="4EBDC2B9"/>
    <w:rsid w:val="4EC2F31A"/>
    <w:rsid w:val="4EC76670"/>
    <w:rsid w:val="4EDECFBF"/>
    <w:rsid w:val="4EDFAD5C"/>
    <w:rsid w:val="4EE7EF01"/>
    <w:rsid w:val="4EED0B1E"/>
    <w:rsid w:val="4F01A6AE"/>
    <w:rsid w:val="4F0348EB"/>
    <w:rsid w:val="4F108214"/>
    <w:rsid w:val="4F1240D0"/>
    <w:rsid w:val="4F13B954"/>
    <w:rsid w:val="4F16B6AB"/>
    <w:rsid w:val="4F2E4664"/>
    <w:rsid w:val="4F54C933"/>
    <w:rsid w:val="4F7452BC"/>
    <w:rsid w:val="4FB15A2B"/>
    <w:rsid w:val="4FCE7530"/>
    <w:rsid w:val="4FDF9D7D"/>
    <w:rsid w:val="4FEFF146"/>
    <w:rsid w:val="4FFB5C53"/>
    <w:rsid w:val="500FBB2C"/>
    <w:rsid w:val="503E8362"/>
    <w:rsid w:val="504FE969"/>
    <w:rsid w:val="5054ECD9"/>
    <w:rsid w:val="5063FC2E"/>
    <w:rsid w:val="507EAF11"/>
    <w:rsid w:val="50845E34"/>
    <w:rsid w:val="50AFADEC"/>
    <w:rsid w:val="50B70E92"/>
    <w:rsid w:val="50CBFA3A"/>
    <w:rsid w:val="50ED2485"/>
    <w:rsid w:val="50F2CABC"/>
    <w:rsid w:val="51038B51"/>
    <w:rsid w:val="512DC368"/>
    <w:rsid w:val="5161E3E5"/>
    <w:rsid w:val="5188E13A"/>
    <w:rsid w:val="5197DCD0"/>
    <w:rsid w:val="51A9A3E2"/>
    <w:rsid w:val="51ABA66C"/>
    <w:rsid w:val="51B4E3E6"/>
    <w:rsid w:val="51BD3BAA"/>
    <w:rsid w:val="51C247AF"/>
    <w:rsid w:val="51DE7E91"/>
    <w:rsid w:val="51F31AA6"/>
    <w:rsid w:val="52283B94"/>
    <w:rsid w:val="5237E457"/>
    <w:rsid w:val="525605D7"/>
    <w:rsid w:val="525BB18A"/>
    <w:rsid w:val="525E4576"/>
    <w:rsid w:val="528403C6"/>
    <w:rsid w:val="5290BDB0"/>
    <w:rsid w:val="5299956E"/>
    <w:rsid w:val="529E8B8E"/>
    <w:rsid w:val="52B26732"/>
    <w:rsid w:val="52BE7D05"/>
    <w:rsid w:val="52C28D23"/>
    <w:rsid w:val="52D657FC"/>
    <w:rsid w:val="5304BE67"/>
    <w:rsid w:val="53331EDD"/>
    <w:rsid w:val="53754FBB"/>
    <w:rsid w:val="538FF5F2"/>
    <w:rsid w:val="53A15C3A"/>
    <w:rsid w:val="53AB5733"/>
    <w:rsid w:val="53C0CD90"/>
    <w:rsid w:val="53C42ED8"/>
    <w:rsid w:val="53C9F1C2"/>
    <w:rsid w:val="53D3B0F7"/>
    <w:rsid w:val="53D5873D"/>
    <w:rsid w:val="541AA1B9"/>
    <w:rsid w:val="54445745"/>
    <w:rsid w:val="5448E422"/>
    <w:rsid w:val="545BC797"/>
    <w:rsid w:val="545C03F1"/>
    <w:rsid w:val="547E4E33"/>
    <w:rsid w:val="5489B39B"/>
    <w:rsid w:val="54A72551"/>
    <w:rsid w:val="54A74E7F"/>
    <w:rsid w:val="54AECB74"/>
    <w:rsid w:val="54B5F146"/>
    <w:rsid w:val="54B9697D"/>
    <w:rsid w:val="54E2F438"/>
    <w:rsid w:val="54F54610"/>
    <w:rsid w:val="54FB9DDB"/>
    <w:rsid w:val="55191BCD"/>
    <w:rsid w:val="5556ED1B"/>
    <w:rsid w:val="555F08ED"/>
    <w:rsid w:val="5564915D"/>
    <w:rsid w:val="5564C176"/>
    <w:rsid w:val="55737E04"/>
    <w:rsid w:val="55A56DD8"/>
    <w:rsid w:val="55C20935"/>
    <w:rsid w:val="55D6BA20"/>
    <w:rsid w:val="55DF571D"/>
    <w:rsid w:val="55DFF064"/>
    <w:rsid w:val="55E95115"/>
    <w:rsid w:val="55F32CA3"/>
    <w:rsid w:val="56043599"/>
    <w:rsid w:val="56090E50"/>
    <w:rsid w:val="56203A16"/>
    <w:rsid w:val="5637E190"/>
    <w:rsid w:val="568027F1"/>
    <w:rsid w:val="56975534"/>
    <w:rsid w:val="5698FF0E"/>
    <w:rsid w:val="56AFB49E"/>
    <w:rsid w:val="56C81D40"/>
    <w:rsid w:val="56D32B63"/>
    <w:rsid w:val="5718F7B1"/>
    <w:rsid w:val="571B85FA"/>
    <w:rsid w:val="5733B5E1"/>
    <w:rsid w:val="573CAEB2"/>
    <w:rsid w:val="575C4A08"/>
    <w:rsid w:val="575F3DB0"/>
    <w:rsid w:val="57762BEA"/>
    <w:rsid w:val="5777B71A"/>
    <w:rsid w:val="5786CF83"/>
    <w:rsid w:val="57A5622D"/>
    <w:rsid w:val="57A926F9"/>
    <w:rsid w:val="57ADCF11"/>
    <w:rsid w:val="57CC27C2"/>
    <w:rsid w:val="57D587CD"/>
    <w:rsid w:val="57E192D5"/>
    <w:rsid w:val="57ED8078"/>
    <w:rsid w:val="58009213"/>
    <w:rsid w:val="581FA012"/>
    <w:rsid w:val="5828E517"/>
    <w:rsid w:val="58327297"/>
    <w:rsid w:val="584CB66E"/>
    <w:rsid w:val="584D23CE"/>
    <w:rsid w:val="58616F2F"/>
    <w:rsid w:val="586C9793"/>
    <w:rsid w:val="5887AC0C"/>
    <w:rsid w:val="5890C063"/>
    <w:rsid w:val="58A2DAA2"/>
    <w:rsid w:val="58AB5DEE"/>
    <w:rsid w:val="58ACE59D"/>
    <w:rsid w:val="58AEC3F5"/>
    <w:rsid w:val="58B301EA"/>
    <w:rsid w:val="58D3B085"/>
    <w:rsid w:val="58E84098"/>
    <w:rsid w:val="58EF625A"/>
    <w:rsid w:val="590B15D5"/>
    <w:rsid w:val="590CA628"/>
    <w:rsid w:val="5910299B"/>
    <w:rsid w:val="5930864E"/>
    <w:rsid w:val="594B53DF"/>
    <w:rsid w:val="59598B27"/>
    <w:rsid w:val="59603750"/>
    <w:rsid w:val="59797CAC"/>
    <w:rsid w:val="599F4049"/>
    <w:rsid w:val="59B51F30"/>
    <w:rsid w:val="59B56A01"/>
    <w:rsid w:val="59B936E0"/>
    <w:rsid w:val="59D865D7"/>
    <w:rsid w:val="59F47FF0"/>
    <w:rsid w:val="5A11FDD3"/>
    <w:rsid w:val="5A17B0B1"/>
    <w:rsid w:val="5A550F7D"/>
    <w:rsid w:val="5A6D1672"/>
    <w:rsid w:val="5AE68C19"/>
    <w:rsid w:val="5AEC84BF"/>
    <w:rsid w:val="5B1D2465"/>
    <w:rsid w:val="5B503FAB"/>
    <w:rsid w:val="5B7F2DAC"/>
    <w:rsid w:val="5BB9D5B0"/>
    <w:rsid w:val="5BBC8923"/>
    <w:rsid w:val="5BBC9FFC"/>
    <w:rsid w:val="5BCA8FB5"/>
    <w:rsid w:val="5BE4E3AE"/>
    <w:rsid w:val="5BFD33C5"/>
    <w:rsid w:val="5BFFE1C6"/>
    <w:rsid w:val="5C1023D0"/>
    <w:rsid w:val="5C36547B"/>
    <w:rsid w:val="5C38473A"/>
    <w:rsid w:val="5C44E0EE"/>
    <w:rsid w:val="5C57AAE6"/>
    <w:rsid w:val="5C5804E1"/>
    <w:rsid w:val="5C5DAEF1"/>
    <w:rsid w:val="5C675537"/>
    <w:rsid w:val="5C6ECBBC"/>
    <w:rsid w:val="5C70D739"/>
    <w:rsid w:val="5C77A8A9"/>
    <w:rsid w:val="5C7C9D97"/>
    <w:rsid w:val="5C89AE04"/>
    <w:rsid w:val="5CA37C0F"/>
    <w:rsid w:val="5CBD591B"/>
    <w:rsid w:val="5CD4DBE9"/>
    <w:rsid w:val="5CFDD380"/>
    <w:rsid w:val="5CFF9D1F"/>
    <w:rsid w:val="5D06C131"/>
    <w:rsid w:val="5D1CB8EC"/>
    <w:rsid w:val="5D3F13A2"/>
    <w:rsid w:val="5D47A81B"/>
    <w:rsid w:val="5D58EF38"/>
    <w:rsid w:val="5D6494C9"/>
    <w:rsid w:val="5D6606EF"/>
    <w:rsid w:val="5D7423AB"/>
    <w:rsid w:val="5D863F30"/>
    <w:rsid w:val="5D9F5ED5"/>
    <w:rsid w:val="5DAB358A"/>
    <w:rsid w:val="5DB092C1"/>
    <w:rsid w:val="5DB2468A"/>
    <w:rsid w:val="5DC1F9D8"/>
    <w:rsid w:val="5DC3C605"/>
    <w:rsid w:val="5DCAE8A3"/>
    <w:rsid w:val="5DCD1B4D"/>
    <w:rsid w:val="5E0BAA5D"/>
    <w:rsid w:val="5E22494F"/>
    <w:rsid w:val="5E2849A6"/>
    <w:rsid w:val="5E44EE49"/>
    <w:rsid w:val="5E4BA687"/>
    <w:rsid w:val="5E5D0B69"/>
    <w:rsid w:val="5E969123"/>
    <w:rsid w:val="5E984DE4"/>
    <w:rsid w:val="5E9E5123"/>
    <w:rsid w:val="5EDE3750"/>
    <w:rsid w:val="5EF4A90F"/>
    <w:rsid w:val="5EF51576"/>
    <w:rsid w:val="5F378664"/>
    <w:rsid w:val="5F4826A6"/>
    <w:rsid w:val="5F5254A5"/>
    <w:rsid w:val="5F8300D2"/>
    <w:rsid w:val="5F884FF3"/>
    <w:rsid w:val="5F94895F"/>
    <w:rsid w:val="5F9C5BD2"/>
    <w:rsid w:val="5FB35A0F"/>
    <w:rsid w:val="5FB56D60"/>
    <w:rsid w:val="5FC5A334"/>
    <w:rsid w:val="5FDF09B6"/>
    <w:rsid w:val="6007509A"/>
    <w:rsid w:val="600791D2"/>
    <w:rsid w:val="6010B038"/>
    <w:rsid w:val="6017E71D"/>
    <w:rsid w:val="601B5059"/>
    <w:rsid w:val="601F8783"/>
    <w:rsid w:val="60345AD3"/>
    <w:rsid w:val="605E994F"/>
    <w:rsid w:val="60680953"/>
    <w:rsid w:val="607C5C50"/>
    <w:rsid w:val="6093EC87"/>
    <w:rsid w:val="609D2068"/>
    <w:rsid w:val="60A3387F"/>
    <w:rsid w:val="60A3F7C1"/>
    <w:rsid w:val="60BA6401"/>
    <w:rsid w:val="60C0C772"/>
    <w:rsid w:val="60D613DF"/>
    <w:rsid w:val="60DD5C9D"/>
    <w:rsid w:val="60E33725"/>
    <w:rsid w:val="60E8F5AC"/>
    <w:rsid w:val="6106B0CE"/>
    <w:rsid w:val="61143D8C"/>
    <w:rsid w:val="612C61DE"/>
    <w:rsid w:val="615482CB"/>
    <w:rsid w:val="61826BEA"/>
    <w:rsid w:val="61A6B96D"/>
    <w:rsid w:val="61BD9927"/>
    <w:rsid w:val="61CAE5F1"/>
    <w:rsid w:val="61D5A0BE"/>
    <w:rsid w:val="61D94397"/>
    <w:rsid w:val="61DB8E8E"/>
    <w:rsid w:val="61E768AB"/>
    <w:rsid w:val="61EF4CCE"/>
    <w:rsid w:val="61F98F2C"/>
    <w:rsid w:val="6217FE66"/>
    <w:rsid w:val="6221F040"/>
    <w:rsid w:val="6227B1EA"/>
    <w:rsid w:val="62361459"/>
    <w:rsid w:val="623F3E69"/>
    <w:rsid w:val="624EEFFD"/>
    <w:rsid w:val="624F18AF"/>
    <w:rsid w:val="625D899C"/>
    <w:rsid w:val="62682468"/>
    <w:rsid w:val="627BF1A3"/>
    <w:rsid w:val="627D4475"/>
    <w:rsid w:val="62810FD3"/>
    <w:rsid w:val="6285535C"/>
    <w:rsid w:val="62A6853A"/>
    <w:rsid w:val="62AEFE58"/>
    <w:rsid w:val="62B5FFA0"/>
    <w:rsid w:val="62B82E2B"/>
    <w:rsid w:val="62BD8BEB"/>
    <w:rsid w:val="62D8E5A2"/>
    <w:rsid w:val="62DDCB87"/>
    <w:rsid w:val="62EFE91B"/>
    <w:rsid w:val="630610C0"/>
    <w:rsid w:val="630A0A19"/>
    <w:rsid w:val="6317BE82"/>
    <w:rsid w:val="632D1377"/>
    <w:rsid w:val="6331DDBB"/>
    <w:rsid w:val="633D0E4E"/>
    <w:rsid w:val="6354E392"/>
    <w:rsid w:val="6361C4C6"/>
    <w:rsid w:val="639691C0"/>
    <w:rsid w:val="63C9885C"/>
    <w:rsid w:val="63F2DB60"/>
    <w:rsid w:val="63F6E37A"/>
    <w:rsid w:val="640007DD"/>
    <w:rsid w:val="6404433E"/>
    <w:rsid w:val="640C85C2"/>
    <w:rsid w:val="643E37D9"/>
    <w:rsid w:val="644D618A"/>
    <w:rsid w:val="6468BAA5"/>
    <w:rsid w:val="647390D0"/>
    <w:rsid w:val="648DEB6D"/>
    <w:rsid w:val="649355A8"/>
    <w:rsid w:val="6498BD81"/>
    <w:rsid w:val="64B8007A"/>
    <w:rsid w:val="64CC87E1"/>
    <w:rsid w:val="64CCDD81"/>
    <w:rsid w:val="65113209"/>
    <w:rsid w:val="6517417D"/>
    <w:rsid w:val="65250FBF"/>
    <w:rsid w:val="654DB775"/>
    <w:rsid w:val="655EC5C8"/>
    <w:rsid w:val="656671B5"/>
    <w:rsid w:val="65A85D71"/>
    <w:rsid w:val="65B7A6DA"/>
    <w:rsid w:val="65BA1242"/>
    <w:rsid w:val="65C645D1"/>
    <w:rsid w:val="65E1488D"/>
    <w:rsid w:val="65F08352"/>
    <w:rsid w:val="660C475E"/>
    <w:rsid w:val="660F3B42"/>
    <w:rsid w:val="6622FB19"/>
    <w:rsid w:val="6638A25E"/>
    <w:rsid w:val="6656C530"/>
    <w:rsid w:val="6668E95D"/>
    <w:rsid w:val="666EFA5E"/>
    <w:rsid w:val="66812846"/>
    <w:rsid w:val="669008FE"/>
    <w:rsid w:val="6691B3D2"/>
    <w:rsid w:val="669C4FAA"/>
    <w:rsid w:val="6701F059"/>
    <w:rsid w:val="6720D69B"/>
    <w:rsid w:val="67345190"/>
    <w:rsid w:val="6740D231"/>
    <w:rsid w:val="67591B78"/>
    <w:rsid w:val="6778A5E7"/>
    <w:rsid w:val="67B12FF4"/>
    <w:rsid w:val="67BCE48D"/>
    <w:rsid w:val="67CBB432"/>
    <w:rsid w:val="67CE6C61"/>
    <w:rsid w:val="67CF438B"/>
    <w:rsid w:val="67F31046"/>
    <w:rsid w:val="67F64E4E"/>
    <w:rsid w:val="6802910C"/>
    <w:rsid w:val="6804FDD4"/>
    <w:rsid w:val="6810BCC3"/>
    <w:rsid w:val="681E2788"/>
    <w:rsid w:val="682A5AC3"/>
    <w:rsid w:val="682D41C9"/>
    <w:rsid w:val="6848D42E"/>
    <w:rsid w:val="68767AC7"/>
    <w:rsid w:val="68A3595F"/>
    <w:rsid w:val="68BC2796"/>
    <w:rsid w:val="68C78E7C"/>
    <w:rsid w:val="68E8F858"/>
    <w:rsid w:val="68ECC8A6"/>
    <w:rsid w:val="68FF85E5"/>
    <w:rsid w:val="69142832"/>
    <w:rsid w:val="69422AAF"/>
    <w:rsid w:val="694781E8"/>
    <w:rsid w:val="69690932"/>
    <w:rsid w:val="6969453C"/>
    <w:rsid w:val="696ABEF9"/>
    <w:rsid w:val="69715C59"/>
    <w:rsid w:val="697EA68B"/>
    <w:rsid w:val="699341F5"/>
    <w:rsid w:val="699AD693"/>
    <w:rsid w:val="69ACF3D6"/>
    <w:rsid w:val="69AD8332"/>
    <w:rsid w:val="69DD94D9"/>
    <w:rsid w:val="69E5D659"/>
    <w:rsid w:val="69ED6336"/>
    <w:rsid w:val="69F397F4"/>
    <w:rsid w:val="69FFD85F"/>
    <w:rsid w:val="6A0C5FE6"/>
    <w:rsid w:val="6A1286C3"/>
    <w:rsid w:val="6A2E23C2"/>
    <w:rsid w:val="6A339D4D"/>
    <w:rsid w:val="6A39AB19"/>
    <w:rsid w:val="6A4BAFBD"/>
    <w:rsid w:val="6A76F5E5"/>
    <w:rsid w:val="6A7E0C5F"/>
    <w:rsid w:val="6A803D39"/>
    <w:rsid w:val="6A812BE1"/>
    <w:rsid w:val="6AB8D7EC"/>
    <w:rsid w:val="6AC14CB1"/>
    <w:rsid w:val="6AE1A9A4"/>
    <w:rsid w:val="6AE4731C"/>
    <w:rsid w:val="6AF54DC0"/>
    <w:rsid w:val="6AFD4077"/>
    <w:rsid w:val="6B1633BA"/>
    <w:rsid w:val="6B16AFE4"/>
    <w:rsid w:val="6B24B93A"/>
    <w:rsid w:val="6B6457B8"/>
    <w:rsid w:val="6B7BDADF"/>
    <w:rsid w:val="6B81B54B"/>
    <w:rsid w:val="6B84A76A"/>
    <w:rsid w:val="6B8FAA76"/>
    <w:rsid w:val="6B9BE99F"/>
    <w:rsid w:val="6B9EDCE6"/>
    <w:rsid w:val="6BABE2E6"/>
    <w:rsid w:val="6BAFBD08"/>
    <w:rsid w:val="6BBA5FFA"/>
    <w:rsid w:val="6BC47054"/>
    <w:rsid w:val="6BCB7A9C"/>
    <w:rsid w:val="6BED49B2"/>
    <w:rsid w:val="6BF31B48"/>
    <w:rsid w:val="6C355683"/>
    <w:rsid w:val="6C54487D"/>
    <w:rsid w:val="6C587C41"/>
    <w:rsid w:val="6C63196C"/>
    <w:rsid w:val="6C7473DF"/>
    <w:rsid w:val="6C75DCE0"/>
    <w:rsid w:val="6C7A3908"/>
    <w:rsid w:val="6C903763"/>
    <w:rsid w:val="6C944BB0"/>
    <w:rsid w:val="6C9EEEC3"/>
    <w:rsid w:val="6CA98101"/>
    <w:rsid w:val="6CB87E0F"/>
    <w:rsid w:val="6CC4806B"/>
    <w:rsid w:val="6CCFB6CE"/>
    <w:rsid w:val="6CDDE625"/>
    <w:rsid w:val="6CEBF802"/>
    <w:rsid w:val="6CF84475"/>
    <w:rsid w:val="6CFA60C5"/>
    <w:rsid w:val="6D017FCC"/>
    <w:rsid w:val="6D077EAA"/>
    <w:rsid w:val="6D1D13DC"/>
    <w:rsid w:val="6D1ECA41"/>
    <w:rsid w:val="6D28A894"/>
    <w:rsid w:val="6D596899"/>
    <w:rsid w:val="6D62CFD0"/>
    <w:rsid w:val="6D65C09F"/>
    <w:rsid w:val="6D744DA6"/>
    <w:rsid w:val="6DA4C39F"/>
    <w:rsid w:val="6DAA6891"/>
    <w:rsid w:val="6DAAB9BB"/>
    <w:rsid w:val="6DD4CA36"/>
    <w:rsid w:val="6DDF7789"/>
    <w:rsid w:val="6E0DFF27"/>
    <w:rsid w:val="6E25714F"/>
    <w:rsid w:val="6E3467AE"/>
    <w:rsid w:val="6E5BD92D"/>
    <w:rsid w:val="6E5F9293"/>
    <w:rsid w:val="6E6F967B"/>
    <w:rsid w:val="6E7BB0B1"/>
    <w:rsid w:val="6E8196A2"/>
    <w:rsid w:val="6E885A26"/>
    <w:rsid w:val="6E910939"/>
    <w:rsid w:val="6E94DC50"/>
    <w:rsid w:val="6EA43E3C"/>
    <w:rsid w:val="6EB059DA"/>
    <w:rsid w:val="6EB30E0F"/>
    <w:rsid w:val="6EE76709"/>
    <w:rsid w:val="6EF9EDC4"/>
    <w:rsid w:val="6F0F7B16"/>
    <w:rsid w:val="6F4FBED4"/>
    <w:rsid w:val="6F5C3125"/>
    <w:rsid w:val="6F60317D"/>
    <w:rsid w:val="6F640489"/>
    <w:rsid w:val="6F671BDA"/>
    <w:rsid w:val="6F7E60A3"/>
    <w:rsid w:val="6F9F22FA"/>
    <w:rsid w:val="6FD8826F"/>
    <w:rsid w:val="6FE4A092"/>
    <w:rsid w:val="6FEE3D10"/>
    <w:rsid w:val="6FF82CE7"/>
    <w:rsid w:val="7000A0D0"/>
    <w:rsid w:val="701D1A23"/>
    <w:rsid w:val="701FD50F"/>
    <w:rsid w:val="7026BEEF"/>
    <w:rsid w:val="704C737D"/>
    <w:rsid w:val="706504E7"/>
    <w:rsid w:val="706CDC2F"/>
    <w:rsid w:val="7077F838"/>
    <w:rsid w:val="7081A2AE"/>
    <w:rsid w:val="7083D424"/>
    <w:rsid w:val="708E5A62"/>
    <w:rsid w:val="70909CA1"/>
    <w:rsid w:val="70962709"/>
    <w:rsid w:val="70A6C325"/>
    <w:rsid w:val="70AD7EC1"/>
    <w:rsid w:val="70BB9C25"/>
    <w:rsid w:val="70D46B4B"/>
    <w:rsid w:val="70DAC3F1"/>
    <w:rsid w:val="70E12F66"/>
    <w:rsid w:val="70E3D8A4"/>
    <w:rsid w:val="70E9CA2E"/>
    <w:rsid w:val="71179117"/>
    <w:rsid w:val="711D8062"/>
    <w:rsid w:val="71311E05"/>
    <w:rsid w:val="713C6B35"/>
    <w:rsid w:val="7142B0CF"/>
    <w:rsid w:val="7152702B"/>
    <w:rsid w:val="7164B8BF"/>
    <w:rsid w:val="716682CE"/>
    <w:rsid w:val="71CE1ADD"/>
    <w:rsid w:val="71D85007"/>
    <w:rsid w:val="722B010D"/>
    <w:rsid w:val="7261BCEB"/>
    <w:rsid w:val="72660BD7"/>
    <w:rsid w:val="728EFD21"/>
    <w:rsid w:val="72908B44"/>
    <w:rsid w:val="7292250D"/>
    <w:rsid w:val="72ACF36F"/>
    <w:rsid w:val="72C2EAC1"/>
    <w:rsid w:val="7317D172"/>
    <w:rsid w:val="73235A39"/>
    <w:rsid w:val="732FDAD4"/>
    <w:rsid w:val="7337D4BD"/>
    <w:rsid w:val="7345278A"/>
    <w:rsid w:val="734F7999"/>
    <w:rsid w:val="735C6F55"/>
    <w:rsid w:val="7372F503"/>
    <w:rsid w:val="73850762"/>
    <w:rsid w:val="738FBE9C"/>
    <w:rsid w:val="7398CE81"/>
    <w:rsid w:val="73AD3768"/>
    <w:rsid w:val="73EF13B9"/>
    <w:rsid w:val="7402A41B"/>
    <w:rsid w:val="741BEA30"/>
    <w:rsid w:val="742B22BF"/>
    <w:rsid w:val="742E9059"/>
    <w:rsid w:val="7447D75D"/>
    <w:rsid w:val="74511321"/>
    <w:rsid w:val="7462A839"/>
    <w:rsid w:val="7463A7F1"/>
    <w:rsid w:val="747EBF51"/>
    <w:rsid w:val="7492FB62"/>
    <w:rsid w:val="749D93FC"/>
    <w:rsid w:val="74A4B7FE"/>
    <w:rsid w:val="74A4DAB8"/>
    <w:rsid w:val="74B4D432"/>
    <w:rsid w:val="74CFB99E"/>
    <w:rsid w:val="74F70EBF"/>
    <w:rsid w:val="74FE67F2"/>
    <w:rsid w:val="7507855B"/>
    <w:rsid w:val="751E2645"/>
    <w:rsid w:val="752A3B04"/>
    <w:rsid w:val="753B7AD7"/>
    <w:rsid w:val="753D091D"/>
    <w:rsid w:val="756FB5C0"/>
    <w:rsid w:val="757BDEFF"/>
    <w:rsid w:val="759A1397"/>
    <w:rsid w:val="75A2EA65"/>
    <w:rsid w:val="75A9C84F"/>
    <w:rsid w:val="75AA3572"/>
    <w:rsid w:val="75B10C89"/>
    <w:rsid w:val="75B1477D"/>
    <w:rsid w:val="75E8F86B"/>
    <w:rsid w:val="7619F5C7"/>
    <w:rsid w:val="76299499"/>
    <w:rsid w:val="767485A0"/>
    <w:rsid w:val="767CCD5E"/>
    <w:rsid w:val="76827743"/>
    <w:rsid w:val="769FEB67"/>
    <w:rsid w:val="76A0E422"/>
    <w:rsid w:val="76BE5575"/>
    <w:rsid w:val="76CDA54D"/>
    <w:rsid w:val="76D37DFB"/>
    <w:rsid w:val="76E1C6E2"/>
    <w:rsid w:val="7701D8A1"/>
    <w:rsid w:val="7703A545"/>
    <w:rsid w:val="770480F1"/>
    <w:rsid w:val="770D364E"/>
    <w:rsid w:val="7716677B"/>
    <w:rsid w:val="771FD310"/>
    <w:rsid w:val="77551F1B"/>
    <w:rsid w:val="7758DEF2"/>
    <w:rsid w:val="777AAC55"/>
    <w:rsid w:val="77983E92"/>
    <w:rsid w:val="77AF1F23"/>
    <w:rsid w:val="77B1056F"/>
    <w:rsid w:val="77C0D0BE"/>
    <w:rsid w:val="77C3874D"/>
    <w:rsid w:val="77E32A5D"/>
    <w:rsid w:val="77ECE7DA"/>
    <w:rsid w:val="77F00C4C"/>
    <w:rsid w:val="77FEABC5"/>
    <w:rsid w:val="77FFBE5D"/>
    <w:rsid w:val="781648CE"/>
    <w:rsid w:val="7833E46A"/>
    <w:rsid w:val="78345929"/>
    <w:rsid w:val="783D4F45"/>
    <w:rsid w:val="78422C04"/>
    <w:rsid w:val="786A08F4"/>
    <w:rsid w:val="7876F486"/>
    <w:rsid w:val="787BC686"/>
    <w:rsid w:val="78930304"/>
    <w:rsid w:val="78B86AB4"/>
    <w:rsid w:val="79074423"/>
    <w:rsid w:val="79227831"/>
    <w:rsid w:val="79236B8A"/>
    <w:rsid w:val="792F79F2"/>
    <w:rsid w:val="7947D26A"/>
    <w:rsid w:val="7949F9AB"/>
    <w:rsid w:val="795EE6F0"/>
    <w:rsid w:val="79986ECE"/>
    <w:rsid w:val="79D2807F"/>
    <w:rsid w:val="79D472E2"/>
    <w:rsid w:val="79D555E0"/>
    <w:rsid w:val="79D878AE"/>
    <w:rsid w:val="7A0C0601"/>
    <w:rsid w:val="7A39A391"/>
    <w:rsid w:val="7A612EE3"/>
    <w:rsid w:val="7A7117C3"/>
    <w:rsid w:val="7A8CBE64"/>
    <w:rsid w:val="7AB9C015"/>
    <w:rsid w:val="7AE9EB72"/>
    <w:rsid w:val="7AF2BCDF"/>
    <w:rsid w:val="7B065687"/>
    <w:rsid w:val="7B0E2295"/>
    <w:rsid w:val="7B0F1EE1"/>
    <w:rsid w:val="7B1FBB9C"/>
    <w:rsid w:val="7B21F807"/>
    <w:rsid w:val="7B319F4D"/>
    <w:rsid w:val="7B4CB6DE"/>
    <w:rsid w:val="7B60CF7A"/>
    <w:rsid w:val="7B629D5F"/>
    <w:rsid w:val="7B6305BC"/>
    <w:rsid w:val="7B92FDA7"/>
    <w:rsid w:val="7B94DB3D"/>
    <w:rsid w:val="7B9975EE"/>
    <w:rsid w:val="7BA57D7D"/>
    <w:rsid w:val="7BA58E1A"/>
    <w:rsid w:val="7BA7DC9F"/>
    <w:rsid w:val="7BB985C8"/>
    <w:rsid w:val="7BC7B08D"/>
    <w:rsid w:val="7BE6E2B1"/>
    <w:rsid w:val="7BE97513"/>
    <w:rsid w:val="7BED7EDF"/>
    <w:rsid w:val="7C03C6B0"/>
    <w:rsid w:val="7C161922"/>
    <w:rsid w:val="7C1A7B05"/>
    <w:rsid w:val="7C534A49"/>
    <w:rsid w:val="7C5D2A0E"/>
    <w:rsid w:val="7C62EA85"/>
    <w:rsid w:val="7C7B5791"/>
    <w:rsid w:val="7C7EAF5F"/>
    <w:rsid w:val="7C86546D"/>
    <w:rsid w:val="7C87A877"/>
    <w:rsid w:val="7C8AADCF"/>
    <w:rsid w:val="7CA16B06"/>
    <w:rsid w:val="7CB9A716"/>
    <w:rsid w:val="7CBC471F"/>
    <w:rsid w:val="7CBE08E2"/>
    <w:rsid w:val="7CE0E4CE"/>
    <w:rsid w:val="7CE2EEFC"/>
    <w:rsid w:val="7CF6211B"/>
    <w:rsid w:val="7D20A4DB"/>
    <w:rsid w:val="7D22CD6D"/>
    <w:rsid w:val="7D2E9258"/>
    <w:rsid w:val="7DA96F54"/>
    <w:rsid w:val="7DCA4A67"/>
    <w:rsid w:val="7DCCFB97"/>
    <w:rsid w:val="7DCD9A12"/>
    <w:rsid w:val="7DD46327"/>
    <w:rsid w:val="7DFD299C"/>
    <w:rsid w:val="7DFE891B"/>
    <w:rsid w:val="7E00F032"/>
    <w:rsid w:val="7E05CFED"/>
    <w:rsid w:val="7E142210"/>
    <w:rsid w:val="7E28384B"/>
    <w:rsid w:val="7E2A7361"/>
    <w:rsid w:val="7E47A90F"/>
    <w:rsid w:val="7E4F3FC8"/>
    <w:rsid w:val="7E5119E1"/>
    <w:rsid w:val="7E520625"/>
    <w:rsid w:val="7E73BE64"/>
    <w:rsid w:val="7E7CB39E"/>
    <w:rsid w:val="7E9BB33F"/>
    <w:rsid w:val="7E9C5226"/>
    <w:rsid w:val="7EC42E01"/>
    <w:rsid w:val="7EE0BACF"/>
    <w:rsid w:val="7EED1869"/>
    <w:rsid w:val="7EFB3774"/>
    <w:rsid w:val="7F102228"/>
    <w:rsid w:val="7F1271D6"/>
    <w:rsid w:val="7F1710C5"/>
    <w:rsid w:val="7F182798"/>
    <w:rsid w:val="7F3C50A1"/>
    <w:rsid w:val="7F46233D"/>
    <w:rsid w:val="7F4D4846"/>
    <w:rsid w:val="7F5534F2"/>
    <w:rsid w:val="7F778759"/>
    <w:rsid w:val="7F78A762"/>
    <w:rsid w:val="7F81203A"/>
    <w:rsid w:val="7F94D2C2"/>
    <w:rsid w:val="7FACDF5C"/>
    <w:rsid w:val="7FB04735"/>
    <w:rsid w:val="7FC6ACD8"/>
    <w:rsid w:val="7FCDDC82"/>
    <w:rsid w:val="7FD105AB"/>
    <w:rsid w:val="7FD31A78"/>
    <w:rsid w:val="7FDD194D"/>
    <w:rsid w:val="7FE09F97"/>
    <w:rsid w:val="7FE7276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2B40E"/>
  <w15:chartTrackingRefBased/>
  <w15:docId w15:val="{DFD2F33C-E0FA-4A7D-B6F6-7E3F3A8E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iko Normal"/>
    <w:qFormat/>
    <w:rsid w:val="003C2038"/>
    <w:pPr>
      <w:spacing w:after="0" w:line="240" w:lineRule="exact"/>
      <w:contextualSpacing/>
      <w:jc w:val="both"/>
    </w:pPr>
    <w:rPr>
      <w:rFonts w:ascii="Times New Roman" w:hAnsi="Times New Roman"/>
      <w:lang w:val="en-GB"/>
    </w:rPr>
  </w:style>
  <w:style w:type="paragraph" w:styleId="Heading1">
    <w:name w:val="heading 1"/>
    <w:aliases w:val="Oiko Heading 1"/>
    <w:basedOn w:val="Normal"/>
    <w:next w:val="Normal"/>
    <w:link w:val="Heading1Char"/>
    <w:uiPriority w:val="9"/>
    <w:qFormat/>
    <w:rsid w:val="00E421DF"/>
    <w:pPr>
      <w:keepNext/>
      <w:keepLines/>
      <w:numPr>
        <w:numId w:val="26"/>
      </w:numPr>
      <w:spacing w:before="120" w:after="120" w:line="720" w:lineRule="exact"/>
      <w:jc w:val="left"/>
      <w:outlineLvl w:val="0"/>
    </w:pPr>
    <w:rPr>
      <w:rFonts w:eastAsiaTheme="majorEastAsia" w:cstheme="majorBidi"/>
      <w:color w:val="DD6B22" w:themeColor="accent3" w:themeShade="BF"/>
      <w:sz w:val="52"/>
      <w:szCs w:val="32"/>
    </w:rPr>
  </w:style>
  <w:style w:type="paragraph" w:styleId="Heading2">
    <w:name w:val="heading 2"/>
    <w:aliases w:val="Oiko Heading 2"/>
    <w:basedOn w:val="Normal"/>
    <w:next w:val="Normal"/>
    <w:link w:val="Heading2Char"/>
    <w:uiPriority w:val="9"/>
    <w:unhideWhenUsed/>
    <w:qFormat/>
    <w:rsid w:val="00E421DF"/>
    <w:pPr>
      <w:keepNext/>
      <w:keepLines/>
      <w:numPr>
        <w:ilvl w:val="1"/>
        <w:numId w:val="26"/>
      </w:numPr>
      <w:spacing w:before="120" w:after="120" w:line="600" w:lineRule="exact"/>
      <w:jc w:val="left"/>
      <w:outlineLvl w:val="1"/>
    </w:pPr>
    <w:rPr>
      <w:rFonts w:eastAsiaTheme="majorEastAsia" w:cstheme="majorBidi"/>
      <w:color w:val="DD6B22" w:themeColor="accent3" w:themeShade="BF"/>
      <w:sz w:val="44"/>
      <w:szCs w:val="26"/>
    </w:rPr>
  </w:style>
  <w:style w:type="paragraph" w:styleId="Heading3">
    <w:name w:val="heading 3"/>
    <w:aliases w:val="Oiko Heading 3"/>
    <w:basedOn w:val="Normal"/>
    <w:next w:val="Normal"/>
    <w:link w:val="Heading3Char"/>
    <w:uiPriority w:val="9"/>
    <w:unhideWhenUsed/>
    <w:qFormat/>
    <w:rsid w:val="00E421DF"/>
    <w:pPr>
      <w:keepNext/>
      <w:keepLines/>
      <w:numPr>
        <w:ilvl w:val="2"/>
        <w:numId w:val="26"/>
      </w:numPr>
      <w:spacing w:before="120" w:after="120" w:line="480" w:lineRule="exact"/>
      <w:ind w:left="851"/>
      <w:jc w:val="left"/>
      <w:outlineLvl w:val="2"/>
    </w:pPr>
    <w:rPr>
      <w:rFonts w:eastAsiaTheme="majorEastAsia" w:cstheme="majorBidi"/>
      <w:color w:val="DD6B22" w:themeColor="accent3" w:themeShade="BF"/>
      <w:sz w:val="36"/>
      <w:szCs w:val="24"/>
    </w:rPr>
  </w:style>
  <w:style w:type="paragraph" w:styleId="Heading4">
    <w:name w:val="heading 4"/>
    <w:aliases w:val="Oiko Heading 4"/>
    <w:basedOn w:val="Normal"/>
    <w:next w:val="Normal"/>
    <w:link w:val="Heading4Char"/>
    <w:uiPriority w:val="9"/>
    <w:unhideWhenUsed/>
    <w:qFormat/>
    <w:rsid w:val="001354DD"/>
    <w:pPr>
      <w:keepNext/>
      <w:keepLines/>
      <w:numPr>
        <w:ilvl w:val="3"/>
        <w:numId w:val="26"/>
      </w:numPr>
      <w:spacing w:before="520" w:after="160" w:line="360" w:lineRule="exact"/>
      <w:jc w:val="left"/>
      <w:outlineLvl w:val="3"/>
    </w:pPr>
    <w:rPr>
      <w:rFonts w:eastAsiaTheme="majorEastAsia" w:cstheme="majorBidi"/>
      <w:iCs/>
      <w:color w:val="DD6B22" w:themeColor="accent3" w:themeShade="BF"/>
      <w:sz w:val="32"/>
    </w:rPr>
  </w:style>
  <w:style w:type="paragraph" w:styleId="Heading5">
    <w:name w:val="heading 5"/>
    <w:aliases w:val="Oiko Heading 5"/>
    <w:basedOn w:val="Normal"/>
    <w:next w:val="Normal"/>
    <w:link w:val="Heading5Char"/>
    <w:uiPriority w:val="9"/>
    <w:unhideWhenUsed/>
    <w:qFormat/>
    <w:rsid w:val="0058325A"/>
    <w:pPr>
      <w:keepNext/>
      <w:keepLines/>
      <w:numPr>
        <w:ilvl w:val="4"/>
        <w:numId w:val="26"/>
      </w:numPr>
      <w:spacing w:before="520" w:after="200"/>
      <w:jc w:val="left"/>
      <w:outlineLvl w:val="4"/>
    </w:pPr>
    <w:rPr>
      <w:rFonts w:ascii="Graphik Semibold" w:eastAsiaTheme="majorEastAsia" w:hAnsi="Graphik Semibold" w:cstheme="majorBidi"/>
      <w:sz w:val="24"/>
    </w:rPr>
  </w:style>
  <w:style w:type="paragraph" w:styleId="Heading6">
    <w:name w:val="heading 6"/>
    <w:basedOn w:val="Normal"/>
    <w:next w:val="Normal"/>
    <w:link w:val="Heading6Char"/>
    <w:uiPriority w:val="9"/>
    <w:semiHidden/>
    <w:unhideWhenUsed/>
    <w:qFormat/>
    <w:rsid w:val="00B52A35"/>
    <w:pPr>
      <w:keepNext/>
      <w:keepLines/>
      <w:numPr>
        <w:ilvl w:val="5"/>
        <w:numId w:val="26"/>
      </w:numPr>
      <w:spacing w:before="40"/>
      <w:outlineLvl w:val="5"/>
    </w:pPr>
    <w:rPr>
      <w:rFonts w:asciiTheme="majorHAnsi" w:eastAsiaTheme="majorEastAsia" w:hAnsiTheme="majorHAnsi" w:cstheme="majorBidi"/>
      <w:color w:val="413B37" w:themeColor="accent1" w:themeShade="7F"/>
    </w:rPr>
  </w:style>
  <w:style w:type="paragraph" w:styleId="Heading7">
    <w:name w:val="heading 7"/>
    <w:basedOn w:val="Normal"/>
    <w:next w:val="Normal"/>
    <w:link w:val="Heading7Char"/>
    <w:uiPriority w:val="9"/>
    <w:semiHidden/>
    <w:unhideWhenUsed/>
    <w:qFormat/>
    <w:rsid w:val="00B52A35"/>
    <w:pPr>
      <w:keepNext/>
      <w:keepLines/>
      <w:numPr>
        <w:ilvl w:val="6"/>
        <w:numId w:val="26"/>
      </w:numPr>
      <w:spacing w:before="40"/>
      <w:outlineLvl w:val="6"/>
    </w:pPr>
    <w:rPr>
      <w:rFonts w:asciiTheme="majorHAnsi" w:eastAsiaTheme="majorEastAsia" w:hAnsiTheme="majorHAnsi" w:cstheme="majorBidi"/>
      <w:i/>
      <w:iCs/>
      <w:color w:val="413B37" w:themeColor="accent1" w:themeShade="7F"/>
    </w:rPr>
  </w:style>
  <w:style w:type="paragraph" w:styleId="Heading8">
    <w:name w:val="heading 8"/>
    <w:basedOn w:val="Normal"/>
    <w:next w:val="Normal"/>
    <w:link w:val="Heading8Char"/>
    <w:uiPriority w:val="9"/>
    <w:semiHidden/>
    <w:unhideWhenUsed/>
    <w:qFormat/>
    <w:rsid w:val="00021061"/>
    <w:pPr>
      <w:keepNext/>
      <w:keepLines/>
      <w:numPr>
        <w:ilvl w:val="7"/>
        <w:numId w:val="26"/>
      </w:numPr>
      <w:spacing w:before="40"/>
      <w:outlineLvl w:val="7"/>
    </w:pPr>
    <w:rPr>
      <w:rFonts w:asciiTheme="majorHAnsi" w:eastAsiaTheme="majorEastAsia" w:hAnsiTheme="majorHAnsi" w:cstheme="majorBidi"/>
      <w:color w:val="E2E1E2" w:themeColor="text1" w:themeTint="D8"/>
      <w:sz w:val="21"/>
      <w:szCs w:val="21"/>
    </w:rPr>
  </w:style>
  <w:style w:type="paragraph" w:styleId="Heading9">
    <w:name w:val="heading 9"/>
    <w:basedOn w:val="Normal"/>
    <w:next w:val="Normal"/>
    <w:link w:val="Heading9Char"/>
    <w:uiPriority w:val="9"/>
    <w:semiHidden/>
    <w:unhideWhenUsed/>
    <w:qFormat/>
    <w:rsid w:val="00B52A35"/>
    <w:pPr>
      <w:keepNext/>
      <w:keepLines/>
      <w:numPr>
        <w:ilvl w:val="8"/>
        <w:numId w:val="26"/>
      </w:numPr>
      <w:spacing w:before="40"/>
      <w:outlineLvl w:val="8"/>
    </w:pPr>
    <w:rPr>
      <w:rFonts w:asciiTheme="majorHAnsi" w:eastAsiaTheme="majorEastAsia" w:hAnsiTheme="majorHAnsi" w:cstheme="majorBidi"/>
      <w:i/>
      <w:iCs/>
      <w:color w:val="E2E1E2"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Oiko Footer"/>
    <w:basedOn w:val="Normal"/>
    <w:link w:val="FooterChar"/>
    <w:uiPriority w:val="99"/>
    <w:unhideWhenUsed/>
    <w:rsid w:val="00D90634"/>
    <w:pPr>
      <w:tabs>
        <w:tab w:val="center" w:pos="4419"/>
        <w:tab w:val="right" w:pos="8838"/>
      </w:tabs>
      <w:jc w:val="left"/>
    </w:pPr>
    <w:rPr>
      <w:rFonts w:ascii="Graphik Extralight" w:hAnsi="Graphik Extralight"/>
      <w:color w:val="5D6770" w:themeColor="background2"/>
      <w:sz w:val="16"/>
    </w:rPr>
  </w:style>
  <w:style w:type="character" w:customStyle="1" w:styleId="FooterChar">
    <w:name w:val="Footer Char"/>
    <w:aliases w:val="Oiko Footer Char"/>
    <w:basedOn w:val="DefaultParagraphFont"/>
    <w:link w:val="Footer"/>
    <w:uiPriority w:val="99"/>
    <w:rsid w:val="00D90634"/>
    <w:rPr>
      <w:rFonts w:ascii="Graphik Extralight" w:hAnsi="Graphik Extralight"/>
      <w:color w:val="5D6770" w:themeColor="background2"/>
      <w:sz w:val="16"/>
    </w:rPr>
  </w:style>
  <w:style w:type="character" w:styleId="PageNumber">
    <w:name w:val="page number"/>
    <w:aliases w:val="Oiko Page Number"/>
    <w:basedOn w:val="DefaultParagraphFont"/>
    <w:uiPriority w:val="99"/>
    <w:unhideWhenUsed/>
    <w:rsid w:val="00795A38"/>
    <w:rPr>
      <w:rFonts w:ascii="Graphik Regular" w:hAnsi="Graphik Regular"/>
      <w:color w:val="5D6770" w:themeColor="background2"/>
      <w:sz w:val="18"/>
    </w:rPr>
  </w:style>
  <w:style w:type="paragraph" w:styleId="Title">
    <w:name w:val="Title"/>
    <w:aliases w:val="Oiko Title"/>
    <w:basedOn w:val="Normal"/>
    <w:next w:val="Normal"/>
    <w:link w:val="TitleChar"/>
    <w:uiPriority w:val="10"/>
    <w:qFormat/>
    <w:rsid w:val="00F558D0"/>
    <w:pPr>
      <w:spacing w:line="240" w:lineRule="auto"/>
      <w:ind w:right="1134"/>
      <w:jc w:val="left"/>
    </w:pPr>
    <w:rPr>
      <w:rFonts w:eastAsiaTheme="majorEastAsia" w:cstheme="majorBidi"/>
      <w:spacing w:val="-10"/>
      <w:kern w:val="28"/>
      <w:sz w:val="52"/>
      <w:szCs w:val="56"/>
    </w:rPr>
  </w:style>
  <w:style w:type="character" w:customStyle="1" w:styleId="TitleChar">
    <w:name w:val="Title Char"/>
    <w:aliases w:val="Oiko Title Char"/>
    <w:basedOn w:val="DefaultParagraphFont"/>
    <w:link w:val="Title"/>
    <w:uiPriority w:val="10"/>
    <w:rsid w:val="00F558D0"/>
    <w:rPr>
      <w:rFonts w:ascii="Saol Text Light" w:eastAsiaTheme="majorEastAsia" w:hAnsi="Saol Text Light" w:cstheme="majorBidi"/>
      <w:spacing w:val="-10"/>
      <w:kern w:val="28"/>
      <w:sz w:val="52"/>
      <w:szCs w:val="56"/>
    </w:rPr>
  </w:style>
  <w:style w:type="paragraph" w:styleId="ListParagraph">
    <w:name w:val="List Paragraph"/>
    <w:basedOn w:val="Normal"/>
    <w:uiPriority w:val="34"/>
    <w:qFormat/>
    <w:rsid w:val="00FA734E"/>
    <w:pPr>
      <w:ind w:left="720"/>
    </w:pPr>
  </w:style>
  <w:style w:type="paragraph" w:customStyle="1" w:styleId="OikoCover1">
    <w:name w:val="Oiko Cover 1"/>
    <w:qFormat/>
    <w:rsid w:val="004A2DDA"/>
    <w:pPr>
      <w:spacing w:after="0" w:line="360" w:lineRule="exact"/>
    </w:pPr>
    <w:rPr>
      <w:rFonts w:ascii="Graphik Regular" w:hAnsi="Graphik Regular"/>
      <w:sz w:val="28"/>
    </w:rPr>
  </w:style>
  <w:style w:type="paragraph" w:customStyle="1" w:styleId="OikoCover2">
    <w:name w:val="Oiko Cover 2"/>
    <w:basedOn w:val="OikoCover1"/>
    <w:qFormat/>
    <w:rsid w:val="004A2DDA"/>
    <w:rPr>
      <w:rFonts w:ascii="Graphik Bold" w:hAnsi="Graphik Bold"/>
    </w:rPr>
  </w:style>
  <w:style w:type="paragraph" w:customStyle="1" w:styleId="OikoCover3">
    <w:name w:val="Oiko Cover 3"/>
    <w:qFormat/>
    <w:rsid w:val="004437A2"/>
    <w:rPr>
      <w:rFonts w:ascii="Graphik Regular" w:hAnsi="Graphik Regular"/>
      <w:sz w:val="18"/>
    </w:rPr>
  </w:style>
  <w:style w:type="paragraph" w:customStyle="1" w:styleId="OikoCover4">
    <w:name w:val="Oiko Cover 4"/>
    <w:qFormat/>
    <w:rsid w:val="00D923B3"/>
    <w:pPr>
      <w:spacing w:after="0" w:line="400" w:lineRule="exact"/>
      <w:jc w:val="both"/>
    </w:pPr>
    <w:rPr>
      <w:rFonts w:ascii="Saol Text Light" w:hAnsi="Saol Text Light"/>
      <w:sz w:val="36"/>
    </w:rPr>
  </w:style>
  <w:style w:type="paragraph" w:customStyle="1" w:styleId="OikoCover5">
    <w:name w:val="Oiko Cover 5"/>
    <w:qFormat/>
    <w:rsid w:val="00D923B3"/>
    <w:pPr>
      <w:spacing w:after="0" w:line="300" w:lineRule="exact"/>
    </w:pPr>
    <w:rPr>
      <w:rFonts w:ascii="Graphik Extralight" w:hAnsi="Graphik Extralight"/>
      <w:sz w:val="30"/>
    </w:rPr>
  </w:style>
  <w:style w:type="character" w:customStyle="1" w:styleId="Heading1Char">
    <w:name w:val="Heading 1 Char"/>
    <w:aliases w:val="Oiko Heading 1 Char"/>
    <w:basedOn w:val="DefaultParagraphFont"/>
    <w:link w:val="Heading1"/>
    <w:uiPriority w:val="9"/>
    <w:rsid w:val="00E421DF"/>
    <w:rPr>
      <w:rFonts w:ascii="Times New Roman" w:eastAsiaTheme="majorEastAsia" w:hAnsi="Times New Roman" w:cstheme="majorBidi"/>
      <w:color w:val="DD6B22" w:themeColor="accent3" w:themeShade="BF"/>
      <w:sz w:val="52"/>
      <w:szCs w:val="32"/>
      <w:lang w:val="en-GB"/>
    </w:rPr>
  </w:style>
  <w:style w:type="paragraph" w:styleId="TOCHeading">
    <w:name w:val="TOC Heading"/>
    <w:aliases w:val="Oiko TOC Heading"/>
    <w:basedOn w:val="Heading1"/>
    <w:next w:val="Normal"/>
    <w:uiPriority w:val="39"/>
    <w:unhideWhenUsed/>
    <w:qFormat/>
    <w:rsid w:val="00B52A35"/>
    <w:pPr>
      <w:numPr>
        <w:numId w:val="0"/>
      </w:numPr>
      <w:spacing w:line="240" w:lineRule="auto"/>
      <w:outlineLvl w:val="9"/>
    </w:pPr>
  </w:style>
  <w:style w:type="paragraph" w:customStyle="1" w:styleId="OIKOCountrieslist">
    <w:name w:val="OIKO Countries list"/>
    <w:uiPriority w:val="99"/>
    <w:rsid w:val="00153A02"/>
    <w:pPr>
      <w:autoSpaceDE w:val="0"/>
      <w:autoSpaceDN w:val="0"/>
      <w:adjustRightInd w:val="0"/>
      <w:spacing w:line="180" w:lineRule="atLeast"/>
      <w:textAlignment w:val="center"/>
    </w:pPr>
    <w:rPr>
      <w:rFonts w:ascii="Graphik Light" w:hAnsi="Graphik Light" w:cs="Graphik Light"/>
      <w:color w:val="000000"/>
      <w:sz w:val="17"/>
      <w:szCs w:val="17"/>
    </w:rPr>
  </w:style>
  <w:style w:type="character" w:customStyle="1" w:styleId="Heading2Char">
    <w:name w:val="Heading 2 Char"/>
    <w:aliases w:val="Oiko Heading 2 Char"/>
    <w:basedOn w:val="DefaultParagraphFont"/>
    <w:link w:val="Heading2"/>
    <w:uiPriority w:val="9"/>
    <w:rsid w:val="00E421DF"/>
    <w:rPr>
      <w:rFonts w:ascii="Times New Roman" w:eastAsiaTheme="majorEastAsia" w:hAnsi="Times New Roman" w:cstheme="majorBidi"/>
      <w:color w:val="DD6B22" w:themeColor="accent3" w:themeShade="BF"/>
      <w:sz w:val="44"/>
      <w:szCs w:val="26"/>
      <w:lang w:val="en-GB"/>
    </w:rPr>
  </w:style>
  <w:style w:type="paragraph" w:styleId="List">
    <w:name w:val="List"/>
    <w:basedOn w:val="Normal"/>
    <w:uiPriority w:val="99"/>
    <w:unhideWhenUsed/>
    <w:rsid w:val="00F05B4B"/>
    <w:pPr>
      <w:ind w:right="1134"/>
      <w:jc w:val="left"/>
    </w:pPr>
  </w:style>
  <w:style w:type="character" w:customStyle="1" w:styleId="Heading8Char">
    <w:name w:val="Heading 8 Char"/>
    <w:basedOn w:val="DefaultParagraphFont"/>
    <w:link w:val="Heading8"/>
    <w:uiPriority w:val="9"/>
    <w:semiHidden/>
    <w:rsid w:val="00021061"/>
    <w:rPr>
      <w:rFonts w:asciiTheme="majorHAnsi" w:eastAsiaTheme="majorEastAsia" w:hAnsiTheme="majorHAnsi" w:cstheme="majorBidi"/>
      <w:color w:val="E2E1E2" w:themeColor="text1" w:themeTint="D8"/>
      <w:sz w:val="21"/>
      <w:szCs w:val="21"/>
      <w:lang w:val="en-GB"/>
    </w:rPr>
  </w:style>
  <w:style w:type="paragraph" w:styleId="Caption">
    <w:name w:val="caption"/>
    <w:aliases w:val="Oiko Caption"/>
    <w:basedOn w:val="Normal"/>
    <w:next w:val="Normal"/>
    <w:link w:val="CaptionChar"/>
    <w:uiPriority w:val="35"/>
    <w:unhideWhenUsed/>
    <w:qFormat/>
    <w:rsid w:val="002E18AA"/>
    <w:pPr>
      <w:framePr w:wrap="notBeside" w:vAnchor="text" w:hAnchor="text" w:y="1"/>
      <w:spacing w:after="200" w:line="240" w:lineRule="auto"/>
      <w:jc w:val="left"/>
    </w:pPr>
    <w:rPr>
      <w:i/>
      <w:iCs/>
      <w:color w:val="DD6B22" w:themeColor="accent3" w:themeShade="BF"/>
      <w:szCs w:val="18"/>
    </w:rPr>
  </w:style>
  <w:style w:type="character" w:customStyle="1" w:styleId="Heading3Char">
    <w:name w:val="Heading 3 Char"/>
    <w:aliases w:val="Oiko Heading 3 Char"/>
    <w:basedOn w:val="DefaultParagraphFont"/>
    <w:link w:val="Heading3"/>
    <w:uiPriority w:val="9"/>
    <w:rsid w:val="00E421DF"/>
    <w:rPr>
      <w:rFonts w:ascii="Times New Roman" w:eastAsiaTheme="majorEastAsia" w:hAnsi="Times New Roman" w:cstheme="majorBidi"/>
      <w:color w:val="DD6B22" w:themeColor="accent3" w:themeShade="BF"/>
      <w:sz w:val="36"/>
      <w:szCs w:val="24"/>
      <w:lang w:val="en-GB"/>
    </w:rPr>
  </w:style>
  <w:style w:type="character" w:customStyle="1" w:styleId="Heading4Char">
    <w:name w:val="Heading 4 Char"/>
    <w:aliases w:val="Oiko Heading 4 Char"/>
    <w:basedOn w:val="DefaultParagraphFont"/>
    <w:link w:val="Heading4"/>
    <w:uiPriority w:val="9"/>
    <w:rsid w:val="001354DD"/>
    <w:rPr>
      <w:rFonts w:ascii="Times New Roman" w:eastAsiaTheme="majorEastAsia" w:hAnsi="Times New Roman" w:cstheme="majorBidi"/>
      <w:iCs/>
      <w:color w:val="DD6B22" w:themeColor="accent3" w:themeShade="BF"/>
      <w:sz w:val="32"/>
      <w:lang w:val="en-GB"/>
    </w:rPr>
  </w:style>
  <w:style w:type="character" w:customStyle="1" w:styleId="Heading5Char">
    <w:name w:val="Heading 5 Char"/>
    <w:aliases w:val="Oiko Heading 5 Char"/>
    <w:basedOn w:val="DefaultParagraphFont"/>
    <w:link w:val="Heading5"/>
    <w:uiPriority w:val="9"/>
    <w:rsid w:val="0058325A"/>
    <w:rPr>
      <w:rFonts w:ascii="Graphik Semibold" w:eastAsiaTheme="majorEastAsia" w:hAnsi="Graphik Semibold" w:cstheme="majorBidi"/>
      <w:sz w:val="24"/>
      <w:lang w:val="en-GB"/>
    </w:rPr>
  </w:style>
  <w:style w:type="paragraph" w:styleId="ListBullet">
    <w:name w:val="List Bullet"/>
    <w:aliases w:val="Oiko List Bullet"/>
    <w:basedOn w:val="Normal"/>
    <w:uiPriority w:val="99"/>
    <w:unhideWhenUsed/>
    <w:rsid w:val="00B2103B"/>
    <w:pPr>
      <w:numPr>
        <w:numId w:val="7"/>
      </w:numPr>
      <w:spacing w:before="120" w:after="120"/>
      <w:ind w:right="1134"/>
    </w:pPr>
  </w:style>
  <w:style w:type="paragraph" w:styleId="ListBullet2">
    <w:name w:val="List Bullet 2"/>
    <w:aliases w:val="Oiko List Bullet 2"/>
    <w:basedOn w:val="Normal"/>
    <w:uiPriority w:val="99"/>
    <w:unhideWhenUsed/>
    <w:rsid w:val="00B2103B"/>
    <w:pPr>
      <w:numPr>
        <w:numId w:val="8"/>
      </w:numPr>
      <w:spacing w:before="120" w:after="120"/>
      <w:ind w:right="1134"/>
    </w:pPr>
  </w:style>
  <w:style w:type="paragraph" w:styleId="ListBullet3">
    <w:name w:val="List Bullet 3"/>
    <w:aliases w:val="Oiko List Bullet 3"/>
    <w:basedOn w:val="Normal"/>
    <w:uiPriority w:val="99"/>
    <w:unhideWhenUsed/>
    <w:rsid w:val="00B2103B"/>
    <w:pPr>
      <w:numPr>
        <w:numId w:val="9"/>
      </w:numPr>
      <w:spacing w:before="120" w:after="120"/>
      <w:ind w:right="1134"/>
    </w:pPr>
  </w:style>
  <w:style w:type="paragraph" w:styleId="ListBullet4">
    <w:name w:val="List Bullet 4"/>
    <w:aliases w:val="Oiko List Bullet 4"/>
    <w:basedOn w:val="Normal"/>
    <w:uiPriority w:val="99"/>
    <w:unhideWhenUsed/>
    <w:rsid w:val="00B2103B"/>
    <w:pPr>
      <w:numPr>
        <w:numId w:val="10"/>
      </w:numPr>
      <w:spacing w:before="120" w:after="120"/>
      <w:ind w:right="1134"/>
    </w:pPr>
  </w:style>
  <w:style w:type="paragraph" w:styleId="ListBullet5">
    <w:name w:val="List Bullet 5"/>
    <w:aliases w:val="Oiko List Bullet 5"/>
    <w:basedOn w:val="Normal"/>
    <w:uiPriority w:val="99"/>
    <w:unhideWhenUsed/>
    <w:rsid w:val="00B2103B"/>
    <w:pPr>
      <w:numPr>
        <w:numId w:val="11"/>
      </w:numPr>
      <w:spacing w:before="120" w:after="120"/>
      <w:ind w:right="1134"/>
    </w:pPr>
  </w:style>
  <w:style w:type="paragraph" w:customStyle="1" w:styleId="OikoListBullet6">
    <w:name w:val="Oiko List Bullet 6"/>
    <w:qFormat/>
    <w:rsid w:val="00B2103B"/>
    <w:pPr>
      <w:numPr>
        <w:numId w:val="13"/>
      </w:numPr>
      <w:spacing w:before="120" w:after="120" w:line="240" w:lineRule="exact"/>
      <w:ind w:right="1134"/>
      <w:contextualSpacing/>
      <w:jc w:val="both"/>
    </w:pPr>
    <w:rPr>
      <w:rFonts w:ascii="Saol Text Light" w:hAnsi="Saol Text Light"/>
      <w:sz w:val="18"/>
    </w:rPr>
  </w:style>
  <w:style w:type="paragraph" w:customStyle="1" w:styleId="OikoTables01Titles">
    <w:name w:val="Oiko Tables 01 Titles"/>
    <w:qFormat/>
    <w:rsid w:val="005F78D4"/>
    <w:pPr>
      <w:spacing w:before="200" w:after="200" w:line="280" w:lineRule="exact"/>
    </w:pPr>
    <w:rPr>
      <w:rFonts w:ascii="Times New Roman" w:eastAsiaTheme="majorEastAsia" w:hAnsi="Times New Roman" w:cstheme="majorBidi"/>
      <w:b/>
      <w:iCs/>
      <w:noProof/>
      <w:color w:val="DD6B22" w:themeColor="accent3" w:themeShade="BF"/>
      <w:sz w:val="24"/>
    </w:rPr>
  </w:style>
  <w:style w:type="table" w:styleId="TableGrid">
    <w:name w:val="Table Grid"/>
    <w:aliases w:val="TabelEcorys,HTG,Table Format 1,IT Park_Citation,Smart Text Table,Pwc Table,CV table,none,EY Table,CV1,san defined,Tabellengitternetz,GT0,Table Grid (Appendix list),MES Table Grid,Tabela padrao,ED Style 4,Table Heading,网格型!,（网格型）,@@빈"/>
    <w:basedOn w:val="TableNormal"/>
    <w:uiPriority w:val="39"/>
    <w:qFormat/>
    <w:rsid w:val="002D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ikoTables02Items">
    <w:name w:val="Oiko Tables 02 Items"/>
    <w:qFormat/>
    <w:rsid w:val="0092360A"/>
    <w:pPr>
      <w:spacing w:before="120" w:after="120" w:line="240" w:lineRule="auto"/>
    </w:pPr>
    <w:rPr>
      <w:rFonts w:ascii="Aptos ExtraBold" w:hAnsi="Aptos ExtraBold"/>
      <w:color w:val="DD6B22" w:themeColor="accent3" w:themeShade="BF"/>
      <w:sz w:val="18"/>
    </w:rPr>
  </w:style>
  <w:style w:type="paragraph" w:customStyle="1" w:styleId="OikoTables06">
    <w:name w:val="Oiko Tables 06"/>
    <w:qFormat/>
    <w:rsid w:val="00782B92"/>
    <w:pPr>
      <w:numPr>
        <w:numId w:val="14"/>
      </w:numPr>
      <w:spacing w:before="80" w:after="80" w:line="160" w:lineRule="exact"/>
    </w:pPr>
    <w:rPr>
      <w:rFonts w:ascii="Aptos" w:hAnsi="Aptos"/>
      <w:sz w:val="18"/>
    </w:rPr>
  </w:style>
  <w:style w:type="paragraph" w:customStyle="1" w:styleId="OikoTables07">
    <w:name w:val="Oiko Tables 07"/>
    <w:basedOn w:val="OikoTables06"/>
    <w:qFormat/>
    <w:rsid w:val="00B2103B"/>
    <w:pPr>
      <w:numPr>
        <w:numId w:val="15"/>
      </w:numPr>
    </w:pPr>
  </w:style>
  <w:style w:type="paragraph" w:customStyle="1" w:styleId="OikoTables08">
    <w:name w:val="Oiko Tables 08"/>
    <w:basedOn w:val="OikoTables06"/>
    <w:qFormat/>
    <w:rsid w:val="00B2103B"/>
    <w:pPr>
      <w:numPr>
        <w:numId w:val="16"/>
      </w:numPr>
    </w:pPr>
  </w:style>
  <w:style w:type="paragraph" w:customStyle="1" w:styleId="OikoTables09">
    <w:name w:val="Oiko Tables 09"/>
    <w:basedOn w:val="OikoTables06"/>
    <w:qFormat/>
    <w:rsid w:val="00B2103B"/>
    <w:pPr>
      <w:numPr>
        <w:numId w:val="17"/>
      </w:numPr>
    </w:pPr>
  </w:style>
  <w:style w:type="paragraph" w:customStyle="1" w:styleId="OikoTables10">
    <w:name w:val="Oiko Tables 10"/>
    <w:basedOn w:val="OikoTables07"/>
    <w:qFormat/>
    <w:rsid w:val="00B2103B"/>
    <w:pPr>
      <w:numPr>
        <w:numId w:val="18"/>
      </w:numPr>
      <w:ind w:left="357" w:hanging="357"/>
    </w:pPr>
  </w:style>
  <w:style w:type="paragraph" w:customStyle="1" w:styleId="OikoTables11">
    <w:name w:val="Oiko Tables 11"/>
    <w:basedOn w:val="OikoTables10"/>
    <w:qFormat/>
    <w:rsid w:val="00B2103B"/>
    <w:pPr>
      <w:numPr>
        <w:numId w:val="19"/>
      </w:numPr>
    </w:pPr>
  </w:style>
  <w:style w:type="paragraph" w:customStyle="1" w:styleId="OikoTables03Content">
    <w:name w:val="Oiko Tables 03 Content"/>
    <w:basedOn w:val="OikoTables06"/>
    <w:qFormat/>
    <w:rsid w:val="00B2103B"/>
    <w:pPr>
      <w:numPr>
        <w:numId w:val="0"/>
      </w:numPr>
    </w:pPr>
  </w:style>
  <w:style w:type="character" w:styleId="Hyperlink">
    <w:name w:val="Hyperlink"/>
    <w:aliases w:val="Oiko Hyperlink"/>
    <w:basedOn w:val="DefaultParagraphFont"/>
    <w:uiPriority w:val="99"/>
    <w:unhideWhenUsed/>
    <w:rsid w:val="00150D3B"/>
    <w:rPr>
      <w:color w:val="185A7D" w:themeColor="accent5"/>
      <w:u w:val="none"/>
    </w:rPr>
  </w:style>
  <w:style w:type="character" w:styleId="UnresolvedMention">
    <w:name w:val="Unresolved Mention"/>
    <w:basedOn w:val="DefaultParagraphFont"/>
    <w:uiPriority w:val="99"/>
    <w:semiHidden/>
    <w:unhideWhenUsed/>
    <w:rsid w:val="000E329F"/>
    <w:rPr>
      <w:color w:val="605E5C"/>
      <w:shd w:val="clear" w:color="auto" w:fill="E1DFDD"/>
    </w:rPr>
  </w:style>
  <w:style w:type="paragraph" w:styleId="ListNumber">
    <w:name w:val="List Number"/>
    <w:basedOn w:val="Normal"/>
    <w:uiPriority w:val="99"/>
    <w:unhideWhenUsed/>
    <w:rsid w:val="00C06EC8"/>
    <w:pPr>
      <w:numPr>
        <w:numId w:val="12"/>
      </w:numPr>
      <w:ind w:right="1134"/>
    </w:pPr>
  </w:style>
  <w:style w:type="paragraph" w:styleId="TOC1">
    <w:name w:val="toc 1"/>
    <w:aliases w:val="Oiko TOC 1"/>
    <w:basedOn w:val="Normal"/>
    <w:next w:val="Normal"/>
    <w:autoRedefine/>
    <w:uiPriority w:val="39"/>
    <w:unhideWhenUsed/>
    <w:rsid w:val="00C92357"/>
    <w:pPr>
      <w:tabs>
        <w:tab w:val="right" w:leader="underscore" w:pos="9044"/>
      </w:tabs>
      <w:spacing w:before="60" w:after="60" w:line="400" w:lineRule="exact"/>
      <w:contextualSpacing w:val="0"/>
      <w:jc w:val="left"/>
    </w:pPr>
    <w:rPr>
      <w:sz w:val="36"/>
    </w:rPr>
  </w:style>
  <w:style w:type="paragraph" w:styleId="TOC2">
    <w:name w:val="toc 2"/>
    <w:aliases w:val="Oiko TOC 2"/>
    <w:basedOn w:val="Normal"/>
    <w:next w:val="Normal"/>
    <w:autoRedefine/>
    <w:uiPriority w:val="39"/>
    <w:unhideWhenUsed/>
    <w:rsid w:val="00824A3A"/>
    <w:pPr>
      <w:tabs>
        <w:tab w:val="right" w:leader="underscore" w:pos="9044"/>
      </w:tabs>
      <w:spacing w:before="60" w:after="60" w:line="320" w:lineRule="exact"/>
      <w:ind w:left="567"/>
      <w:contextualSpacing w:val="0"/>
      <w:jc w:val="left"/>
    </w:pPr>
    <w:rPr>
      <w:sz w:val="28"/>
    </w:rPr>
  </w:style>
  <w:style w:type="paragraph" w:styleId="TOC3">
    <w:name w:val="toc 3"/>
    <w:aliases w:val="Oiko TOC 3"/>
    <w:basedOn w:val="Normal"/>
    <w:next w:val="Normal"/>
    <w:autoRedefine/>
    <w:uiPriority w:val="39"/>
    <w:unhideWhenUsed/>
    <w:rsid w:val="00824A3A"/>
    <w:pPr>
      <w:tabs>
        <w:tab w:val="right" w:leader="underscore" w:pos="9044"/>
      </w:tabs>
      <w:spacing w:before="60" w:after="60" w:line="280" w:lineRule="exact"/>
      <w:ind w:left="907"/>
      <w:contextualSpacing w:val="0"/>
      <w:jc w:val="left"/>
    </w:pPr>
    <w:rPr>
      <w:sz w:val="24"/>
    </w:rPr>
  </w:style>
  <w:style w:type="paragraph" w:styleId="TOC4">
    <w:name w:val="toc 4"/>
    <w:aliases w:val="Oiko TOC 4"/>
    <w:basedOn w:val="Normal"/>
    <w:next w:val="Normal"/>
    <w:autoRedefine/>
    <w:uiPriority w:val="39"/>
    <w:unhideWhenUsed/>
    <w:rsid w:val="00DF63CA"/>
    <w:pPr>
      <w:spacing w:before="60" w:after="60"/>
      <w:ind w:left="1021"/>
      <w:contextualSpacing w:val="0"/>
      <w:jc w:val="left"/>
    </w:pPr>
  </w:style>
  <w:style w:type="paragraph" w:styleId="FootnoteText">
    <w:name w:val="footnote text"/>
    <w:aliases w:val="Oiko Footnote Text"/>
    <w:basedOn w:val="Normal"/>
    <w:link w:val="FootnoteTextChar"/>
    <w:uiPriority w:val="99"/>
    <w:unhideWhenUsed/>
    <w:rsid w:val="009B2B1C"/>
    <w:pPr>
      <w:spacing w:line="240" w:lineRule="auto"/>
    </w:pPr>
    <w:rPr>
      <w:rFonts w:ascii="Graphik Light" w:hAnsi="Graphik Light"/>
      <w:i/>
      <w:color w:val="5D6770" w:themeColor="background2"/>
      <w:sz w:val="14"/>
      <w:szCs w:val="20"/>
    </w:rPr>
  </w:style>
  <w:style w:type="character" w:customStyle="1" w:styleId="FootnoteTextChar">
    <w:name w:val="Footnote Text Char"/>
    <w:aliases w:val="Oiko Footnote Text Char"/>
    <w:basedOn w:val="DefaultParagraphFont"/>
    <w:link w:val="FootnoteText"/>
    <w:uiPriority w:val="99"/>
    <w:rsid w:val="009B2B1C"/>
    <w:rPr>
      <w:rFonts w:ascii="Graphik Light" w:hAnsi="Graphik Light"/>
      <w:i/>
      <w:color w:val="5D6770" w:themeColor="background2"/>
      <w:sz w:val="14"/>
      <w:szCs w:val="20"/>
    </w:rPr>
  </w:style>
  <w:style w:type="character" w:styleId="FootnoteReference">
    <w:name w:val="footnote reference"/>
    <w:aliases w:val="Oiko Footnote Reference"/>
    <w:basedOn w:val="DefaultParagraphFont"/>
    <w:uiPriority w:val="99"/>
    <w:unhideWhenUsed/>
    <w:rsid w:val="00A32634"/>
    <w:rPr>
      <w:rFonts w:ascii="Graphik Regular" w:hAnsi="Graphik Regular"/>
      <w:color w:val="00946D" w:themeColor="accent2"/>
      <w:vertAlign w:val="superscript"/>
    </w:rPr>
  </w:style>
  <w:style w:type="paragraph" w:styleId="List2">
    <w:name w:val="List 2"/>
    <w:basedOn w:val="Normal"/>
    <w:uiPriority w:val="99"/>
    <w:unhideWhenUsed/>
    <w:rsid w:val="00F05B4B"/>
    <w:pPr>
      <w:ind w:left="641" w:hanging="357"/>
      <w:jc w:val="left"/>
    </w:pPr>
  </w:style>
  <w:style w:type="paragraph" w:styleId="List3">
    <w:name w:val="List 3"/>
    <w:basedOn w:val="Normal"/>
    <w:uiPriority w:val="99"/>
    <w:unhideWhenUsed/>
    <w:rsid w:val="00F05B4B"/>
    <w:pPr>
      <w:ind w:left="849" w:hanging="283"/>
    </w:pPr>
  </w:style>
  <w:style w:type="numbering" w:customStyle="1" w:styleId="OikoStyleNumbers">
    <w:name w:val="Oiko Style Numbers"/>
    <w:basedOn w:val="NoList"/>
    <w:uiPriority w:val="99"/>
    <w:rsid w:val="00B10A58"/>
    <w:pPr>
      <w:numPr>
        <w:numId w:val="20"/>
      </w:numPr>
    </w:pPr>
  </w:style>
  <w:style w:type="paragraph" w:customStyle="1" w:styleId="OikoListNumbers">
    <w:name w:val="Oiko List Numbers"/>
    <w:basedOn w:val="ListParagraph"/>
    <w:qFormat/>
    <w:rsid w:val="004D3A67"/>
    <w:pPr>
      <w:numPr>
        <w:numId w:val="21"/>
      </w:numPr>
      <w:spacing w:before="120" w:after="120"/>
      <w:ind w:right="1134"/>
    </w:pPr>
  </w:style>
  <w:style w:type="numbering" w:customStyle="1" w:styleId="OikoStyleLetters">
    <w:name w:val="Oiko Style Letters"/>
    <w:basedOn w:val="NoList"/>
    <w:uiPriority w:val="99"/>
    <w:rsid w:val="0015740E"/>
    <w:pPr>
      <w:numPr>
        <w:numId w:val="22"/>
      </w:numPr>
    </w:pPr>
  </w:style>
  <w:style w:type="paragraph" w:customStyle="1" w:styleId="OikoListLetters">
    <w:name w:val="Oiko List Letters"/>
    <w:basedOn w:val="ListParagraph"/>
    <w:qFormat/>
    <w:rsid w:val="0015740E"/>
    <w:pPr>
      <w:numPr>
        <w:numId w:val="23"/>
      </w:numPr>
      <w:spacing w:before="120" w:after="120"/>
      <w:ind w:right="1134"/>
    </w:pPr>
  </w:style>
  <w:style w:type="numbering" w:customStyle="1" w:styleId="OikoStyleRomans">
    <w:name w:val="Oiko Style Romans"/>
    <w:basedOn w:val="NoList"/>
    <w:uiPriority w:val="99"/>
    <w:rsid w:val="00822EEF"/>
    <w:pPr>
      <w:numPr>
        <w:numId w:val="24"/>
      </w:numPr>
    </w:pPr>
  </w:style>
  <w:style w:type="paragraph" w:customStyle="1" w:styleId="OikoListRomans">
    <w:name w:val="Oiko List Romans"/>
    <w:basedOn w:val="ListParagraph"/>
    <w:qFormat/>
    <w:rsid w:val="00281545"/>
    <w:pPr>
      <w:numPr>
        <w:numId w:val="25"/>
      </w:numPr>
      <w:spacing w:before="120" w:after="120"/>
      <w:ind w:left="793" w:right="1134" w:hanging="113"/>
    </w:pPr>
  </w:style>
  <w:style w:type="paragraph" w:styleId="Header">
    <w:name w:val="header"/>
    <w:aliases w:val="Oiko Header"/>
    <w:basedOn w:val="Normal"/>
    <w:link w:val="HeaderChar"/>
    <w:uiPriority w:val="99"/>
    <w:unhideWhenUsed/>
    <w:rsid w:val="00782B92"/>
    <w:pPr>
      <w:tabs>
        <w:tab w:val="center" w:pos="4419"/>
        <w:tab w:val="right" w:pos="8838"/>
      </w:tabs>
      <w:spacing w:line="240" w:lineRule="auto"/>
    </w:pPr>
    <w:rPr>
      <w:rFonts w:ascii="Aptos" w:hAnsi="Aptos"/>
      <w:color w:val="5D6770" w:themeColor="background2"/>
      <w:sz w:val="18"/>
    </w:rPr>
  </w:style>
  <w:style w:type="character" w:customStyle="1" w:styleId="HeaderChar">
    <w:name w:val="Header Char"/>
    <w:aliases w:val="Oiko Header Char"/>
    <w:basedOn w:val="DefaultParagraphFont"/>
    <w:link w:val="Header"/>
    <w:uiPriority w:val="99"/>
    <w:rsid w:val="00782B92"/>
    <w:rPr>
      <w:rFonts w:ascii="Aptos" w:hAnsi="Aptos"/>
      <w:color w:val="5D6770" w:themeColor="background2"/>
      <w:sz w:val="18"/>
    </w:rPr>
  </w:style>
  <w:style w:type="table" w:customStyle="1" w:styleId="TableFormat11">
    <w:name w:val="Table Format 11"/>
    <w:basedOn w:val="TableNormal"/>
    <w:next w:val="TableGrid"/>
    <w:uiPriority w:val="59"/>
    <w:rsid w:val="009604D3"/>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at12">
    <w:name w:val="Table Format 12"/>
    <w:basedOn w:val="TableNormal"/>
    <w:next w:val="TableGrid"/>
    <w:uiPriority w:val="59"/>
    <w:rsid w:val="009604D3"/>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B52A35"/>
    <w:rPr>
      <w:rFonts w:asciiTheme="majorHAnsi" w:eastAsiaTheme="majorEastAsia" w:hAnsiTheme="majorHAnsi" w:cstheme="majorBidi"/>
      <w:color w:val="413B37" w:themeColor="accent1" w:themeShade="7F"/>
      <w:lang w:val="en-GB"/>
    </w:rPr>
  </w:style>
  <w:style w:type="character" w:customStyle="1" w:styleId="Heading7Char">
    <w:name w:val="Heading 7 Char"/>
    <w:basedOn w:val="DefaultParagraphFont"/>
    <w:link w:val="Heading7"/>
    <w:uiPriority w:val="9"/>
    <w:semiHidden/>
    <w:rsid w:val="00B52A35"/>
    <w:rPr>
      <w:rFonts w:asciiTheme="majorHAnsi" w:eastAsiaTheme="majorEastAsia" w:hAnsiTheme="majorHAnsi" w:cstheme="majorBidi"/>
      <w:i/>
      <w:iCs/>
      <w:color w:val="413B37" w:themeColor="accent1" w:themeShade="7F"/>
      <w:lang w:val="en-GB"/>
    </w:rPr>
  </w:style>
  <w:style w:type="character" w:customStyle="1" w:styleId="Heading9Char">
    <w:name w:val="Heading 9 Char"/>
    <w:basedOn w:val="DefaultParagraphFont"/>
    <w:link w:val="Heading9"/>
    <w:uiPriority w:val="9"/>
    <w:semiHidden/>
    <w:rsid w:val="00B52A35"/>
    <w:rPr>
      <w:rFonts w:asciiTheme="majorHAnsi" w:eastAsiaTheme="majorEastAsia" w:hAnsiTheme="majorHAnsi" w:cstheme="majorBidi"/>
      <w:i/>
      <w:iCs/>
      <w:color w:val="E2E1E2" w:themeColor="text1" w:themeTint="D8"/>
      <w:sz w:val="21"/>
      <w:szCs w:val="21"/>
      <w:lang w:val="en-GB"/>
    </w:rPr>
  </w:style>
  <w:style w:type="paragraph" w:customStyle="1" w:styleId="OikoSectionCover">
    <w:name w:val="Oiko Section Cover"/>
    <w:basedOn w:val="Normal"/>
    <w:qFormat/>
    <w:rsid w:val="0010058D"/>
    <w:pPr>
      <w:spacing w:line="240" w:lineRule="auto"/>
      <w:jc w:val="left"/>
    </w:pPr>
    <w:rPr>
      <w:color w:val="FFFFFF"/>
      <w:sz w:val="100"/>
      <w:szCs w:val="100"/>
    </w:rPr>
  </w:style>
  <w:style w:type="paragraph" w:customStyle="1" w:styleId="OikoSectionHeading1">
    <w:name w:val="Oiko Section Heading 1"/>
    <w:basedOn w:val="Heading1"/>
    <w:qFormat/>
    <w:rsid w:val="00DF75F8"/>
    <w:pPr>
      <w:numPr>
        <w:numId w:val="0"/>
      </w:numPr>
      <w:spacing w:before="240"/>
    </w:pPr>
  </w:style>
  <w:style w:type="paragraph" w:customStyle="1" w:styleId="OikoSectionHeading2">
    <w:name w:val="Oiko Section Heading 2"/>
    <w:basedOn w:val="Heading2"/>
    <w:qFormat/>
    <w:rsid w:val="0092360A"/>
    <w:pPr>
      <w:numPr>
        <w:ilvl w:val="0"/>
        <w:numId w:val="0"/>
      </w:numPr>
    </w:pPr>
  </w:style>
  <w:style w:type="paragraph" w:customStyle="1" w:styleId="OikoSectionHeading3">
    <w:name w:val="Oiko Section Heading 3"/>
    <w:basedOn w:val="OikoSectionHeading2"/>
    <w:qFormat/>
    <w:rsid w:val="00152650"/>
    <w:pPr>
      <w:spacing w:before="360" w:line="440" w:lineRule="exact"/>
    </w:pPr>
    <w:rPr>
      <w:sz w:val="40"/>
    </w:rPr>
  </w:style>
  <w:style w:type="paragraph" w:customStyle="1" w:styleId="OikoSectionHeading4">
    <w:name w:val="Oiko Section Heading 4"/>
    <w:basedOn w:val="OikoSectionHeading3"/>
    <w:qFormat/>
    <w:rsid w:val="00C931BF"/>
    <w:pPr>
      <w:spacing w:line="360" w:lineRule="exact"/>
    </w:pPr>
    <w:rPr>
      <w:sz w:val="32"/>
    </w:rPr>
  </w:style>
  <w:style w:type="paragraph" w:customStyle="1" w:styleId="OikoSectionHeading5">
    <w:name w:val="Oiko Section Heading 5"/>
    <w:basedOn w:val="OikoSectionHeading4"/>
    <w:qFormat/>
    <w:rsid w:val="001C46FB"/>
    <w:pPr>
      <w:spacing w:line="240" w:lineRule="exact"/>
    </w:pPr>
    <w:rPr>
      <w:b/>
      <w:sz w:val="28"/>
    </w:rPr>
  </w:style>
  <w:style w:type="table" w:customStyle="1" w:styleId="TableFormat15">
    <w:name w:val="Table Format 15"/>
    <w:basedOn w:val="TableNormal"/>
    <w:next w:val="TableGrid"/>
    <w:uiPriority w:val="59"/>
    <w:rsid w:val="002B25CD"/>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Content">
    <w:name w:val="Tables Content"/>
    <w:basedOn w:val="Normal"/>
    <w:qFormat/>
    <w:rsid w:val="00FD133E"/>
    <w:pPr>
      <w:spacing w:before="80" w:after="80" w:line="200" w:lineRule="exact"/>
      <w:contextualSpacing w:val="0"/>
    </w:pPr>
    <w:rPr>
      <w:rFonts w:ascii="Microsoft Sans Serif" w:eastAsia="Times New Roman" w:hAnsi="Microsoft Sans Serif" w:cs="Times New Roman"/>
      <w:szCs w:val="24"/>
      <w:lang w:eastAsia="en-GB"/>
    </w:rPr>
  </w:style>
  <w:style w:type="character" w:styleId="CommentReference">
    <w:name w:val="annotation reference"/>
    <w:basedOn w:val="DefaultParagraphFont"/>
    <w:uiPriority w:val="99"/>
    <w:semiHidden/>
    <w:unhideWhenUsed/>
    <w:rsid w:val="00060F26"/>
    <w:rPr>
      <w:sz w:val="16"/>
      <w:szCs w:val="16"/>
    </w:rPr>
  </w:style>
  <w:style w:type="paragraph" w:styleId="CommentText">
    <w:name w:val="annotation text"/>
    <w:basedOn w:val="Normal"/>
    <w:link w:val="CommentTextChar"/>
    <w:uiPriority w:val="99"/>
    <w:unhideWhenUsed/>
    <w:rsid w:val="00060F26"/>
    <w:pPr>
      <w:spacing w:line="240" w:lineRule="auto"/>
    </w:pPr>
    <w:rPr>
      <w:sz w:val="20"/>
      <w:szCs w:val="20"/>
    </w:rPr>
  </w:style>
  <w:style w:type="character" w:customStyle="1" w:styleId="CommentTextChar">
    <w:name w:val="Comment Text Char"/>
    <w:basedOn w:val="DefaultParagraphFont"/>
    <w:link w:val="CommentText"/>
    <w:uiPriority w:val="99"/>
    <w:rsid w:val="00060F26"/>
    <w:rPr>
      <w:rFonts w:ascii="Saol Text Light" w:hAnsi="Saol Text Light"/>
      <w:sz w:val="20"/>
      <w:szCs w:val="20"/>
    </w:rPr>
  </w:style>
  <w:style w:type="paragraph" w:styleId="CommentSubject">
    <w:name w:val="annotation subject"/>
    <w:basedOn w:val="CommentText"/>
    <w:next w:val="CommentText"/>
    <w:link w:val="CommentSubjectChar"/>
    <w:uiPriority w:val="99"/>
    <w:semiHidden/>
    <w:unhideWhenUsed/>
    <w:rsid w:val="00060F26"/>
    <w:rPr>
      <w:b/>
      <w:bCs/>
    </w:rPr>
  </w:style>
  <w:style w:type="character" w:customStyle="1" w:styleId="CommentSubjectChar">
    <w:name w:val="Comment Subject Char"/>
    <w:basedOn w:val="CommentTextChar"/>
    <w:link w:val="CommentSubject"/>
    <w:uiPriority w:val="99"/>
    <w:semiHidden/>
    <w:rsid w:val="00060F26"/>
    <w:rPr>
      <w:rFonts w:ascii="Saol Text Light" w:hAnsi="Saol Text Light"/>
      <w:b/>
      <w:bCs/>
      <w:sz w:val="20"/>
      <w:szCs w:val="20"/>
    </w:rPr>
  </w:style>
  <w:style w:type="paragraph" w:styleId="NormalWeb">
    <w:name w:val="Normal (Web)"/>
    <w:basedOn w:val="Normal"/>
    <w:uiPriority w:val="99"/>
    <w:unhideWhenUsed/>
    <w:rsid w:val="003404C7"/>
    <w:pPr>
      <w:spacing w:before="100" w:beforeAutospacing="1" w:after="100" w:afterAutospacing="1" w:line="240" w:lineRule="auto"/>
      <w:contextualSpacing w:val="0"/>
      <w:jc w:val="left"/>
    </w:pPr>
    <w:rPr>
      <w:rFonts w:eastAsia="Times New Roman" w:cs="Times New Roman"/>
      <w:sz w:val="24"/>
      <w:szCs w:val="24"/>
    </w:rPr>
  </w:style>
  <w:style w:type="paragraph" w:customStyle="1" w:styleId="OikoTeamMemberTitle1">
    <w:name w:val="Oiko Team Member Title 1"/>
    <w:basedOn w:val="Normal"/>
    <w:qFormat/>
    <w:rsid w:val="0060149A"/>
    <w:pPr>
      <w:spacing w:before="200" w:after="80"/>
      <w:jc w:val="left"/>
    </w:pPr>
    <w:rPr>
      <w:sz w:val="28"/>
    </w:rPr>
  </w:style>
  <w:style w:type="paragraph" w:customStyle="1" w:styleId="OikoTeamMemberTitle2">
    <w:name w:val="Oiko Team Member Title 2"/>
    <w:basedOn w:val="Normal"/>
    <w:qFormat/>
    <w:rsid w:val="0060149A"/>
    <w:rPr>
      <w:rFonts w:ascii="Graphik Regular" w:hAnsi="Graphik Regular"/>
      <w:color w:val="5D6770" w:themeColor="background2"/>
      <w:sz w:val="24"/>
      <w:szCs w:val="24"/>
    </w:rPr>
  </w:style>
  <w:style w:type="paragraph" w:customStyle="1" w:styleId="Oikotablebulletmarron">
    <w:name w:val="Oiko table bullet marron"/>
    <w:basedOn w:val="Normal"/>
    <w:qFormat/>
    <w:rsid w:val="00D308E3"/>
    <w:pPr>
      <w:keepNext/>
      <w:keepLines/>
      <w:suppressAutoHyphens/>
      <w:spacing w:before="160" w:after="160" w:line="0" w:lineRule="atLeast"/>
      <w:contextualSpacing w:val="0"/>
      <w:jc w:val="center"/>
    </w:pPr>
    <w:rPr>
      <w:rFonts w:eastAsia="Times New Roman" w:cs="Times New Roman"/>
      <w:i/>
      <w:sz w:val="20"/>
      <w:szCs w:val="20"/>
      <w:lang w:eastAsia="de-DE"/>
    </w:rPr>
  </w:style>
  <w:style w:type="character" w:styleId="Mention">
    <w:name w:val="Mention"/>
    <w:basedOn w:val="DefaultParagraphFont"/>
    <w:uiPriority w:val="99"/>
    <w:unhideWhenUsed/>
    <w:rsid w:val="00F0381F"/>
    <w:rPr>
      <w:color w:val="2B579A"/>
      <w:shd w:val="clear" w:color="auto" w:fill="E1DFDD"/>
    </w:rPr>
  </w:style>
  <w:style w:type="paragraph" w:customStyle="1" w:styleId="OikoTables05">
    <w:name w:val="Oiko Tables 05"/>
    <w:basedOn w:val="Normal"/>
    <w:qFormat/>
    <w:rsid w:val="00B2103B"/>
    <w:pPr>
      <w:spacing w:before="120" w:after="120" w:line="240" w:lineRule="auto"/>
      <w:contextualSpacing w:val="0"/>
      <w:jc w:val="left"/>
    </w:pPr>
    <w:rPr>
      <w:rFonts w:ascii="Aptos" w:hAnsi="Aptos"/>
      <w:sz w:val="16"/>
      <w14:ligatures w14:val="standardContextual"/>
    </w:rPr>
  </w:style>
  <w:style w:type="paragraph" w:customStyle="1" w:styleId="TablesList2">
    <w:name w:val="Tables List 2"/>
    <w:basedOn w:val="Normal"/>
    <w:qFormat/>
    <w:rsid w:val="00271D23"/>
    <w:pPr>
      <w:numPr>
        <w:numId w:val="27"/>
      </w:numPr>
      <w:spacing w:before="80" w:after="80" w:line="180" w:lineRule="exact"/>
      <w:ind w:left="227" w:hanging="227"/>
      <w:contextualSpacing w:val="0"/>
      <w:jc w:val="left"/>
    </w:pPr>
    <w:rPr>
      <w:rFonts w:ascii="Microsoft Sans Serif" w:eastAsia="Times New Roman" w:hAnsi="Microsoft Sans Serif" w:cs="Times New Roman"/>
      <w:szCs w:val="20"/>
    </w:rPr>
  </w:style>
  <w:style w:type="character" w:styleId="FollowedHyperlink">
    <w:name w:val="FollowedHyperlink"/>
    <w:basedOn w:val="DefaultParagraphFont"/>
    <w:uiPriority w:val="99"/>
    <w:semiHidden/>
    <w:unhideWhenUsed/>
    <w:rsid w:val="00F3608F"/>
    <w:rPr>
      <w:color w:val="F9E08F" w:themeColor="followedHyperlink"/>
      <w:u w:val="single"/>
    </w:rPr>
  </w:style>
  <w:style w:type="paragraph" w:customStyle="1" w:styleId="OikoTables02">
    <w:name w:val="Oiko Tables 02"/>
    <w:qFormat/>
    <w:rsid w:val="00C725BB"/>
    <w:pPr>
      <w:spacing w:before="120" w:after="120" w:line="240" w:lineRule="auto"/>
    </w:pPr>
    <w:rPr>
      <w:rFonts w:ascii="Aptos ExtraBold" w:hAnsi="Aptos ExtraBold"/>
      <w:sz w:val="18"/>
    </w:rPr>
  </w:style>
  <w:style w:type="character" w:styleId="Strong">
    <w:name w:val="Strong"/>
    <w:basedOn w:val="DefaultParagraphFont"/>
    <w:uiPriority w:val="22"/>
    <w:qFormat/>
    <w:rsid w:val="00BF3252"/>
    <w:rPr>
      <w:b/>
      <w:bCs/>
    </w:rPr>
  </w:style>
  <w:style w:type="paragraph" w:customStyle="1" w:styleId="ds-markdown-paragraph">
    <w:name w:val="ds-markdown-paragraph"/>
    <w:basedOn w:val="Normal"/>
    <w:rsid w:val="008A67E7"/>
    <w:pPr>
      <w:spacing w:before="100" w:beforeAutospacing="1" w:after="100" w:afterAutospacing="1" w:line="240" w:lineRule="auto"/>
      <w:contextualSpacing w:val="0"/>
      <w:jc w:val="left"/>
    </w:pPr>
    <w:rPr>
      <w:rFonts w:eastAsia="Times New Roman" w:cs="Times New Roman"/>
      <w:sz w:val="24"/>
      <w:szCs w:val="24"/>
      <w:lang w:val="es-ES" w:eastAsia="es-ES"/>
    </w:rPr>
  </w:style>
  <w:style w:type="table" w:styleId="ListTable3-Accent3">
    <w:name w:val="List Table 3 Accent 3"/>
    <w:basedOn w:val="TableNormal"/>
    <w:uiPriority w:val="48"/>
    <w:rsid w:val="00AE0ADC"/>
    <w:pPr>
      <w:spacing w:after="0" w:line="240" w:lineRule="auto"/>
    </w:pPr>
    <w:tblPr>
      <w:tblStyleRowBandSize w:val="1"/>
      <w:tblStyleColBandSize w:val="1"/>
      <w:tblBorders>
        <w:top w:val="single" w:sz="4" w:space="0" w:color="E99E6D" w:themeColor="accent3"/>
        <w:left w:val="single" w:sz="4" w:space="0" w:color="E99E6D" w:themeColor="accent3"/>
        <w:bottom w:val="single" w:sz="4" w:space="0" w:color="E99E6D" w:themeColor="accent3"/>
        <w:right w:val="single" w:sz="4" w:space="0" w:color="E99E6D" w:themeColor="accent3"/>
      </w:tblBorders>
    </w:tblPr>
    <w:tblStylePr w:type="firstRow">
      <w:rPr>
        <w:b/>
        <w:bCs/>
        <w:color w:val="BCBCBC" w:themeColor="background1"/>
      </w:rPr>
      <w:tblPr/>
      <w:tcPr>
        <w:shd w:val="clear" w:color="auto" w:fill="E99E6D" w:themeFill="accent3"/>
      </w:tcPr>
    </w:tblStylePr>
    <w:tblStylePr w:type="lastRow">
      <w:rPr>
        <w:b/>
        <w:bCs/>
      </w:rPr>
      <w:tblPr/>
      <w:tcPr>
        <w:tcBorders>
          <w:top w:val="double" w:sz="4" w:space="0" w:color="E99E6D" w:themeColor="accent3"/>
        </w:tcBorders>
        <w:shd w:val="clear" w:color="auto" w:fill="BCBCBC" w:themeFill="background1"/>
      </w:tcPr>
    </w:tblStylePr>
    <w:tblStylePr w:type="firstCol">
      <w:rPr>
        <w:b/>
        <w:bCs/>
      </w:rPr>
      <w:tblPr/>
      <w:tcPr>
        <w:tcBorders>
          <w:right w:val="nil"/>
        </w:tcBorders>
        <w:shd w:val="clear" w:color="auto" w:fill="BCBCBC" w:themeFill="background1"/>
      </w:tcPr>
    </w:tblStylePr>
    <w:tblStylePr w:type="lastCol">
      <w:rPr>
        <w:b/>
        <w:bCs/>
      </w:rPr>
      <w:tblPr/>
      <w:tcPr>
        <w:tcBorders>
          <w:left w:val="nil"/>
        </w:tcBorders>
        <w:shd w:val="clear" w:color="auto" w:fill="BCBCBC" w:themeFill="background1"/>
      </w:tcPr>
    </w:tblStylePr>
    <w:tblStylePr w:type="band1Vert">
      <w:tblPr/>
      <w:tcPr>
        <w:tcBorders>
          <w:left w:val="single" w:sz="4" w:space="0" w:color="E99E6D" w:themeColor="accent3"/>
          <w:right w:val="single" w:sz="4" w:space="0" w:color="E99E6D" w:themeColor="accent3"/>
        </w:tcBorders>
      </w:tcPr>
    </w:tblStylePr>
    <w:tblStylePr w:type="band1Horz">
      <w:tblPr/>
      <w:tcPr>
        <w:tcBorders>
          <w:top w:val="single" w:sz="4" w:space="0" w:color="E99E6D" w:themeColor="accent3"/>
          <w:bottom w:val="single" w:sz="4" w:space="0" w:color="E99E6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9E6D" w:themeColor="accent3"/>
          <w:left w:val="nil"/>
        </w:tcBorders>
      </w:tcPr>
    </w:tblStylePr>
    <w:tblStylePr w:type="swCell">
      <w:tblPr/>
      <w:tcPr>
        <w:tcBorders>
          <w:top w:val="double" w:sz="4" w:space="0" w:color="E99E6D" w:themeColor="accent3"/>
          <w:right w:val="nil"/>
        </w:tcBorders>
      </w:tcPr>
    </w:tblStylePr>
  </w:style>
  <w:style w:type="table" w:styleId="PlainTable2">
    <w:name w:val="Plain Table 2"/>
    <w:basedOn w:val="TableNormal"/>
    <w:uiPriority w:val="42"/>
    <w:rsid w:val="00AE0ADC"/>
    <w:pPr>
      <w:spacing w:after="0" w:line="240" w:lineRule="auto"/>
    </w:pPr>
    <w:tblPr>
      <w:tblStyleRowBandSize w:val="1"/>
      <w:tblStyleColBandSize w:val="1"/>
      <w:tblBorders>
        <w:top w:val="single" w:sz="4" w:space="0" w:color="EEEDEE" w:themeColor="text1" w:themeTint="80"/>
        <w:bottom w:val="single" w:sz="4" w:space="0" w:color="EEEDEE" w:themeColor="text1" w:themeTint="80"/>
      </w:tblBorders>
    </w:tblPr>
    <w:tblStylePr w:type="firstRow">
      <w:rPr>
        <w:b/>
        <w:bCs/>
      </w:rPr>
      <w:tblPr/>
      <w:tcPr>
        <w:tcBorders>
          <w:bottom w:val="single" w:sz="4" w:space="0" w:color="EEEDEE" w:themeColor="text1" w:themeTint="80"/>
        </w:tcBorders>
      </w:tcPr>
    </w:tblStylePr>
    <w:tblStylePr w:type="lastRow">
      <w:rPr>
        <w:b/>
        <w:bCs/>
      </w:rPr>
      <w:tblPr/>
      <w:tcPr>
        <w:tcBorders>
          <w:top w:val="single" w:sz="4" w:space="0" w:color="EEEDEE" w:themeColor="text1" w:themeTint="80"/>
        </w:tcBorders>
      </w:tcPr>
    </w:tblStylePr>
    <w:tblStylePr w:type="firstCol">
      <w:rPr>
        <w:b/>
        <w:bCs/>
      </w:rPr>
    </w:tblStylePr>
    <w:tblStylePr w:type="lastCol">
      <w:rPr>
        <w:b/>
        <w:bCs/>
      </w:rPr>
    </w:tblStylePr>
    <w:tblStylePr w:type="band1Vert">
      <w:tblPr/>
      <w:tcPr>
        <w:tcBorders>
          <w:left w:val="single" w:sz="4" w:space="0" w:color="EEEDEE" w:themeColor="text1" w:themeTint="80"/>
          <w:right w:val="single" w:sz="4" w:space="0" w:color="EEEDEE" w:themeColor="text1" w:themeTint="80"/>
        </w:tcBorders>
      </w:tcPr>
    </w:tblStylePr>
    <w:tblStylePr w:type="band2Vert">
      <w:tblPr/>
      <w:tcPr>
        <w:tcBorders>
          <w:left w:val="single" w:sz="4" w:space="0" w:color="EEEDEE" w:themeColor="text1" w:themeTint="80"/>
          <w:right w:val="single" w:sz="4" w:space="0" w:color="EEEDEE" w:themeColor="text1" w:themeTint="80"/>
        </w:tcBorders>
      </w:tcPr>
    </w:tblStylePr>
    <w:tblStylePr w:type="band1Horz">
      <w:tblPr/>
      <w:tcPr>
        <w:tcBorders>
          <w:top w:val="single" w:sz="4" w:space="0" w:color="EEEDEE" w:themeColor="text1" w:themeTint="80"/>
          <w:bottom w:val="single" w:sz="4" w:space="0" w:color="EEEDEE" w:themeColor="text1" w:themeTint="80"/>
        </w:tcBorders>
      </w:tcPr>
    </w:tblStylePr>
  </w:style>
  <w:style w:type="table" w:styleId="GridTable3">
    <w:name w:val="Grid Table 3"/>
    <w:basedOn w:val="TableNormal"/>
    <w:uiPriority w:val="48"/>
    <w:rsid w:val="00F643D3"/>
    <w:pPr>
      <w:spacing w:after="0" w:line="240" w:lineRule="auto"/>
    </w:pPr>
    <w:tblPr>
      <w:tblStyleRowBandSize w:val="1"/>
      <w:tblStyleColBandSize w:val="1"/>
      <w:tblBorders>
        <w:top w:val="single" w:sz="4" w:space="0" w:color="EAE9EA" w:themeColor="text1" w:themeTint="99"/>
        <w:left w:val="single" w:sz="4" w:space="0" w:color="EAE9EA" w:themeColor="text1" w:themeTint="99"/>
        <w:bottom w:val="single" w:sz="4" w:space="0" w:color="EAE9EA" w:themeColor="text1" w:themeTint="99"/>
        <w:right w:val="single" w:sz="4" w:space="0" w:color="EAE9EA" w:themeColor="text1" w:themeTint="99"/>
        <w:insideH w:val="single" w:sz="4" w:space="0" w:color="EAE9EA" w:themeColor="text1" w:themeTint="99"/>
        <w:insideV w:val="single" w:sz="4" w:space="0" w:color="EAE9EA" w:themeColor="text1" w:themeTint="99"/>
      </w:tblBorders>
    </w:tblPr>
    <w:tblStylePr w:type="firstRow">
      <w:rPr>
        <w:b/>
        <w:bCs/>
      </w:rPr>
      <w:tblPr/>
      <w:tcPr>
        <w:tcBorders>
          <w:top w:val="nil"/>
          <w:left w:val="nil"/>
          <w:right w:val="nil"/>
          <w:insideH w:val="nil"/>
          <w:insideV w:val="nil"/>
        </w:tcBorders>
        <w:shd w:val="clear" w:color="auto" w:fill="BCBCBC" w:themeFill="background1"/>
      </w:tcPr>
    </w:tblStylePr>
    <w:tblStylePr w:type="lastRow">
      <w:rPr>
        <w:b/>
        <w:bCs/>
      </w:rPr>
      <w:tblPr/>
      <w:tcPr>
        <w:tcBorders>
          <w:left w:val="nil"/>
          <w:bottom w:val="nil"/>
          <w:right w:val="nil"/>
          <w:insideH w:val="nil"/>
          <w:insideV w:val="nil"/>
        </w:tcBorders>
        <w:shd w:val="clear" w:color="auto" w:fill="BCBCBC" w:themeFill="background1"/>
      </w:tcPr>
    </w:tblStylePr>
    <w:tblStylePr w:type="firstCol">
      <w:pPr>
        <w:jc w:val="right"/>
      </w:pPr>
      <w:rPr>
        <w:i/>
        <w:iCs/>
      </w:rPr>
      <w:tblPr/>
      <w:tcPr>
        <w:tcBorders>
          <w:top w:val="nil"/>
          <w:left w:val="nil"/>
          <w:bottom w:val="nil"/>
          <w:insideH w:val="nil"/>
          <w:insideV w:val="nil"/>
        </w:tcBorders>
        <w:shd w:val="clear" w:color="auto" w:fill="BCBCBC" w:themeFill="background1"/>
      </w:tcPr>
    </w:tblStylePr>
    <w:tblStylePr w:type="lastCol">
      <w:rPr>
        <w:i/>
        <w:iCs/>
      </w:rPr>
      <w:tblPr/>
      <w:tcPr>
        <w:tcBorders>
          <w:top w:val="nil"/>
          <w:bottom w:val="nil"/>
          <w:right w:val="nil"/>
          <w:insideH w:val="nil"/>
          <w:insideV w:val="nil"/>
        </w:tcBorders>
        <w:shd w:val="clear" w:color="auto" w:fill="BCBCBC" w:themeFill="background1"/>
      </w:tcPr>
    </w:tblStylePr>
    <w:tblStylePr w:type="band1Vert">
      <w:tblPr/>
      <w:tcPr>
        <w:shd w:val="clear" w:color="auto" w:fill="F8F7F8" w:themeFill="text1" w:themeFillTint="33"/>
      </w:tcPr>
    </w:tblStylePr>
    <w:tblStylePr w:type="band1Horz">
      <w:tblPr/>
      <w:tcPr>
        <w:shd w:val="clear" w:color="auto" w:fill="F8F7F8" w:themeFill="text1" w:themeFillTint="33"/>
      </w:tcPr>
    </w:tblStylePr>
    <w:tblStylePr w:type="neCell">
      <w:tblPr/>
      <w:tcPr>
        <w:tcBorders>
          <w:bottom w:val="single" w:sz="4" w:space="0" w:color="EAE9EA" w:themeColor="text1" w:themeTint="99"/>
        </w:tcBorders>
      </w:tcPr>
    </w:tblStylePr>
    <w:tblStylePr w:type="nwCell">
      <w:tblPr/>
      <w:tcPr>
        <w:tcBorders>
          <w:bottom w:val="single" w:sz="4" w:space="0" w:color="EAE9EA" w:themeColor="text1" w:themeTint="99"/>
        </w:tcBorders>
      </w:tcPr>
    </w:tblStylePr>
    <w:tblStylePr w:type="seCell">
      <w:tblPr/>
      <w:tcPr>
        <w:tcBorders>
          <w:top w:val="single" w:sz="4" w:space="0" w:color="EAE9EA" w:themeColor="text1" w:themeTint="99"/>
        </w:tcBorders>
      </w:tcPr>
    </w:tblStylePr>
    <w:tblStylePr w:type="swCell">
      <w:tblPr/>
      <w:tcPr>
        <w:tcBorders>
          <w:top w:val="single" w:sz="4" w:space="0" w:color="EAE9EA" w:themeColor="text1" w:themeTint="99"/>
        </w:tcBorders>
      </w:tcPr>
    </w:tblStylePr>
  </w:style>
  <w:style w:type="paragraph" w:styleId="Revision">
    <w:name w:val="Revision"/>
    <w:hidden/>
    <w:uiPriority w:val="99"/>
    <w:semiHidden/>
    <w:rsid w:val="00636979"/>
    <w:pPr>
      <w:spacing w:after="0" w:line="240" w:lineRule="auto"/>
    </w:pPr>
    <w:rPr>
      <w:rFonts w:ascii="Times New Roman" w:hAnsi="Times New Roman"/>
    </w:rPr>
  </w:style>
  <w:style w:type="character" w:customStyle="1" w:styleId="apple-converted-space">
    <w:name w:val="apple-converted-space"/>
    <w:basedOn w:val="DefaultParagraphFont"/>
    <w:rsid w:val="00B072C5"/>
  </w:style>
  <w:style w:type="paragraph" w:customStyle="1" w:styleId="isselectedend">
    <w:name w:val="isselectedend"/>
    <w:basedOn w:val="Normal"/>
    <w:rsid w:val="005E4008"/>
    <w:pPr>
      <w:spacing w:before="100" w:beforeAutospacing="1" w:after="100" w:afterAutospacing="1" w:line="240" w:lineRule="auto"/>
      <w:contextualSpacing w:val="0"/>
      <w:jc w:val="left"/>
    </w:pPr>
    <w:rPr>
      <w:rFonts w:eastAsia="Times New Roman" w:cs="Times New Roman"/>
      <w:sz w:val="24"/>
      <w:szCs w:val="24"/>
    </w:rPr>
  </w:style>
  <w:style w:type="table" w:styleId="ListTable4-Accent3">
    <w:name w:val="List Table 4 Accent 3"/>
    <w:basedOn w:val="TableNormal"/>
    <w:uiPriority w:val="49"/>
    <w:rsid w:val="00142DD9"/>
    <w:pPr>
      <w:spacing w:after="0" w:line="240" w:lineRule="auto"/>
    </w:pPr>
    <w:tblPr>
      <w:tblStyleRowBandSize w:val="1"/>
      <w:tblStyleColBandSize w:val="1"/>
      <w:tblBorders>
        <w:top w:val="single" w:sz="4" w:space="0" w:color="F1C4A7" w:themeColor="accent3" w:themeTint="99"/>
        <w:left w:val="single" w:sz="4" w:space="0" w:color="F1C4A7" w:themeColor="accent3" w:themeTint="99"/>
        <w:bottom w:val="single" w:sz="4" w:space="0" w:color="F1C4A7" w:themeColor="accent3" w:themeTint="99"/>
        <w:right w:val="single" w:sz="4" w:space="0" w:color="F1C4A7" w:themeColor="accent3" w:themeTint="99"/>
        <w:insideH w:val="single" w:sz="4" w:space="0" w:color="F1C4A7" w:themeColor="accent3" w:themeTint="99"/>
      </w:tblBorders>
    </w:tblPr>
    <w:tblStylePr w:type="firstRow">
      <w:rPr>
        <w:b/>
        <w:bCs/>
        <w:color w:val="BCBCBC" w:themeColor="background1"/>
      </w:rPr>
      <w:tblPr/>
      <w:tcPr>
        <w:tcBorders>
          <w:top w:val="single" w:sz="4" w:space="0" w:color="E99E6D" w:themeColor="accent3"/>
          <w:left w:val="single" w:sz="4" w:space="0" w:color="E99E6D" w:themeColor="accent3"/>
          <w:bottom w:val="single" w:sz="4" w:space="0" w:color="E99E6D" w:themeColor="accent3"/>
          <w:right w:val="single" w:sz="4" w:space="0" w:color="E99E6D" w:themeColor="accent3"/>
          <w:insideH w:val="nil"/>
        </w:tcBorders>
        <w:shd w:val="clear" w:color="auto" w:fill="E99E6D" w:themeFill="accent3"/>
      </w:tcPr>
    </w:tblStylePr>
    <w:tblStylePr w:type="lastRow">
      <w:rPr>
        <w:b/>
        <w:bCs/>
      </w:rPr>
      <w:tblPr/>
      <w:tcPr>
        <w:tcBorders>
          <w:top w:val="double" w:sz="4" w:space="0" w:color="F1C4A7" w:themeColor="accent3" w:themeTint="99"/>
        </w:tcBorders>
      </w:tcPr>
    </w:tblStylePr>
    <w:tblStylePr w:type="firstCol">
      <w:rPr>
        <w:b/>
        <w:bCs/>
      </w:rPr>
    </w:tblStylePr>
    <w:tblStylePr w:type="lastCol">
      <w:rPr>
        <w:b/>
        <w:bCs/>
      </w:rPr>
    </w:tblStylePr>
    <w:tblStylePr w:type="band1Vert">
      <w:tblPr/>
      <w:tcPr>
        <w:shd w:val="clear" w:color="auto" w:fill="FAEBE1" w:themeFill="accent3" w:themeFillTint="33"/>
      </w:tcPr>
    </w:tblStylePr>
    <w:tblStylePr w:type="band1Horz">
      <w:tblPr/>
      <w:tcPr>
        <w:shd w:val="clear" w:color="auto" w:fill="FAEBE1" w:themeFill="accent3" w:themeFillTint="33"/>
      </w:tcPr>
    </w:tblStylePr>
  </w:style>
  <w:style w:type="table" w:styleId="GridTable1Light-Accent3">
    <w:name w:val="Grid Table 1 Light Accent 3"/>
    <w:basedOn w:val="TableNormal"/>
    <w:uiPriority w:val="46"/>
    <w:rsid w:val="00071C35"/>
    <w:pPr>
      <w:spacing w:after="0" w:line="240" w:lineRule="auto"/>
    </w:pPr>
    <w:tblPr>
      <w:tblStyleRowBandSize w:val="1"/>
      <w:tblStyleColBandSize w:val="1"/>
      <w:tblBorders>
        <w:top w:val="single" w:sz="4" w:space="0" w:color="F6D7C4" w:themeColor="accent3" w:themeTint="66"/>
        <w:left w:val="single" w:sz="4" w:space="0" w:color="F6D7C4" w:themeColor="accent3" w:themeTint="66"/>
        <w:bottom w:val="single" w:sz="4" w:space="0" w:color="F6D7C4" w:themeColor="accent3" w:themeTint="66"/>
        <w:right w:val="single" w:sz="4" w:space="0" w:color="F6D7C4" w:themeColor="accent3" w:themeTint="66"/>
        <w:insideH w:val="single" w:sz="4" w:space="0" w:color="F6D7C4" w:themeColor="accent3" w:themeTint="66"/>
        <w:insideV w:val="single" w:sz="4" w:space="0" w:color="F6D7C4" w:themeColor="accent3" w:themeTint="66"/>
      </w:tblBorders>
    </w:tblPr>
    <w:tblStylePr w:type="firstRow">
      <w:rPr>
        <w:b/>
        <w:bCs/>
      </w:rPr>
      <w:tblPr/>
      <w:tcPr>
        <w:tcBorders>
          <w:bottom w:val="single" w:sz="12" w:space="0" w:color="F1C4A7" w:themeColor="accent3" w:themeTint="99"/>
        </w:tcBorders>
      </w:tcPr>
    </w:tblStylePr>
    <w:tblStylePr w:type="lastRow">
      <w:rPr>
        <w:b/>
        <w:bCs/>
      </w:rPr>
      <w:tblPr/>
      <w:tcPr>
        <w:tcBorders>
          <w:top w:val="double" w:sz="2" w:space="0" w:color="F1C4A7" w:themeColor="accent3" w:themeTint="99"/>
        </w:tcBorders>
      </w:tcPr>
    </w:tblStylePr>
    <w:tblStylePr w:type="firstCol">
      <w:rPr>
        <w:b/>
        <w:bCs/>
      </w:rPr>
    </w:tblStylePr>
    <w:tblStylePr w:type="lastCol">
      <w:rPr>
        <w:b/>
        <w:bCs/>
      </w:rPr>
    </w:tblStylePr>
  </w:style>
  <w:style w:type="paragraph" w:styleId="ListNumber2">
    <w:name w:val="List Number 2"/>
    <w:basedOn w:val="Normal"/>
    <w:uiPriority w:val="99"/>
    <w:unhideWhenUsed/>
    <w:rsid w:val="00C06EC8"/>
    <w:pPr>
      <w:numPr>
        <w:numId w:val="28"/>
      </w:numPr>
    </w:pPr>
  </w:style>
  <w:style w:type="table" w:customStyle="1" w:styleId="TableGrid1">
    <w:name w:val="Table Grid1"/>
    <w:basedOn w:val="TableNormal"/>
    <w:next w:val="TableGrid"/>
    <w:rsid w:val="00D065FB"/>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734A8F"/>
    <w:pPr>
      <w:spacing w:before="36" w:after="36" w:line="240" w:lineRule="auto"/>
      <w:contextualSpacing w:val="0"/>
      <w:jc w:val="left"/>
    </w:pPr>
    <w:rPr>
      <w:rFonts w:asciiTheme="minorHAnsi" w:hAnsiTheme="minorHAnsi"/>
      <w:sz w:val="24"/>
      <w:szCs w:val="24"/>
    </w:rPr>
  </w:style>
  <w:style w:type="table" w:customStyle="1" w:styleId="Table">
    <w:name w:val="Table"/>
    <w:semiHidden/>
    <w:unhideWhenUsed/>
    <w:qFormat/>
    <w:rsid w:val="00734A8F"/>
    <w:pPr>
      <w:spacing w:after="200" w:line="240" w:lineRule="auto"/>
    </w:pPr>
    <w:rPr>
      <w:sz w:val="24"/>
      <w:szCs w:val="24"/>
      <w:lang w:val="es-ES" w:eastAsia="ja-JP"/>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nhideWhenUsed/>
    <w:qFormat/>
    <w:rsid w:val="00734A8F"/>
    <w:pPr>
      <w:spacing w:after="120"/>
    </w:pPr>
  </w:style>
  <w:style w:type="character" w:customStyle="1" w:styleId="BodyTextChar">
    <w:name w:val="Body Text Char"/>
    <w:basedOn w:val="DefaultParagraphFont"/>
    <w:link w:val="BodyText"/>
    <w:rsid w:val="00734A8F"/>
    <w:rPr>
      <w:rFonts w:ascii="Times New Roman" w:hAnsi="Times New Roman"/>
    </w:rPr>
  </w:style>
  <w:style w:type="table" w:styleId="GridTable1Light">
    <w:name w:val="Grid Table 1 Light"/>
    <w:basedOn w:val="TableNormal"/>
    <w:uiPriority w:val="46"/>
    <w:rsid w:val="000F3843"/>
    <w:pPr>
      <w:spacing w:after="0" w:line="240" w:lineRule="auto"/>
    </w:pPr>
    <w:tblPr>
      <w:tblStyleRowBandSize w:val="1"/>
      <w:tblStyleColBandSize w:val="1"/>
      <w:tblBorders>
        <w:top w:val="single" w:sz="4" w:space="0" w:color="F1F0F1" w:themeColor="text1" w:themeTint="66"/>
        <w:left w:val="single" w:sz="4" w:space="0" w:color="F1F0F1" w:themeColor="text1" w:themeTint="66"/>
        <w:bottom w:val="single" w:sz="4" w:space="0" w:color="F1F0F1" w:themeColor="text1" w:themeTint="66"/>
        <w:right w:val="single" w:sz="4" w:space="0" w:color="F1F0F1" w:themeColor="text1" w:themeTint="66"/>
        <w:insideH w:val="single" w:sz="4" w:space="0" w:color="F1F0F1" w:themeColor="text1" w:themeTint="66"/>
        <w:insideV w:val="single" w:sz="4" w:space="0" w:color="F1F0F1" w:themeColor="text1" w:themeTint="66"/>
      </w:tblBorders>
    </w:tblPr>
    <w:tblStylePr w:type="firstRow">
      <w:rPr>
        <w:b/>
        <w:bCs/>
      </w:rPr>
      <w:tblPr/>
      <w:tcPr>
        <w:tcBorders>
          <w:bottom w:val="single" w:sz="12" w:space="0" w:color="EAE9EA" w:themeColor="text1" w:themeTint="99"/>
        </w:tcBorders>
      </w:tcPr>
    </w:tblStylePr>
    <w:tblStylePr w:type="lastRow">
      <w:rPr>
        <w:b/>
        <w:bCs/>
      </w:rPr>
      <w:tblPr/>
      <w:tcPr>
        <w:tcBorders>
          <w:top w:val="double" w:sz="2" w:space="0" w:color="EAE9EA" w:themeColor="text1" w:themeTint="99"/>
        </w:tcBorders>
      </w:tcPr>
    </w:tblStylePr>
    <w:tblStylePr w:type="firstCol">
      <w:rPr>
        <w:b/>
        <w:bCs/>
      </w:rPr>
    </w:tblStylePr>
    <w:tblStylePr w:type="lastCol">
      <w:rPr>
        <w:b/>
        <w:bCs/>
      </w:rPr>
    </w:tblStylePr>
  </w:style>
  <w:style w:type="table" w:customStyle="1" w:styleId="Table1">
    <w:name w:val="Table1"/>
    <w:semiHidden/>
    <w:unhideWhenUsed/>
    <w:qFormat/>
    <w:rsid w:val="000B27F3"/>
    <w:pPr>
      <w:suppressAutoHyphens/>
      <w:spacing w:after="0" w:line="240" w:lineRule="auto"/>
    </w:pPr>
    <w:rPr>
      <w:sz w:val="24"/>
      <w:szCs w:val="24"/>
      <w:lang w:val="es-ES" w:eastAsia="ja-JP"/>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StyleOikoTables07Firstline0cm">
    <w:name w:val="Style Oiko Tables 07 + First line:  0 cm"/>
    <w:basedOn w:val="OikoTables07"/>
    <w:rsid w:val="001F562D"/>
    <w:pPr>
      <w:numPr>
        <w:numId w:val="33"/>
      </w:numPr>
    </w:pPr>
    <w:rPr>
      <w:rFonts w:eastAsia="Times New Roman" w:cs="Times New Roman"/>
      <w:szCs w:val="20"/>
    </w:rPr>
  </w:style>
  <w:style w:type="table" w:styleId="PlainTable5">
    <w:name w:val="Plain Table 5"/>
    <w:basedOn w:val="TableNormal"/>
    <w:uiPriority w:val="45"/>
    <w:rsid w:val="0084358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EDEE" w:themeColor="text1" w:themeTint="80"/>
        </w:tcBorders>
        <w:shd w:val="clear" w:color="auto" w:fill="BCBCBC" w:themeFill="background1"/>
      </w:tcPr>
    </w:tblStylePr>
    <w:tblStylePr w:type="lastRow">
      <w:rPr>
        <w:rFonts w:asciiTheme="majorHAnsi" w:eastAsiaTheme="majorEastAsia" w:hAnsiTheme="majorHAnsi" w:cstheme="majorBidi"/>
        <w:i/>
        <w:iCs/>
        <w:sz w:val="26"/>
      </w:rPr>
      <w:tblPr/>
      <w:tcPr>
        <w:tcBorders>
          <w:top w:val="single" w:sz="4" w:space="0" w:color="EEEDEE" w:themeColor="text1" w:themeTint="80"/>
        </w:tcBorders>
        <w:shd w:val="clear" w:color="auto" w:fill="BCBC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EDEE" w:themeColor="text1" w:themeTint="80"/>
        </w:tcBorders>
        <w:shd w:val="clear" w:color="auto" w:fill="BCBCBC" w:themeFill="background1"/>
      </w:tcPr>
    </w:tblStylePr>
    <w:tblStylePr w:type="lastCol">
      <w:rPr>
        <w:rFonts w:asciiTheme="majorHAnsi" w:eastAsiaTheme="majorEastAsia" w:hAnsiTheme="majorHAnsi" w:cstheme="majorBidi"/>
        <w:i/>
        <w:iCs/>
        <w:sz w:val="26"/>
      </w:rPr>
      <w:tblPr/>
      <w:tcPr>
        <w:tcBorders>
          <w:left w:val="single" w:sz="4" w:space="0" w:color="EEEDEE" w:themeColor="text1" w:themeTint="80"/>
        </w:tcBorders>
        <w:shd w:val="clear" w:color="auto" w:fill="BCBCBC" w:themeFill="background1"/>
      </w:tcPr>
    </w:tblStylePr>
    <w:tblStylePr w:type="band1Vert">
      <w:tblPr/>
      <w:tcPr>
        <w:shd w:val="clear" w:color="auto" w:fill="B2B2B2" w:themeFill="background1" w:themeFillShade="F2"/>
      </w:tcPr>
    </w:tblStylePr>
    <w:tblStylePr w:type="band1Horz">
      <w:tblPr/>
      <w:tcPr>
        <w:shd w:val="clear" w:color="auto" w:fill="B2B2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84358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2B2B2" w:themeFill="background1" w:themeFillShade="F2"/>
      </w:tcPr>
    </w:tblStylePr>
    <w:tblStylePr w:type="band1Horz">
      <w:tblPr/>
      <w:tcPr>
        <w:shd w:val="clear" w:color="auto" w:fill="B2B2B2" w:themeFill="background1" w:themeFillShade="F2"/>
      </w:tcPr>
    </w:tblStylePr>
  </w:style>
  <w:style w:type="table" w:styleId="PlainTable3">
    <w:name w:val="Plain Table 3"/>
    <w:basedOn w:val="TableNormal"/>
    <w:uiPriority w:val="43"/>
    <w:rsid w:val="00FD46FD"/>
    <w:pPr>
      <w:spacing w:after="0" w:line="240" w:lineRule="auto"/>
    </w:pPr>
    <w:tblPr>
      <w:tblStyleRowBandSize w:val="1"/>
      <w:tblStyleColBandSize w:val="1"/>
    </w:tblPr>
    <w:tblStylePr w:type="firstRow">
      <w:rPr>
        <w:b/>
        <w:bCs/>
        <w:caps/>
      </w:rPr>
      <w:tblPr/>
      <w:tcPr>
        <w:tcBorders>
          <w:bottom w:val="single" w:sz="4" w:space="0" w:color="EEEDE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EEEDEE" w:themeColor="text1" w:themeTint="80"/>
        </w:tcBorders>
      </w:tcPr>
    </w:tblStylePr>
    <w:tblStylePr w:type="lastCol">
      <w:rPr>
        <w:b/>
        <w:bCs/>
        <w:caps/>
      </w:rPr>
      <w:tblPr/>
      <w:tcPr>
        <w:tcBorders>
          <w:left w:val="nil"/>
        </w:tcBorders>
      </w:tcPr>
    </w:tblStylePr>
    <w:tblStylePr w:type="band1Vert">
      <w:tblPr/>
      <w:tcPr>
        <w:shd w:val="clear" w:color="auto" w:fill="B2B2B2" w:themeFill="background1" w:themeFillShade="F2"/>
      </w:tcPr>
    </w:tblStylePr>
    <w:tblStylePr w:type="band1Horz">
      <w:tblPr/>
      <w:tcPr>
        <w:shd w:val="clear" w:color="auto" w:fill="B2B2B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pPr>
      <w:spacing w:after="0" w:line="240" w:lineRule="auto"/>
    </w:pPr>
    <w:tblPr>
      <w:tblBorders>
        <w:top w:val="single" w:sz="4" w:space="0" w:color="8C8C8C" w:themeColor="background1" w:themeShade="BF"/>
        <w:left w:val="single" w:sz="4" w:space="0" w:color="8C8C8C" w:themeColor="background1" w:themeShade="BF"/>
        <w:bottom w:val="single" w:sz="4" w:space="0" w:color="8C8C8C" w:themeColor="background1" w:themeShade="BF"/>
        <w:right w:val="single" w:sz="4" w:space="0" w:color="8C8C8C" w:themeColor="background1" w:themeShade="BF"/>
        <w:insideH w:val="single" w:sz="4" w:space="0" w:color="8C8C8C" w:themeColor="background1" w:themeShade="BF"/>
        <w:insideV w:val="single" w:sz="4" w:space="0" w:color="8C8C8C" w:themeColor="background1" w:themeShade="BF"/>
      </w:tblBorders>
    </w:tblPr>
  </w:style>
  <w:style w:type="character" w:customStyle="1" w:styleId="CaptionChar">
    <w:name w:val="Caption Char"/>
    <w:aliases w:val="Oiko Caption Char"/>
    <w:basedOn w:val="DefaultParagraphFont"/>
    <w:link w:val="Caption"/>
    <w:uiPriority w:val="35"/>
    <w:qFormat/>
    <w:rsid w:val="00641399"/>
    <w:rPr>
      <w:rFonts w:ascii="Times New Roman" w:hAnsi="Times New Roman"/>
      <w:i/>
      <w:iCs/>
      <w:color w:val="DD6B22" w:themeColor="accent3" w:themeShade="BF"/>
      <w:szCs w:val="18"/>
      <w:lang w:val="en-GB"/>
    </w:rPr>
  </w:style>
  <w:style w:type="paragraph" w:customStyle="1" w:styleId="FirstParagraph">
    <w:name w:val="First Paragraph"/>
    <w:basedOn w:val="BodyText"/>
    <w:next w:val="BodyText"/>
    <w:qFormat/>
    <w:rsid w:val="00CB4D67"/>
    <w:pPr>
      <w:spacing w:before="180" w:after="180" w:line="240" w:lineRule="auto"/>
      <w:contextualSpacing w:val="0"/>
      <w:jc w:val="left"/>
    </w:pPr>
    <w:rPr>
      <w:rFonts w:eastAsia="Times New Roman" w:cs="Times New Roman"/>
      <w:lang w:val="en-US"/>
    </w:rPr>
  </w:style>
  <w:style w:type="paragraph" w:styleId="TOC5">
    <w:name w:val="toc 5"/>
    <w:basedOn w:val="Normal"/>
    <w:next w:val="Normal"/>
    <w:autoRedefine/>
    <w:uiPriority w:val="39"/>
    <w:unhideWhenUsed/>
    <w:rsid w:val="007B2C41"/>
    <w:pPr>
      <w:spacing w:after="100" w:line="259" w:lineRule="auto"/>
      <w:ind w:left="880"/>
      <w:contextualSpacing w:val="0"/>
      <w:jc w:val="left"/>
    </w:pPr>
    <w:rPr>
      <w:rFonts w:asciiTheme="minorHAnsi" w:eastAsiaTheme="minorEastAsia" w:hAnsiTheme="minorHAnsi"/>
      <w:lang w:val="en-US" w:eastAsia="ja-JP"/>
    </w:rPr>
  </w:style>
  <w:style w:type="paragraph" w:styleId="TOC6">
    <w:name w:val="toc 6"/>
    <w:basedOn w:val="Normal"/>
    <w:next w:val="Normal"/>
    <w:autoRedefine/>
    <w:uiPriority w:val="39"/>
    <w:unhideWhenUsed/>
    <w:rsid w:val="007B2C41"/>
    <w:pPr>
      <w:spacing w:after="100" w:line="259" w:lineRule="auto"/>
      <w:ind w:left="1100"/>
      <w:contextualSpacing w:val="0"/>
      <w:jc w:val="left"/>
    </w:pPr>
    <w:rPr>
      <w:rFonts w:asciiTheme="minorHAnsi" w:eastAsiaTheme="minorEastAsia" w:hAnsiTheme="minorHAnsi"/>
      <w:lang w:val="en-US" w:eastAsia="ja-JP"/>
    </w:rPr>
  </w:style>
  <w:style w:type="paragraph" w:styleId="TOC7">
    <w:name w:val="toc 7"/>
    <w:basedOn w:val="Normal"/>
    <w:next w:val="Normal"/>
    <w:autoRedefine/>
    <w:uiPriority w:val="39"/>
    <w:unhideWhenUsed/>
    <w:rsid w:val="007B2C41"/>
    <w:pPr>
      <w:spacing w:after="100" w:line="259" w:lineRule="auto"/>
      <w:ind w:left="1320"/>
      <w:contextualSpacing w:val="0"/>
      <w:jc w:val="left"/>
    </w:pPr>
    <w:rPr>
      <w:rFonts w:asciiTheme="minorHAnsi" w:eastAsiaTheme="minorEastAsia" w:hAnsiTheme="minorHAnsi"/>
      <w:lang w:val="en-US" w:eastAsia="ja-JP"/>
    </w:rPr>
  </w:style>
  <w:style w:type="paragraph" w:styleId="TOC8">
    <w:name w:val="toc 8"/>
    <w:basedOn w:val="Normal"/>
    <w:next w:val="Normal"/>
    <w:autoRedefine/>
    <w:uiPriority w:val="39"/>
    <w:unhideWhenUsed/>
    <w:rsid w:val="007B2C41"/>
    <w:pPr>
      <w:spacing w:after="100" w:line="259" w:lineRule="auto"/>
      <w:ind w:left="1540"/>
      <w:contextualSpacing w:val="0"/>
      <w:jc w:val="left"/>
    </w:pPr>
    <w:rPr>
      <w:rFonts w:asciiTheme="minorHAnsi" w:eastAsiaTheme="minorEastAsia" w:hAnsiTheme="minorHAnsi"/>
      <w:lang w:val="en-US" w:eastAsia="ja-JP"/>
    </w:rPr>
  </w:style>
  <w:style w:type="paragraph" w:styleId="TOC9">
    <w:name w:val="toc 9"/>
    <w:basedOn w:val="Normal"/>
    <w:next w:val="Normal"/>
    <w:autoRedefine/>
    <w:uiPriority w:val="39"/>
    <w:unhideWhenUsed/>
    <w:rsid w:val="007B2C41"/>
    <w:pPr>
      <w:spacing w:after="100" w:line="259" w:lineRule="auto"/>
      <w:ind w:left="1760"/>
      <w:contextualSpacing w:val="0"/>
      <w:jc w:val="left"/>
    </w:pPr>
    <w:rPr>
      <w:rFonts w:asciiTheme="minorHAnsi" w:eastAsiaTheme="minorEastAsia" w:hAnsiTheme="minorHAnsi"/>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202">
      <w:bodyDiv w:val="1"/>
      <w:marLeft w:val="0"/>
      <w:marRight w:val="0"/>
      <w:marTop w:val="0"/>
      <w:marBottom w:val="0"/>
      <w:divBdr>
        <w:top w:val="none" w:sz="0" w:space="0" w:color="auto"/>
        <w:left w:val="none" w:sz="0" w:space="0" w:color="auto"/>
        <w:bottom w:val="none" w:sz="0" w:space="0" w:color="auto"/>
        <w:right w:val="none" w:sz="0" w:space="0" w:color="auto"/>
      </w:divBdr>
    </w:div>
    <w:div w:id="69667024">
      <w:bodyDiv w:val="1"/>
      <w:marLeft w:val="0"/>
      <w:marRight w:val="0"/>
      <w:marTop w:val="0"/>
      <w:marBottom w:val="0"/>
      <w:divBdr>
        <w:top w:val="none" w:sz="0" w:space="0" w:color="auto"/>
        <w:left w:val="none" w:sz="0" w:space="0" w:color="auto"/>
        <w:bottom w:val="none" w:sz="0" w:space="0" w:color="auto"/>
        <w:right w:val="none" w:sz="0" w:space="0" w:color="auto"/>
      </w:divBdr>
    </w:div>
    <w:div w:id="115487154">
      <w:bodyDiv w:val="1"/>
      <w:marLeft w:val="0"/>
      <w:marRight w:val="0"/>
      <w:marTop w:val="0"/>
      <w:marBottom w:val="0"/>
      <w:divBdr>
        <w:top w:val="none" w:sz="0" w:space="0" w:color="auto"/>
        <w:left w:val="none" w:sz="0" w:space="0" w:color="auto"/>
        <w:bottom w:val="none" w:sz="0" w:space="0" w:color="auto"/>
        <w:right w:val="none" w:sz="0" w:space="0" w:color="auto"/>
      </w:divBdr>
    </w:div>
    <w:div w:id="151223133">
      <w:bodyDiv w:val="1"/>
      <w:marLeft w:val="0"/>
      <w:marRight w:val="0"/>
      <w:marTop w:val="0"/>
      <w:marBottom w:val="0"/>
      <w:divBdr>
        <w:top w:val="none" w:sz="0" w:space="0" w:color="auto"/>
        <w:left w:val="none" w:sz="0" w:space="0" w:color="auto"/>
        <w:bottom w:val="none" w:sz="0" w:space="0" w:color="auto"/>
        <w:right w:val="none" w:sz="0" w:space="0" w:color="auto"/>
      </w:divBdr>
    </w:div>
    <w:div w:id="173765786">
      <w:bodyDiv w:val="1"/>
      <w:marLeft w:val="0"/>
      <w:marRight w:val="0"/>
      <w:marTop w:val="0"/>
      <w:marBottom w:val="0"/>
      <w:divBdr>
        <w:top w:val="none" w:sz="0" w:space="0" w:color="auto"/>
        <w:left w:val="none" w:sz="0" w:space="0" w:color="auto"/>
        <w:bottom w:val="none" w:sz="0" w:space="0" w:color="auto"/>
        <w:right w:val="none" w:sz="0" w:space="0" w:color="auto"/>
      </w:divBdr>
    </w:div>
    <w:div w:id="197934321">
      <w:bodyDiv w:val="1"/>
      <w:marLeft w:val="0"/>
      <w:marRight w:val="0"/>
      <w:marTop w:val="0"/>
      <w:marBottom w:val="0"/>
      <w:divBdr>
        <w:top w:val="none" w:sz="0" w:space="0" w:color="auto"/>
        <w:left w:val="none" w:sz="0" w:space="0" w:color="auto"/>
        <w:bottom w:val="none" w:sz="0" w:space="0" w:color="auto"/>
        <w:right w:val="none" w:sz="0" w:space="0" w:color="auto"/>
      </w:divBdr>
    </w:div>
    <w:div w:id="213854932">
      <w:bodyDiv w:val="1"/>
      <w:marLeft w:val="0"/>
      <w:marRight w:val="0"/>
      <w:marTop w:val="0"/>
      <w:marBottom w:val="0"/>
      <w:divBdr>
        <w:top w:val="none" w:sz="0" w:space="0" w:color="auto"/>
        <w:left w:val="none" w:sz="0" w:space="0" w:color="auto"/>
        <w:bottom w:val="none" w:sz="0" w:space="0" w:color="auto"/>
        <w:right w:val="none" w:sz="0" w:space="0" w:color="auto"/>
      </w:divBdr>
    </w:div>
    <w:div w:id="241909866">
      <w:bodyDiv w:val="1"/>
      <w:marLeft w:val="0"/>
      <w:marRight w:val="0"/>
      <w:marTop w:val="0"/>
      <w:marBottom w:val="0"/>
      <w:divBdr>
        <w:top w:val="none" w:sz="0" w:space="0" w:color="auto"/>
        <w:left w:val="none" w:sz="0" w:space="0" w:color="auto"/>
        <w:bottom w:val="none" w:sz="0" w:space="0" w:color="auto"/>
        <w:right w:val="none" w:sz="0" w:space="0" w:color="auto"/>
      </w:divBdr>
    </w:div>
    <w:div w:id="257105210">
      <w:bodyDiv w:val="1"/>
      <w:marLeft w:val="0"/>
      <w:marRight w:val="0"/>
      <w:marTop w:val="0"/>
      <w:marBottom w:val="0"/>
      <w:divBdr>
        <w:top w:val="none" w:sz="0" w:space="0" w:color="auto"/>
        <w:left w:val="none" w:sz="0" w:space="0" w:color="auto"/>
        <w:bottom w:val="none" w:sz="0" w:space="0" w:color="auto"/>
        <w:right w:val="none" w:sz="0" w:space="0" w:color="auto"/>
      </w:divBdr>
    </w:div>
    <w:div w:id="263345405">
      <w:bodyDiv w:val="1"/>
      <w:marLeft w:val="0"/>
      <w:marRight w:val="0"/>
      <w:marTop w:val="0"/>
      <w:marBottom w:val="0"/>
      <w:divBdr>
        <w:top w:val="none" w:sz="0" w:space="0" w:color="auto"/>
        <w:left w:val="none" w:sz="0" w:space="0" w:color="auto"/>
        <w:bottom w:val="none" w:sz="0" w:space="0" w:color="auto"/>
        <w:right w:val="none" w:sz="0" w:space="0" w:color="auto"/>
      </w:divBdr>
    </w:div>
    <w:div w:id="275870744">
      <w:bodyDiv w:val="1"/>
      <w:marLeft w:val="0"/>
      <w:marRight w:val="0"/>
      <w:marTop w:val="0"/>
      <w:marBottom w:val="0"/>
      <w:divBdr>
        <w:top w:val="none" w:sz="0" w:space="0" w:color="auto"/>
        <w:left w:val="none" w:sz="0" w:space="0" w:color="auto"/>
        <w:bottom w:val="none" w:sz="0" w:space="0" w:color="auto"/>
        <w:right w:val="none" w:sz="0" w:space="0" w:color="auto"/>
      </w:divBdr>
    </w:div>
    <w:div w:id="282002502">
      <w:bodyDiv w:val="1"/>
      <w:marLeft w:val="0"/>
      <w:marRight w:val="0"/>
      <w:marTop w:val="0"/>
      <w:marBottom w:val="0"/>
      <w:divBdr>
        <w:top w:val="none" w:sz="0" w:space="0" w:color="auto"/>
        <w:left w:val="none" w:sz="0" w:space="0" w:color="auto"/>
        <w:bottom w:val="none" w:sz="0" w:space="0" w:color="auto"/>
        <w:right w:val="none" w:sz="0" w:space="0" w:color="auto"/>
      </w:divBdr>
    </w:div>
    <w:div w:id="283923369">
      <w:bodyDiv w:val="1"/>
      <w:marLeft w:val="0"/>
      <w:marRight w:val="0"/>
      <w:marTop w:val="0"/>
      <w:marBottom w:val="0"/>
      <w:divBdr>
        <w:top w:val="none" w:sz="0" w:space="0" w:color="auto"/>
        <w:left w:val="none" w:sz="0" w:space="0" w:color="auto"/>
        <w:bottom w:val="none" w:sz="0" w:space="0" w:color="auto"/>
        <w:right w:val="none" w:sz="0" w:space="0" w:color="auto"/>
      </w:divBdr>
    </w:div>
    <w:div w:id="355695160">
      <w:bodyDiv w:val="1"/>
      <w:marLeft w:val="0"/>
      <w:marRight w:val="0"/>
      <w:marTop w:val="0"/>
      <w:marBottom w:val="0"/>
      <w:divBdr>
        <w:top w:val="none" w:sz="0" w:space="0" w:color="auto"/>
        <w:left w:val="none" w:sz="0" w:space="0" w:color="auto"/>
        <w:bottom w:val="none" w:sz="0" w:space="0" w:color="auto"/>
        <w:right w:val="none" w:sz="0" w:space="0" w:color="auto"/>
      </w:divBdr>
      <w:divsChild>
        <w:div w:id="1109545777">
          <w:marLeft w:val="0"/>
          <w:marRight w:val="0"/>
          <w:marTop w:val="0"/>
          <w:marBottom w:val="0"/>
          <w:divBdr>
            <w:top w:val="none" w:sz="0" w:space="0" w:color="auto"/>
            <w:left w:val="none" w:sz="0" w:space="0" w:color="auto"/>
            <w:bottom w:val="none" w:sz="0" w:space="0" w:color="auto"/>
            <w:right w:val="none" w:sz="0" w:space="0" w:color="auto"/>
          </w:divBdr>
        </w:div>
        <w:div w:id="2001539086">
          <w:marLeft w:val="0"/>
          <w:marRight w:val="0"/>
          <w:marTop w:val="0"/>
          <w:marBottom w:val="0"/>
          <w:divBdr>
            <w:top w:val="none" w:sz="0" w:space="0" w:color="auto"/>
            <w:left w:val="none" w:sz="0" w:space="0" w:color="auto"/>
            <w:bottom w:val="none" w:sz="0" w:space="0" w:color="auto"/>
            <w:right w:val="none" w:sz="0" w:space="0" w:color="auto"/>
          </w:divBdr>
        </w:div>
        <w:div w:id="2012370511">
          <w:marLeft w:val="0"/>
          <w:marRight w:val="0"/>
          <w:marTop w:val="0"/>
          <w:marBottom w:val="0"/>
          <w:divBdr>
            <w:top w:val="none" w:sz="0" w:space="0" w:color="auto"/>
            <w:left w:val="none" w:sz="0" w:space="0" w:color="auto"/>
            <w:bottom w:val="none" w:sz="0" w:space="0" w:color="auto"/>
            <w:right w:val="none" w:sz="0" w:space="0" w:color="auto"/>
          </w:divBdr>
        </w:div>
      </w:divsChild>
    </w:div>
    <w:div w:id="369303870">
      <w:bodyDiv w:val="1"/>
      <w:marLeft w:val="0"/>
      <w:marRight w:val="0"/>
      <w:marTop w:val="0"/>
      <w:marBottom w:val="0"/>
      <w:divBdr>
        <w:top w:val="none" w:sz="0" w:space="0" w:color="auto"/>
        <w:left w:val="none" w:sz="0" w:space="0" w:color="auto"/>
        <w:bottom w:val="none" w:sz="0" w:space="0" w:color="auto"/>
        <w:right w:val="none" w:sz="0" w:space="0" w:color="auto"/>
      </w:divBdr>
    </w:div>
    <w:div w:id="394277022">
      <w:bodyDiv w:val="1"/>
      <w:marLeft w:val="0"/>
      <w:marRight w:val="0"/>
      <w:marTop w:val="0"/>
      <w:marBottom w:val="0"/>
      <w:divBdr>
        <w:top w:val="none" w:sz="0" w:space="0" w:color="auto"/>
        <w:left w:val="none" w:sz="0" w:space="0" w:color="auto"/>
        <w:bottom w:val="none" w:sz="0" w:space="0" w:color="auto"/>
        <w:right w:val="none" w:sz="0" w:space="0" w:color="auto"/>
      </w:divBdr>
    </w:div>
    <w:div w:id="400445512">
      <w:bodyDiv w:val="1"/>
      <w:marLeft w:val="0"/>
      <w:marRight w:val="0"/>
      <w:marTop w:val="0"/>
      <w:marBottom w:val="0"/>
      <w:divBdr>
        <w:top w:val="none" w:sz="0" w:space="0" w:color="auto"/>
        <w:left w:val="none" w:sz="0" w:space="0" w:color="auto"/>
        <w:bottom w:val="none" w:sz="0" w:space="0" w:color="auto"/>
        <w:right w:val="none" w:sz="0" w:space="0" w:color="auto"/>
      </w:divBdr>
    </w:div>
    <w:div w:id="407578222">
      <w:bodyDiv w:val="1"/>
      <w:marLeft w:val="0"/>
      <w:marRight w:val="0"/>
      <w:marTop w:val="0"/>
      <w:marBottom w:val="0"/>
      <w:divBdr>
        <w:top w:val="none" w:sz="0" w:space="0" w:color="auto"/>
        <w:left w:val="none" w:sz="0" w:space="0" w:color="auto"/>
        <w:bottom w:val="none" w:sz="0" w:space="0" w:color="auto"/>
        <w:right w:val="none" w:sz="0" w:space="0" w:color="auto"/>
      </w:divBdr>
    </w:div>
    <w:div w:id="432018318">
      <w:bodyDiv w:val="1"/>
      <w:marLeft w:val="0"/>
      <w:marRight w:val="0"/>
      <w:marTop w:val="0"/>
      <w:marBottom w:val="0"/>
      <w:divBdr>
        <w:top w:val="none" w:sz="0" w:space="0" w:color="auto"/>
        <w:left w:val="none" w:sz="0" w:space="0" w:color="auto"/>
        <w:bottom w:val="none" w:sz="0" w:space="0" w:color="auto"/>
        <w:right w:val="none" w:sz="0" w:space="0" w:color="auto"/>
      </w:divBdr>
      <w:divsChild>
        <w:div w:id="1564442160">
          <w:marLeft w:val="0"/>
          <w:marRight w:val="0"/>
          <w:marTop w:val="0"/>
          <w:marBottom w:val="0"/>
          <w:divBdr>
            <w:top w:val="none" w:sz="0" w:space="0" w:color="auto"/>
            <w:left w:val="none" w:sz="0" w:space="0" w:color="auto"/>
            <w:bottom w:val="none" w:sz="0" w:space="0" w:color="auto"/>
            <w:right w:val="none" w:sz="0" w:space="0" w:color="auto"/>
          </w:divBdr>
          <w:divsChild>
            <w:div w:id="1322008032">
              <w:marLeft w:val="0"/>
              <w:marRight w:val="0"/>
              <w:marTop w:val="0"/>
              <w:marBottom w:val="0"/>
              <w:divBdr>
                <w:top w:val="none" w:sz="0" w:space="0" w:color="auto"/>
                <w:left w:val="none" w:sz="0" w:space="0" w:color="auto"/>
                <w:bottom w:val="none" w:sz="0" w:space="0" w:color="auto"/>
                <w:right w:val="none" w:sz="0" w:space="0" w:color="auto"/>
              </w:divBdr>
              <w:divsChild>
                <w:div w:id="260841883">
                  <w:marLeft w:val="0"/>
                  <w:marRight w:val="0"/>
                  <w:marTop w:val="0"/>
                  <w:marBottom w:val="0"/>
                  <w:divBdr>
                    <w:top w:val="none" w:sz="0" w:space="0" w:color="auto"/>
                    <w:left w:val="none" w:sz="0" w:space="0" w:color="auto"/>
                    <w:bottom w:val="none" w:sz="0" w:space="0" w:color="auto"/>
                    <w:right w:val="none" w:sz="0" w:space="0" w:color="auto"/>
                  </w:divBdr>
                  <w:divsChild>
                    <w:div w:id="158085614">
                      <w:marLeft w:val="0"/>
                      <w:marRight w:val="0"/>
                      <w:marTop w:val="0"/>
                      <w:marBottom w:val="0"/>
                      <w:divBdr>
                        <w:top w:val="none" w:sz="0" w:space="0" w:color="auto"/>
                        <w:left w:val="none" w:sz="0" w:space="0" w:color="auto"/>
                        <w:bottom w:val="none" w:sz="0" w:space="0" w:color="auto"/>
                        <w:right w:val="none" w:sz="0" w:space="0" w:color="auto"/>
                      </w:divBdr>
                      <w:divsChild>
                        <w:div w:id="848180371">
                          <w:marLeft w:val="0"/>
                          <w:marRight w:val="0"/>
                          <w:marTop w:val="0"/>
                          <w:marBottom w:val="0"/>
                          <w:divBdr>
                            <w:top w:val="none" w:sz="0" w:space="0" w:color="auto"/>
                            <w:left w:val="none" w:sz="0" w:space="0" w:color="auto"/>
                            <w:bottom w:val="none" w:sz="0" w:space="0" w:color="auto"/>
                            <w:right w:val="none" w:sz="0" w:space="0" w:color="auto"/>
                          </w:divBdr>
                          <w:divsChild>
                            <w:div w:id="1241797292">
                              <w:marLeft w:val="0"/>
                              <w:marRight w:val="0"/>
                              <w:marTop w:val="0"/>
                              <w:marBottom w:val="0"/>
                              <w:divBdr>
                                <w:top w:val="none" w:sz="0" w:space="0" w:color="auto"/>
                                <w:left w:val="none" w:sz="0" w:space="0" w:color="auto"/>
                                <w:bottom w:val="none" w:sz="0" w:space="0" w:color="auto"/>
                                <w:right w:val="none" w:sz="0" w:space="0" w:color="auto"/>
                              </w:divBdr>
                              <w:divsChild>
                                <w:div w:id="1052190134">
                                  <w:marLeft w:val="0"/>
                                  <w:marRight w:val="0"/>
                                  <w:marTop w:val="0"/>
                                  <w:marBottom w:val="0"/>
                                  <w:divBdr>
                                    <w:top w:val="none" w:sz="0" w:space="0" w:color="auto"/>
                                    <w:left w:val="none" w:sz="0" w:space="0" w:color="auto"/>
                                    <w:bottom w:val="none" w:sz="0" w:space="0" w:color="auto"/>
                                    <w:right w:val="none" w:sz="0" w:space="0" w:color="auto"/>
                                  </w:divBdr>
                                  <w:divsChild>
                                    <w:div w:id="929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099001">
      <w:bodyDiv w:val="1"/>
      <w:marLeft w:val="0"/>
      <w:marRight w:val="0"/>
      <w:marTop w:val="0"/>
      <w:marBottom w:val="0"/>
      <w:divBdr>
        <w:top w:val="none" w:sz="0" w:space="0" w:color="auto"/>
        <w:left w:val="none" w:sz="0" w:space="0" w:color="auto"/>
        <w:bottom w:val="none" w:sz="0" w:space="0" w:color="auto"/>
        <w:right w:val="none" w:sz="0" w:space="0" w:color="auto"/>
      </w:divBdr>
    </w:div>
    <w:div w:id="447896015">
      <w:bodyDiv w:val="1"/>
      <w:marLeft w:val="0"/>
      <w:marRight w:val="0"/>
      <w:marTop w:val="0"/>
      <w:marBottom w:val="0"/>
      <w:divBdr>
        <w:top w:val="none" w:sz="0" w:space="0" w:color="auto"/>
        <w:left w:val="none" w:sz="0" w:space="0" w:color="auto"/>
        <w:bottom w:val="none" w:sz="0" w:space="0" w:color="auto"/>
        <w:right w:val="none" w:sz="0" w:space="0" w:color="auto"/>
      </w:divBdr>
    </w:div>
    <w:div w:id="454711507">
      <w:bodyDiv w:val="1"/>
      <w:marLeft w:val="0"/>
      <w:marRight w:val="0"/>
      <w:marTop w:val="0"/>
      <w:marBottom w:val="0"/>
      <w:divBdr>
        <w:top w:val="none" w:sz="0" w:space="0" w:color="auto"/>
        <w:left w:val="none" w:sz="0" w:space="0" w:color="auto"/>
        <w:bottom w:val="none" w:sz="0" w:space="0" w:color="auto"/>
        <w:right w:val="none" w:sz="0" w:space="0" w:color="auto"/>
      </w:divBdr>
    </w:div>
    <w:div w:id="460542101">
      <w:bodyDiv w:val="1"/>
      <w:marLeft w:val="0"/>
      <w:marRight w:val="0"/>
      <w:marTop w:val="0"/>
      <w:marBottom w:val="0"/>
      <w:divBdr>
        <w:top w:val="none" w:sz="0" w:space="0" w:color="auto"/>
        <w:left w:val="none" w:sz="0" w:space="0" w:color="auto"/>
        <w:bottom w:val="none" w:sz="0" w:space="0" w:color="auto"/>
        <w:right w:val="none" w:sz="0" w:space="0" w:color="auto"/>
      </w:divBdr>
    </w:div>
    <w:div w:id="472796300">
      <w:bodyDiv w:val="1"/>
      <w:marLeft w:val="0"/>
      <w:marRight w:val="0"/>
      <w:marTop w:val="0"/>
      <w:marBottom w:val="0"/>
      <w:divBdr>
        <w:top w:val="none" w:sz="0" w:space="0" w:color="auto"/>
        <w:left w:val="none" w:sz="0" w:space="0" w:color="auto"/>
        <w:bottom w:val="none" w:sz="0" w:space="0" w:color="auto"/>
        <w:right w:val="none" w:sz="0" w:space="0" w:color="auto"/>
      </w:divBdr>
      <w:divsChild>
        <w:div w:id="737942600">
          <w:marLeft w:val="0"/>
          <w:marRight w:val="0"/>
          <w:marTop w:val="0"/>
          <w:marBottom w:val="0"/>
          <w:divBdr>
            <w:top w:val="none" w:sz="0" w:space="0" w:color="auto"/>
            <w:left w:val="none" w:sz="0" w:space="0" w:color="auto"/>
            <w:bottom w:val="none" w:sz="0" w:space="0" w:color="auto"/>
            <w:right w:val="none" w:sz="0" w:space="0" w:color="auto"/>
          </w:divBdr>
          <w:divsChild>
            <w:div w:id="1596402639">
              <w:marLeft w:val="0"/>
              <w:marRight w:val="0"/>
              <w:marTop w:val="0"/>
              <w:marBottom w:val="0"/>
              <w:divBdr>
                <w:top w:val="none" w:sz="0" w:space="0" w:color="auto"/>
                <w:left w:val="none" w:sz="0" w:space="0" w:color="auto"/>
                <w:bottom w:val="none" w:sz="0" w:space="0" w:color="auto"/>
                <w:right w:val="none" w:sz="0" w:space="0" w:color="auto"/>
              </w:divBdr>
              <w:divsChild>
                <w:div w:id="648442013">
                  <w:marLeft w:val="0"/>
                  <w:marRight w:val="0"/>
                  <w:marTop w:val="0"/>
                  <w:marBottom w:val="0"/>
                  <w:divBdr>
                    <w:top w:val="none" w:sz="0" w:space="0" w:color="auto"/>
                    <w:left w:val="none" w:sz="0" w:space="0" w:color="auto"/>
                    <w:bottom w:val="none" w:sz="0" w:space="0" w:color="auto"/>
                    <w:right w:val="none" w:sz="0" w:space="0" w:color="auto"/>
                  </w:divBdr>
                  <w:divsChild>
                    <w:div w:id="20957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49788">
          <w:marLeft w:val="0"/>
          <w:marRight w:val="0"/>
          <w:marTop w:val="0"/>
          <w:marBottom w:val="0"/>
          <w:divBdr>
            <w:top w:val="none" w:sz="0" w:space="0" w:color="auto"/>
            <w:left w:val="none" w:sz="0" w:space="0" w:color="auto"/>
            <w:bottom w:val="none" w:sz="0" w:space="0" w:color="auto"/>
            <w:right w:val="none" w:sz="0" w:space="0" w:color="auto"/>
          </w:divBdr>
          <w:divsChild>
            <w:div w:id="986321960">
              <w:marLeft w:val="0"/>
              <w:marRight w:val="0"/>
              <w:marTop w:val="0"/>
              <w:marBottom w:val="0"/>
              <w:divBdr>
                <w:top w:val="none" w:sz="0" w:space="0" w:color="auto"/>
                <w:left w:val="none" w:sz="0" w:space="0" w:color="auto"/>
                <w:bottom w:val="none" w:sz="0" w:space="0" w:color="auto"/>
                <w:right w:val="none" w:sz="0" w:space="0" w:color="auto"/>
              </w:divBdr>
              <w:divsChild>
                <w:div w:id="1726219920">
                  <w:marLeft w:val="0"/>
                  <w:marRight w:val="0"/>
                  <w:marTop w:val="0"/>
                  <w:marBottom w:val="0"/>
                  <w:divBdr>
                    <w:top w:val="none" w:sz="0" w:space="0" w:color="auto"/>
                    <w:left w:val="none" w:sz="0" w:space="0" w:color="auto"/>
                    <w:bottom w:val="none" w:sz="0" w:space="0" w:color="auto"/>
                    <w:right w:val="none" w:sz="0" w:space="0" w:color="auto"/>
                  </w:divBdr>
                  <w:divsChild>
                    <w:div w:id="1061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10600">
      <w:bodyDiv w:val="1"/>
      <w:marLeft w:val="0"/>
      <w:marRight w:val="0"/>
      <w:marTop w:val="0"/>
      <w:marBottom w:val="0"/>
      <w:divBdr>
        <w:top w:val="none" w:sz="0" w:space="0" w:color="auto"/>
        <w:left w:val="none" w:sz="0" w:space="0" w:color="auto"/>
        <w:bottom w:val="none" w:sz="0" w:space="0" w:color="auto"/>
        <w:right w:val="none" w:sz="0" w:space="0" w:color="auto"/>
      </w:divBdr>
    </w:div>
    <w:div w:id="635524054">
      <w:bodyDiv w:val="1"/>
      <w:marLeft w:val="0"/>
      <w:marRight w:val="0"/>
      <w:marTop w:val="0"/>
      <w:marBottom w:val="0"/>
      <w:divBdr>
        <w:top w:val="none" w:sz="0" w:space="0" w:color="auto"/>
        <w:left w:val="none" w:sz="0" w:space="0" w:color="auto"/>
        <w:bottom w:val="none" w:sz="0" w:space="0" w:color="auto"/>
        <w:right w:val="none" w:sz="0" w:space="0" w:color="auto"/>
      </w:divBdr>
    </w:div>
    <w:div w:id="668991773">
      <w:bodyDiv w:val="1"/>
      <w:marLeft w:val="0"/>
      <w:marRight w:val="0"/>
      <w:marTop w:val="0"/>
      <w:marBottom w:val="0"/>
      <w:divBdr>
        <w:top w:val="none" w:sz="0" w:space="0" w:color="auto"/>
        <w:left w:val="none" w:sz="0" w:space="0" w:color="auto"/>
        <w:bottom w:val="none" w:sz="0" w:space="0" w:color="auto"/>
        <w:right w:val="none" w:sz="0" w:space="0" w:color="auto"/>
      </w:divBdr>
    </w:div>
    <w:div w:id="670524184">
      <w:bodyDiv w:val="1"/>
      <w:marLeft w:val="0"/>
      <w:marRight w:val="0"/>
      <w:marTop w:val="0"/>
      <w:marBottom w:val="0"/>
      <w:divBdr>
        <w:top w:val="none" w:sz="0" w:space="0" w:color="auto"/>
        <w:left w:val="none" w:sz="0" w:space="0" w:color="auto"/>
        <w:bottom w:val="none" w:sz="0" w:space="0" w:color="auto"/>
        <w:right w:val="none" w:sz="0" w:space="0" w:color="auto"/>
      </w:divBdr>
    </w:div>
    <w:div w:id="791826802">
      <w:bodyDiv w:val="1"/>
      <w:marLeft w:val="0"/>
      <w:marRight w:val="0"/>
      <w:marTop w:val="0"/>
      <w:marBottom w:val="0"/>
      <w:divBdr>
        <w:top w:val="none" w:sz="0" w:space="0" w:color="auto"/>
        <w:left w:val="none" w:sz="0" w:space="0" w:color="auto"/>
        <w:bottom w:val="none" w:sz="0" w:space="0" w:color="auto"/>
        <w:right w:val="none" w:sz="0" w:space="0" w:color="auto"/>
      </w:divBdr>
    </w:div>
    <w:div w:id="824127020">
      <w:bodyDiv w:val="1"/>
      <w:marLeft w:val="0"/>
      <w:marRight w:val="0"/>
      <w:marTop w:val="0"/>
      <w:marBottom w:val="0"/>
      <w:divBdr>
        <w:top w:val="none" w:sz="0" w:space="0" w:color="auto"/>
        <w:left w:val="none" w:sz="0" w:space="0" w:color="auto"/>
        <w:bottom w:val="none" w:sz="0" w:space="0" w:color="auto"/>
        <w:right w:val="none" w:sz="0" w:space="0" w:color="auto"/>
      </w:divBdr>
    </w:div>
    <w:div w:id="826869796">
      <w:bodyDiv w:val="1"/>
      <w:marLeft w:val="0"/>
      <w:marRight w:val="0"/>
      <w:marTop w:val="0"/>
      <w:marBottom w:val="0"/>
      <w:divBdr>
        <w:top w:val="none" w:sz="0" w:space="0" w:color="auto"/>
        <w:left w:val="none" w:sz="0" w:space="0" w:color="auto"/>
        <w:bottom w:val="none" w:sz="0" w:space="0" w:color="auto"/>
        <w:right w:val="none" w:sz="0" w:space="0" w:color="auto"/>
      </w:divBdr>
    </w:div>
    <w:div w:id="851993140">
      <w:bodyDiv w:val="1"/>
      <w:marLeft w:val="0"/>
      <w:marRight w:val="0"/>
      <w:marTop w:val="0"/>
      <w:marBottom w:val="0"/>
      <w:divBdr>
        <w:top w:val="none" w:sz="0" w:space="0" w:color="auto"/>
        <w:left w:val="none" w:sz="0" w:space="0" w:color="auto"/>
        <w:bottom w:val="none" w:sz="0" w:space="0" w:color="auto"/>
        <w:right w:val="none" w:sz="0" w:space="0" w:color="auto"/>
      </w:divBdr>
    </w:div>
    <w:div w:id="883447018">
      <w:bodyDiv w:val="1"/>
      <w:marLeft w:val="0"/>
      <w:marRight w:val="0"/>
      <w:marTop w:val="0"/>
      <w:marBottom w:val="0"/>
      <w:divBdr>
        <w:top w:val="none" w:sz="0" w:space="0" w:color="auto"/>
        <w:left w:val="none" w:sz="0" w:space="0" w:color="auto"/>
        <w:bottom w:val="none" w:sz="0" w:space="0" w:color="auto"/>
        <w:right w:val="none" w:sz="0" w:space="0" w:color="auto"/>
      </w:divBdr>
    </w:div>
    <w:div w:id="896477288">
      <w:bodyDiv w:val="1"/>
      <w:marLeft w:val="0"/>
      <w:marRight w:val="0"/>
      <w:marTop w:val="0"/>
      <w:marBottom w:val="0"/>
      <w:divBdr>
        <w:top w:val="none" w:sz="0" w:space="0" w:color="auto"/>
        <w:left w:val="none" w:sz="0" w:space="0" w:color="auto"/>
        <w:bottom w:val="none" w:sz="0" w:space="0" w:color="auto"/>
        <w:right w:val="none" w:sz="0" w:space="0" w:color="auto"/>
      </w:divBdr>
    </w:div>
    <w:div w:id="934754293">
      <w:bodyDiv w:val="1"/>
      <w:marLeft w:val="0"/>
      <w:marRight w:val="0"/>
      <w:marTop w:val="0"/>
      <w:marBottom w:val="0"/>
      <w:divBdr>
        <w:top w:val="none" w:sz="0" w:space="0" w:color="auto"/>
        <w:left w:val="none" w:sz="0" w:space="0" w:color="auto"/>
        <w:bottom w:val="none" w:sz="0" w:space="0" w:color="auto"/>
        <w:right w:val="none" w:sz="0" w:space="0" w:color="auto"/>
      </w:divBdr>
    </w:div>
    <w:div w:id="937644405">
      <w:bodyDiv w:val="1"/>
      <w:marLeft w:val="0"/>
      <w:marRight w:val="0"/>
      <w:marTop w:val="0"/>
      <w:marBottom w:val="0"/>
      <w:divBdr>
        <w:top w:val="none" w:sz="0" w:space="0" w:color="auto"/>
        <w:left w:val="none" w:sz="0" w:space="0" w:color="auto"/>
        <w:bottom w:val="none" w:sz="0" w:space="0" w:color="auto"/>
        <w:right w:val="none" w:sz="0" w:space="0" w:color="auto"/>
      </w:divBdr>
    </w:div>
    <w:div w:id="956595193">
      <w:bodyDiv w:val="1"/>
      <w:marLeft w:val="0"/>
      <w:marRight w:val="0"/>
      <w:marTop w:val="0"/>
      <w:marBottom w:val="0"/>
      <w:divBdr>
        <w:top w:val="none" w:sz="0" w:space="0" w:color="auto"/>
        <w:left w:val="none" w:sz="0" w:space="0" w:color="auto"/>
        <w:bottom w:val="none" w:sz="0" w:space="0" w:color="auto"/>
        <w:right w:val="none" w:sz="0" w:space="0" w:color="auto"/>
      </w:divBdr>
    </w:div>
    <w:div w:id="957949809">
      <w:bodyDiv w:val="1"/>
      <w:marLeft w:val="0"/>
      <w:marRight w:val="0"/>
      <w:marTop w:val="0"/>
      <w:marBottom w:val="0"/>
      <w:divBdr>
        <w:top w:val="none" w:sz="0" w:space="0" w:color="auto"/>
        <w:left w:val="none" w:sz="0" w:space="0" w:color="auto"/>
        <w:bottom w:val="none" w:sz="0" w:space="0" w:color="auto"/>
        <w:right w:val="none" w:sz="0" w:space="0" w:color="auto"/>
      </w:divBdr>
    </w:div>
    <w:div w:id="959455837">
      <w:bodyDiv w:val="1"/>
      <w:marLeft w:val="0"/>
      <w:marRight w:val="0"/>
      <w:marTop w:val="0"/>
      <w:marBottom w:val="0"/>
      <w:divBdr>
        <w:top w:val="none" w:sz="0" w:space="0" w:color="auto"/>
        <w:left w:val="none" w:sz="0" w:space="0" w:color="auto"/>
        <w:bottom w:val="none" w:sz="0" w:space="0" w:color="auto"/>
        <w:right w:val="none" w:sz="0" w:space="0" w:color="auto"/>
      </w:divBdr>
    </w:div>
    <w:div w:id="979968203">
      <w:bodyDiv w:val="1"/>
      <w:marLeft w:val="0"/>
      <w:marRight w:val="0"/>
      <w:marTop w:val="0"/>
      <w:marBottom w:val="0"/>
      <w:divBdr>
        <w:top w:val="none" w:sz="0" w:space="0" w:color="auto"/>
        <w:left w:val="none" w:sz="0" w:space="0" w:color="auto"/>
        <w:bottom w:val="none" w:sz="0" w:space="0" w:color="auto"/>
        <w:right w:val="none" w:sz="0" w:space="0" w:color="auto"/>
      </w:divBdr>
    </w:div>
    <w:div w:id="1022390769">
      <w:bodyDiv w:val="1"/>
      <w:marLeft w:val="0"/>
      <w:marRight w:val="0"/>
      <w:marTop w:val="0"/>
      <w:marBottom w:val="0"/>
      <w:divBdr>
        <w:top w:val="none" w:sz="0" w:space="0" w:color="auto"/>
        <w:left w:val="none" w:sz="0" w:space="0" w:color="auto"/>
        <w:bottom w:val="none" w:sz="0" w:space="0" w:color="auto"/>
        <w:right w:val="none" w:sz="0" w:space="0" w:color="auto"/>
      </w:divBdr>
    </w:div>
    <w:div w:id="1064330087">
      <w:bodyDiv w:val="1"/>
      <w:marLeft w:val="0"/>
      <w:marRight w:val="0"/>
      <w:marTop w:val="0"/>
      <w:marBottom w:val="0"/>
      <w:divBdr>
        <w:top w:val="none" w:sz="0" w:space="0" w:color="auto"/>
        <w:left w:val="none" w:sz="0" w:space="0" w:color="auto"/>
        <w:bottom w:val="none" w:sz="0" w:space="0" w:color="auto"/>
        <w:right w:val="none" w:sz="0" w:space="0" w:color="auto"/>
      </w:divBdr>
    </w:div>
    <w:div w:id="1094015210">
      <w:bodyDiv w:val="1"/>
      <w:marLeft w:val="0"/>
      <w:marRight w:val="0"/>
      <w:marTop w:val="0"/>
      <w:marBottom w:val="0"/>
      <w:divBdr>
        <w:top w:val="none" w:sz="0" w:space="0" w:color="auto"/>
        <w:left w:val="none" w:sz="0" w:space="0" w:color="auto"/>
        <w:bottom w:val="none" w:sz="0" w:space="0" w:color="auto"/>
        <w:right w:val="none" w:sz="0" w:space="0" w:color="auto"/>
      </w:divBdr>
    </w:div>
    <w:div w:id="1173573142">
      <w:bodyDiv w:val="1"/>
      <w:marLeft w:val="0"/>
      <w:marRight w:val="0"/>
      <w:marTop w:val="0"/>
      <w:marBottom w:val="0"/>
      <w:divBdr>
        <w:top w:val="none" w:sz="0" w:space="0" w:color="auto"/>
        <w:left w:val="none" w:sz="0" w:space="0" w:color="auto"/>
        <w:bottom w:val="none" w:sz="0" w:space="0" w:color="auto"/>
        <w:right w:val="none" w:sz="0" w:space="0" w:color="auto"/>
      </w:divBdr>
    </w:div>
    <w:div w:id="1174996027">
      <w:bodyDiv w:val="1"/>
      <w:marLeft w:val="0"/>
      <w:marRight w:val="0"/>
      <w:marTop w:val="0"/>
      <w:marBottom w:val="0"/>
      <w:divBdr>
        <w:top w:val="none" w:sz="0" w:space="0" w:color="auto"/>
        <w:left w:val="none" w:sz="0" w:space="0" w:color="auto"/>
        <w:bottom w:val="none" w:sz="0" w:space="0" w:color="auto"/>
        <w:right w:val="none" w:sz="0" w:space="0" w:color="auto"/>
      </w:divBdr>
    </w:div>
    <w:div w:id="1307012203">
      <w:bodyDiv w:val="1"/>
      <w:marLeft w:val="0"/>
      <w:marRight w:val="0"/>
      <w:marTop w:val="0"/>
      <w:marBottom w:val="0"/>
      <w:divBdr>
        <w:top w:val="none" w:sz="0" w:space="0" w:color="auto"/>
        <w:left w:val="none" w:sz="0" w:space="0" w:color="auto"/>
        <w:bottom w:val="none" w:sz="0" w:space="0" w:color="auto"/>
        <w:right w:val="none" w:sz="0" w:space="0" w:color="auto"/>
      </w:divBdr>
    </w:div>
    <w:div w:id="1307970505">
      <w:bodyDiv w:val="1"/>
      <w:marLeft w:val="0"/>
      <w:marRight w:val="0"/>
      <w:marTop w:val="0"/>
      <w:marBottom w:val="0"/>
      <w:divBdr>
        <w:top w:val="none" w:sz="0" w:space="0" w:color="auto"/>
        <w:left w:val="none" w:sz="0" w:space="0" w:color="auto"/>
        <w:bottom w:val="none" w:sz="0" w:space="0" w:color="auto"/>
        <w:right w:val="none" w:sz="0" w:space="0" w:color="auto"/>
      </w:divBdr>
    </w:div>
    <w:div w:id="1313022121">
      <w:bodyDiv w:val="1"/>
      <w:marLeft w:val="0"/>
      <w:marRight w:val="0"/>
      <w:marTop w:val="0"/>
      <w:marBottom w:val="0"/>
      <w:divBdr>
        <w:top w:val="none" w:sz="0" w:space="0" w:color="auto"/>
        <w:left w:val="none" w:sz="0" w:space="0" w:color="auto"/>
        <w:bottom w:val="none" w:sz="0" w:space="0" w:color="auto"/>
        <w:right w:val="none" w:sz="0" w:space="0" w:color="auto"/>
      </w:divBdr>
    </w:div>
    <w:div w:id="1318342888">
      <w:bodyDiv w:val="1"/>
      <w:marLeft w:val="0"/>
      <w:marRight w:val="0"/>
      <w:marTop w:val="0"/>
      <w:marBottom w:val="0"/>
      <w:divBdr>
        <w:top w:val="none" w:sz="0" w:space="0" w:color="auto"/>
        <w:left w:val="none" w:sz="0" w:space="0" w:color="auto"/>
        <w:bottom w:val="none" w:sz="0" w:space="0" w:color="auto"/>
        <w:right w:val="none" w:sz="0" w:space="0" w:color="auto"/>
      </w:divBdr>
    </w:div>
    <w:div w:id="1321958912">
      <w:bodyDiv w:val="1"/>
      <w:marLeft w:val="0"/>
      <w:marRight w:val="0"/>
      <w:marTop w:val="0"/>
      <w:marBottom w:val="0"/>
      <w:divBdr>
        <w:top w:val="none" w:sz="0" w:space="0" w:color="auto"/>
        <w:left w:val="none" w:sz="0" w:space="0" w:color="auto"/>
        <w:bottom w:val="none" w:sz="0" w:space="0" w:color="auto"/>
        <w:right w:val="none" w:sz="0" w:space="0" w:color="auto"/>
      </w:divBdr>
    </w:div>
    <w:div w:id="1358310114">
      <w:bodyDiv w:val="1"/>
      <w:marLeft w:val="0"/>
      <w:marRight w:val="0"/>
      <w:marTop w:val="0"/>
      <w:marBottom w:val="0"/>
      <w:divBdr>
        <w:top w:val="none" w:sz="0" w:space="0" w:color="auto"/>
        <w:left w:val="none" w:sz="0" w:space="0" w:color="auto"/>
        <w:bottom w:val="none" w:sz="0" w:space="0" w:color="auto"/>
        <w:right w:val="none" w:sz="0" w:space="0" w:color="auto"/>
      </w:divBdr>
    </w:div>
    <w:div w:id="1359812239">
      <w:bodyDiv w:val="1"/>
      <w:marLeft w:val="0"/>
      <w:marRight w:val="0"/>
      <w:marTop w:val="0"/>
      <w:marBottom w:val="0"/>
      <w:divBdr>
        <w:top w:val="none" w:sz="0" w:space="0" w:color="auto"/>
        <w:left w:val="none" w:sz="0" w:space="0" w:color="auto"/>
        <w:bottom w:val="none" w:sz="0" w:space="0" w:color="auto"/>
        <w:right w:val="none" w:sz="0" w:space="0" w:color="auto"/>
      </w:divBdr>
      <w:divsChild>
        <w:div w:id="1080517174">
          <w:marLeft w:val="0"/>
          <w:marRight w:val="0"/>
          <w:marTop w:val="0"/>
          <w:marBottom w:val="0"/>
          <w:divBdr>
            <w:top w:val="none" w:sz="0" w:space="0" w:color="auto"/>
            <w:left w:val="none" w:sz="0" w:space="0" w:color="auto"/>
            <w:bottom w:val="none" w:sz="0" w:space="0" w:color="auto"/>
            <w:right w:val="none" w:sz="0" w:space="0" w:color="auto"/>
          </w:divBdr>
        </w:div>
        <w:div w:id="1220245158">
          <w:marLeft w:val="0"/>
          <w:marRight w:val="0"/>
          <w:marTop w:val="0"/>
          <w:marBottom w:val="0"/>
          <w:divBdr>
            <w:top w:val="none" w:sz="0" w:space="0" w:color="auto"/>
            <w:left w:val="none" w:sz="0" w:space="0" w:color="auto"/>
            <w:bottom w:val="none" w:sz="0" w:space="0" w:color="auto"/>
            <w:right w:val="none" w:sz="0" w:space="0" w:color="auto"/>
          </w:divBdr>
        </w:div>
        <w:div w:id="1490486458">
          <w:marLeft w:val="0"/>
          <w:marRight w:val="0"/>
          <w:marTop w:val="0"/>
          <w:marBottom w:val="0"/>
          <w:divBdr>
            <w:top w:val="none" w:sz="0" w:space="0" w:color="auto"/>
            <w:left w:val="none" w:sz="0" w:space="0" w:color="auto"/>
            <w:bottom w:val="none" w:sz="0" w:space="0" w:color="auto"/>
            <w:right w:val="none" w:sz="0" w:space="0" w:color="auto"/>
          </w:divBdr>
        </w:div>
      </w:divsChild>
    </w:div>
    <w:div w:id="1386291700">
      <w:bodyDiv w:val="1"/>
      <w:marLeft w:val="0"/>
      <w:marRight w:val="0"/>
      <w:marTop w:val="0"/>
      <w:marBottom w:val="0"/>
      <w:divBdr>
        <w:top w:val="none" w:sz="0" w:space="0" w:color="auto"/>
        <w:left w:val="none" w:sz="0" w:space="0" w:color="auto"/>
        <w:bottom w:val="none" w:sz="0" w:space="0" w:color="auto"/>
        <w:right w:val="none" w:sz="0" w:space="0" w:color="auto"/>
      </w:divBdr>
    </w:div>
    <w:div w:id="1392847145">
      <w:bodyDiv w:val="1"/>
      <w:marLeft w:val="0"/>
      <w:marRight w:val="0"/>
      <w:marTop w:val="0"/>
      <w:marBottom w:val="0"/>
      <w:divBdr>
        <w:top w:val="none" w:sz="0" w:space="0" w:color="auto"/>
        <w:left w:val="none" w:sz="0" w:space="0" w:color="auto"/>
        <w:bottom w:val="none" w:sz="0" w:space="0" w:color="auto"/>
        <w:right w:val="none" w:sz="0" w:space="0" w:color="auto"/>
      </w:divBdr>
    </w:div>
    <w:div w:id="1402866666">
      <w:bodyDiv w:val="1"/>
      <w:marLeft w:val="0"/>
      <w:marRight w:val="0"/>
      <w:marTop w:val="0"/>
      <w:marBottom w:val="0"/>
      <w:divBdr>
        <w:top w:val="none" w:sz="0" w:space="0" w:color="auto"/>
        <w:left w:val="none" w:sz="0" w:space="0" w:color="auto"/>
        <w:bottom w:val="none" w:sz="0" w:space="0" w:color="auto"/>
        <w:right w:val="none" w:sz="0" w:space="0" w:color="auto"/>
      </w:divBdr>
      <w:divsChild>
        <w:div w:id="439420626">
          <w:marLeft w:val="0"/>
          <w:marRight w:val="0"/>
          <w:marTop w:val="0"/>
          <w:marBottom w:val="0"/>
          <w:divBdr>
            <w:top w:val="none" w:sz="0" w:space="0" w:color="auto"/>
            <w:left w:val="none" w:sz="0" w:space="0" w:color="auto"/>
            <w:bottom w:val="none" w:sz="0" w:space="0" w:color="auto"/>
            <w:right w:val="none" w:sz="0" w:space="0" w:color="auto"/>
          </w:divBdr>
        </w:div>
        <w:div w:id="482506863">
          <w:marLeft w:val="0"/>
          <w:marRight w:val="0"/>
          <w:marTop w:val="0"/>
          <w:marBottom w:val="0"/>
          <w:divBdr>
            <w:top w:val="none" w:sz="0" w:space="0" w:color="auto"/>
            <w:left w:val="none" w:sz="0" w:space="0" w:color="auto"/>
            <w:bottom w:val="none" w:sz="0" w:space="0" w:color="auto"/>
            <w:right w:val="none" w:sz="0" w:space="0" w:color="auto"/>
          </w:divBdr>
        </w:div>
        <w:div w:id="880896358">
          <w:marLeft w:val="0"/>
          <w:marRight w:val="0"/>
          <w:marTop w:val="0"/>
          <w:marBottom w:val="0"/>
          <w:divBdr>
            <w:top w:val="none" w:sz="0" w:space="0" w:color="auto"/>
            <w:left w:val="none" w:sz="0" w:space="0" w:color="auto"/>
            <w:bottom w:val="none" w:sz="0" w:space="0" w:color="auto"/>
            <w:right w:val="none" w:sz="0" w:space="0" w:color="auto"/>
          </w:divBdr>
        </w:div>
        <w:div w:id="1186486003">
          <w:marLeft w:val="0"/>
          <w:marRight w:val="0"/>
          <w:marTop w:val="0"/>
          <w:marBottom w:val="0"/>
          <w:divBdr>
            <w:top w:val="none" w:sz="0" w:space="0" w:color="auto"/>
            <w:left w:val="none" w:sz="0" w:space="0" w:color="auto"/>
            <w:bottom w:val="none" w:sz="0" w:space="0" w:color="auto"/>
            <w:right w:val="none" w:sz="0" w:space="0" w:color="auto"/>
          </w:divBdr>
        </w:div>
        <w:div w:id="1210648209">
          <w:marLeft w:val="0"/>
          <w:marRight w:val="0"/>
          <w:marTop w:val="0"/>
          <w:marBottom w:val="0"/>
          <w:divBdr>
            <w:top w:val="none" w:sz="0" w:space="0" w:color="auto"/>
            <w:left w:val="none" w:sz="0" w:space="0" w:color="auto"/>
            <w:bottom w:val="none" w:sz="0" w:space="0" w:color="auto"/>
            <w:right w:val="none" w:sz="0" w:space="0" w:color="auto"/>
          </w:divBdr>
        </w:div>
        <w:div w:id="1831945021">
          <w:marLeft w:val="0"/>
          <w:marRight w:val="0"/>
          <w:marTop w:val="0"/>
          <w:marBottom w:val="0"/>
          <w:divBdr>
            <w:top w:val="none" w:sz="0" w:space="0" w:color="auto"/>
            <w:left w:val="none" w:sz="0" w:space="0" w:color="auto"/>
            <w:bottom w:val="none" w:sz="0" w:space="0" w:color="auto"/>
            <w:right w:val="none" w:sz="0" w:space="0" w:color="auto"/>
          </w:divBdr>
        </w:div>
        <w:div w:id="1846940949">
          <w:marLeft w:val="0"/>
          <w:marRight w:val="0"/>
          <w:marTop w:val="0"/>
          <w:marBottom w:val="0"/>
          <w:divBdr>
            <w:top w:val="none" w:sz="0" w:space="0" w:color="auto"/>
            <w:left w:val="none" w:sz="0" w:space="0" w:color="auto"/>
            <w:bottom w:val="none" w:sz="0" w:space="0" w:color="auto"/>
            <w:right w:val="none" w:sz="0" w:space="0" w:color="auto"/>
          </w:divBdr>
        </w:div>
        <w:div w:id="2083795005">
          <w:marLeft w:val="0"/>
          <w:marRight w:val="0"/>
          <w:marTop w:val="0"/>
          <w:marBottom w:val="0"/>
          <w:divBdr>
            <w:top w:val="none" w:sz="0" w:space="0" w:color="auto"/>
            <w:left w:val="none" w:sz="0" w:space="0" w:color="auto"/>
            <w:bottom w:val="none" w:sz="0" w:space="0" w:color="auto"/>
            <w:right w:val="none" w:sz="0" w:space="0" w:color="auto"/>
          </w:divBdr>
        </w:div>
      </w:divsChild>
    </w:div>
    <w:div w:id="1450051842">
      <w:bodyDiv w:val="1"/>
      <w:marLeft w:val="0"/>
      <w:marRight w:val="0"/>
      <w:marTop w:val="0"/>
      <w:marBottom w:val="0"/>
      <w:divBdr>
        <w:top w:val="none" w:sz="0" w:space="0" w:color="auto"/>
        <w:left w:val="none" w:sz="0" w:space="0" w:color="auto"/>
        <w:bottom w:val="none" w:sz="0" w:space="0" w:color="auto"/>
        <w:right w:val="none" w:sz="0" w:space="0" w:color="auto"/>
      </w:divBdr>
    </w:div>
    <w:div w:id="1450737087">
      <w:bodyDiv w:val="1"/>
      <w:marLeft w:val="0"/>
      <w:marRight w:val="0"/>
      <w:marTop w:val="0"/>
      <w:marBottom w:val="0"/>
      <w:divBdr>
        <w:top w:val="none" w:sz="0" w:space="0" w:color="auto"/>
        <w:left w:val="none" w:sz="0" w:space="0" w:color="auto"/>
        <w:bottom w:val="none" w:sz="0" w:space="0" w:color="auto"/>
        <w:right w:val="none" w:sz="0" w:space="0" w:color="auto"/>
      </w:divBdr>
    </w:div>
    <w:div w:id="1523471805">
      <w:bodyDiv w:val="1"/>
      <w:marLeft w:val="0"/>
      <w:marRight w:val="0"/>
      <w:marTop w:val="0"/>
      <w:marBottom w:val="0"/>
      <w:divBdr>
        <w:top w:val="none" w:sz="0" w:space="0" w:color="auto"/>
        <w:left w:val="none" w:sz="0" w:space="0" w:color="auto"/>
        <w:bottom w:val="none" w:sz="0" w:space="0" w:color="auto"/>
        <w:right w:val="none" w:sz="0" w:space="0" w:color="auto"/>
      </w:divBdr>
    </w:div>
    <w:div w:id="1538740672">
      <w:bodyDiv w:val="1"/>
      <w:marLeft w:val="0"/>
      <w:marRight w:val="0"/>
      <w:marTop w:val="0"/>
      <w:marBottom w:val="0"/>
      <w:divBdr>
        <w:top w:val="none" w:sz="0" w:space="0" w:color="auto"/>
        <w:left w:val="none" w:sz="0" w:space="0" w:color="auto"/>
        <w:bottom w:val="none" w:sz="0" w:space="0" w:color="auto"/>
        <w:right w:val="none" w:sz="0" w:space="0" w:color="auto"/>
      </w:divBdr>
    </w:div>
    <w:div w:id="1552766748">
      <w:bodyDiv w:val="1"/>
      <w:marLeft w:val="0"/>
      <w:marRight w:val="0"/>
      <w:marTop w:val="0"/>
      <w:marBottom w:val="0"/>
      <w:divBdr>
        <w:top w:val="none" w:sz="0" w:space="0" w:color="auto"/>
        <w:left w:val="none" w:sz="0" w:space="0" w:color="auto"/>
        <w:bottom w:val="none" w:sz="0" w:space="0" w:color="auto"/>
        <w:right w:val="none" w:sz="0" w:space="0" w:color="auto"/>
      </w:divBdr>
      <w:divsChild>
        <w:div w:id="2016029007">
          <w:marLeft w:val="0"/>
          <w:marRight w:val="0"/>
          <w:marTop w:val="0"/>
          <w:marBottom w:val="0"/>
          <w:divBdr>
            <w:top w:val="none" w:sz="0" w:space="0" w:color="auto"/>
            <w:left w:val="none" w:sz="0" w:space="0" w:color="auto"/>
            <w:bottom w:val="none" w:sz="0" w:space="0" w:color="auto"/>
            <w:right w:val="none" w:sz="0" w:space="0" w:color="auto"/>
          </w:divBdr>
        </w:div>
        <w:div w:id="2082364345">
          <w:marLeft w:val="0"/>
          <w:marRight w:val="0"/>
          <w:marTop w:val="0"/>
          <w:marBottom w:val="0"/>
          <w:divBdr>
            <w:top w:val="none" w:sz="0" w:space="0" w:color="auto"/>
            <w:left w:val="none" w:sz="0" w:space="0" w:color="auto"/>
            <w:bottom w:val="none" w:sz="0" w:space="0" w:color="auto"/>
            <w:right w:val="none" w:sz="0" w:space="0" w:color="auto"/>
          </w:divBdr>
        </w:div>
      </w:divsChild>
    </w:div>
    <w:div w:id="1575356713">
      <w:bodyDiv w:val="1"/>
      <w:marLeft w:val="0"/>
      <w:marRight w:val="0"/>
      <w:marTop w:val="0"/>
      <w:marBottom w:val="0"/>
      <w:divBdr>
        <w:top w:val="none" w:sz="0" w:space="0" w:color="auto"/>
        <w:left w:val="none" w:sz="0" w:space="0" w:color="auto"/>
        <w:bottom w:val="none" w:sz="0" w:space="0" w:color="auto"/>
        <w:right w:val="none" w:sz="0" w:space="0" w:color="auto"/>
      </w:divBdr>
    </w:div>
    <w:div w:id="1593971898">
      <w:bodyDiv w:val="1"/>
      <w:marLeft w:val="0"/>
      <w:marRight w:val="0"/>
      <w:marTop w:val="0"/>
      <w:marBottom w:val="0"/>
      <w:divBdr>
        <w:top w:val="none" w:sz="0" w:space="0" w:color="auto"/>
        <w:left w:val="none" w:sz="0" w:space="0" w:color="auto"/>
        <w:bottom w:val="none" w:sz="0" w:space="0" w:color="auto"/>
        <w:right w:val="none" w:sz="0" w:space="0" w:color="auto"/>
      </w:divBdr>
    </w:div>
    <w:div w:id="1642035367">
      <w:bodyDiv w:val="1"/>
      <w:marLeft w:val="0"/>
      <w:marRight w:val="0"/>
      <w:marTop w:val="0"/>
      <w:marBottom w:val="0"/>
      <w:divBdr>
        <w:top w:val="none" w:sz="0" w:space="0" w:color="auto"/>
        <w:left w:val="none" w:sz="0" w:space="0" w:color="auto"/>
        <w:bottom w:val="none" w:sz="0" w:space="0" w:color="auto"/>
        <w:right w:val="none" w:sz="0" w:space="0" w:color="auto"/>
      </w:divBdr>
      <w:divsChild>
        <w:div w:id="31997273">
          <w:marLeft w:val="0"/>
          <w:marRight w:val="0"/>
          <w:marTop w:val="0"/>
          <w:marBottom w:val="0"/>
          <w:divBdr>
            <w:top w:val="none" w:sz="0" w:space="0" w:color="auto"/>
            <w:left w:val="none" w:sz="0" w:space="0" w:color="auto"/>
            <w:bottom w:val="none" w:sz="0" w:space="0" w:color="auto"/>
            <w:right w:val="none" w:sz="0" w:space="0" w:color="auto"/>
          </w:divBdr>
        </w:div>
        <w:div w:id="132453583">
          <w:marLeft w:val="0"/>
          <w:marRight w:val="0"/>
          <w:marTop w:val="0"/>
          <w:marBottom w:val="0"/>
          <w:divBdr>
            <w:top w:val="none" w:sz="0" w:space="0" w:color="auto"/>
            <w:left w:val="none" w:sz="0" w:space="0" w:color="auto"/>
            <w:bottom w:val="none" w:sz="0" w:space="0" w:color="auto"/>
            <w:right w:val="none" w:sz="0" w:space="0" w:color="auto"/>
          </w:divBdr>
        </w:div>
        <w:div w:id="255671054">
          <w:marLeft w:val="0"/>
          <w:marRight w:val="0"/>
          <w:marTop w:val="0"/>
          <w:marBottom w:val="0"/>
          <w:divBdr>
            <w:top w:val="none" w:sz="0" w:space="0" w:color="auto"/>
            <w:left w:val="none" w:sz="0" w:space="0" w:color="auto"/>
            <w:bottom w:val="none" w:sz="0" w:space="0" w:color="auto"/>
            <w:right w:val="none" w:sz="0" w:space="0" w:color="auto"/>
          </w:divBdr>
        </w:div>
        <w:div w:id="297489760">
          <w:marLeft w:val="0"/>
          <w:marRight w:val="0"/>
          <w:marTop w:val="0"/>
          <w:marBottom w:val="0"/>
          <w:divBdr>
            <w:top w:val="none" w:sz="0" w:space="0" w:color="auto"/>
            <w:left w:val="none" w:sz="0" w:space="0" w:color="auto"/>
            <w:bottom w:val="none" w:sz="0" w:space="0" w:color="auto"/>
            <w:right w:val="none" w:sz="0" w:space="0" w:color="auto"/>
          </w:divBdr>
        </w:div>
        <w:div w:id="312417626">
          <w:marLeft w:val="0"/>
          <w:marRight w:val="0"/>
          <w:marTop w:val="0"/>
          <w:marBottom w:val="0"/>
          <w:divBdr>
            <w:top w:val="none" w:sz="0" w:space="0" w:color="auto"/>
            <w:left w:val="none" w:sz="0" w:space="0" w:color="auto"/>
            <w:bottom w:val="none" w:sz="0" w:space="0" w:color="auto"/>
            <w:right w:val="none" w:sz="0" w:space="0" w:color="auto"/>
          </w:divBdr>
        </w:div>
        <w:div w:id="451872912">
          <w:marLeft w:val="0"/>
          <w:marRight w:val="0"/>
          <w:marTop w:val="0"/>
          <w:marBottom w:val="0"/>
          <w:divBdr>
            <w:top w:val="none" w:sz="0" w:space="0" w:color="auto"/>
            <w:left w:val="none" w:sz="0" w:space="0" w:color="auto"/>
            <w:bottom w:val="none" w:sz="0" w:space="0" w:color="auto"/>
            <w:right w:val="none" w:sz="0" w:space="0" w:color="auto"/>
          </w:divBdr>
        </w:div>
        <w:div w:id="460659714">
          <w:marLeft w:val="0"/>
          <w:marRight w:val="0"/>
          <w:marTop w:val="0"/>
          <w:marBottom w:val="0"/>
          <w:divBdr>
            <w:top w:val="none" w:sz="0" w:space="0" w:color="auto"/>
            <w:left w:val="none" w:sz="0" w:space="0" w:color="auto"/>
            <w:bottom w:val="none" w:sz="0" w:space="0" w:color="auto"/>
            <w:right w:val="none" w:sz="0" w:space="0" w:color="auto"/>
          </w:divBdr>
        </w:div>
        <w:div w:id="1388139740">
          <w:marLeft w:val="0"/>
          <w:marRight w:val="0"/>
          <w:marTop w:val="0"/>
          <w:marBottom w:val="0"/>
          <w:divBdr>
            <w:top w:val="none" w:sz="0" w:space="0" w:color="auto"/>
            <w:left w:val="none" w:sz="0" w:space="0" w:color="auto"/>
            <w:bottom w:val="none" w:sz="0" w:space="0" w:color="auto"/>
            <w:right w:val="none" w:sz="0" w:space="0" w:color="auto"/>
          </w:divBdr>
        </w:div>
      </w:divsChild>
    </w:div>
    <w:div w:id="1643927943">
      <w:bodyDiv w:val="1"/>
      <w:marLeft w:val="0"/>
      <w:marRight w:val="0"/>
      <w:marTop w:val="0"/>
      <w:marBottom w:val="0"/>
      <w:divBdr>
        <w:top w:val="none" w:sz="0" w:space="0" w:color="auto"/>
        <w:left w:val="none" w:sz="0" w:space="0" w:color="auto"/>
        <w:bottom w:val="none" w:sz="0" w:space="0" w:color="auto"/>
        <w:right w:val="none" w:sz="0" w:space="0" w:color="auto"/>
      </w:divBdr>
    </w:div>
    <w:div w:id="1647975948">
      <w:bodyDiv w:val="1"/>
      <w:marLeft w:val="0"/>
      <w:marRight w:val="0"/>
      <w:marTop w:val="0"/>
      <w:marBottom w:val="0"/>
      <w:divBdr>
        <w:top w:val="none" w:sz="0" w:space="0" w:color="auto"/>
        <w:left w:val="none" w:sz="0" w:space="0" w:color="auto"/>
        <w:bottom w:val="none" w:sz="0" w:space="0" w:color="auto"/>
        <w:right w:val="none" w:sz="0" w:space="0" w:color="auto"/>
      </w:divBdr>
    </w:div>
    <w:div w:id="1669016190">
      <w:bodyDiv w:val="1"/>
      <w:marLeft w:val="0"/>
      <w:marRight w:val="0"/>
      <w:marTop w:val="0"/>
      <w:marBottom w:val="0"/>
      <w:divBdr>
        <w:top w:val="none" w:sz="0" w:space="0" w:color="auto"/>
        <w:left w:val="none" w:sz="0" w:space="0" w:color="auto"/>
        <w:bottom w:val="none" w:sz="0" w:space="0" w:color="auto"/>
        <w:right w:val="none" w:sz="0" w:space="0" w:color="auto"/>
      </w:divBdr>
    </w:div>
    <w:div w:id="1732343907">
      <w:bodyDiv w:val="1"/>
      <w:marLeft w:val="0"/>
      <w:marRight w:val="0"/>
      <w:marTop w:val="0"/>
      <w:marBottom w:val="0"/>
      <w:divBdr>
        <w:top w:val="none" w:sz="0" w:space="0" w:color="auto"/>
        <w:left w:val="none" w:sz="0" w:space="0" w:color="auto"/>
        <w:bottom w:val="none" w:sz="0" w:space="0" w:color="auto"/>
        <w:right w:val="none" w:sz="0" w:space="0" w:color="auto"/>
      </w:divBdr>
    </w:div>
    <w:div w:id="1750275388">
      <w:bodyDiv w:val="1"/>
      <w:marLeft w:val="0"/>
      <w:marRight w:val="0"/>
      <w:marTop w:val="0"/>
      <w:marBottom w:val="0"/>
      <w:divBdr>
        <w:top w:val="none" w:sz="0" w:space="0" w:color="auto"/>
        <w:left w:val="none" w:sz="0" w:space="0" w:color="auto"/>
        <w:bottom w:val="none" w:sz="0" w:space="0" w:color="auto"/>
        <w:right w:val="none" w:sz="0" w:space="0" w:color="auto"/>
      </w:divBdr>
    </w:div>
    <w:div w:id="1788889653">
      <w:bodyDiv w:val="1"/>
      <w:marLeft w:val="0"/>
      <w:marRight w:val="0"/>
      <w:marTop w:val="0"/>
      <w:marBottom w:val="0"/>
      <w:divBdr>
        <w:top w:val="none" w:sz="0" w:space="0" w:color="auto"/>
        <w:left w:val="none" w:sz="0" w:space="0" w:color="auto"/>
        <w:bottom w:val="none" w:sz="0" w:space="0" w:color="auto"/>
        <w:right w:val="none" w:sz="0" w:space="0" w:color="auto"/>
      </w:divBdr>
    </w:div>
    <w:div w:id="1791169575">
      <w:bodyDiv w:val="1"/>
      <w:marLeft w:val="0"/>
      <w:marRight w:val="0"/>
      <w:marTop w:val="0"/>
      <w:marBottom w:val="0"/>
      <w:divBdr>
        <w:top w:val="none" w:sz="0" w:space="0" w:color="auto"/>
        <w:left w:val="none" w:sz="0" w:space="0" w:color="auto"/>
        <w:bottom w:val="none" w:sz="0" w:space="0" w:color="auto"/>
        <w:right w:val="none" w:sz="0" w:space="0" w:color="auto"/>
      </w:divBdr>
    </w:div>
    <w:div w:id="1798524661">
      <w:bodyDiv w:val="1"/>
      <w:marLeft w:val="0"/>
      <w:marRight w:val="0"/>
      <w:marTop w:val="0"/>
      <w:marBottom w:val="0"/>
      <w:divBdr>
        <w:top w:val="none" w:sz="0" w:space="0" w:color="auto"/>
        <w:left w:val="none" w:sz="0" w:space="0" w:color="auto"/>
        <w:bottom w:val="none" w:sz="0" w:space="0" w:color="auto"/>
        <w:right w:val="none" w:sz="0" w:space="0" w:color="auto"/>
      </w:divBdr>
    </w:div>
    <w:div w:id="1803572096">
      <w:bodyDiv w:val="1"/>
      <w:marLeft w:val="0"/>
      <w:marRight w:val="0"/>
      <w:marTop w:val="0"/>
      <w:marBottom w:val="0"/>
      <w:divBdr>
        <w:top w:val="none" w:sz="0" w:space="0" w:color="auto"/>
        <w:left w:val="none" w:sz="0" w:space="0" w:color="auto"/>
        <w:bottom w:val="none" w:sz="0" w:space="0" w:color="auto"/>
        <w:right w:val="none" w:sz="0" w:space="0" w:color="auto"/>
      </w:divBdr>
    </w:div>
    <w:div w:id="1849178426">
      <w:bodyDiv w:val="1"/>
      <w:marLeft w:val="0"/>
      <w:marRight w:val="0"/>
      <w:marTop w:val="0"/>
      <w:marBottom w:val="0"/>
      <w:divBdr>
        <w:top w:val="none" w:sz="0" w:space="0" w:color="auto"/>
        <w:left w:val="none" w:sz="0" w:space="0" w:color="auto"/>
        <w:bottom w:val="none" w:sz="0" w:space="0" w:color="auto"/>
        <w:right w:val="none" w:sz="0" w:space="0" w:color="auto"/>
      </w:divBdr>
    </w:div>
    <w:div w:id="1917132214">
      <w:bodyDiv w:val="1"/>
      <w:marLeft w:val="0"/>
      <w:marRight w:val="0"/>
      <w:marTop w:val="0"/>
      <w:marBottom w:val="0"/>
      <w:divBdr>
        <w:top w:val="none" w:sz="0" w:space="0" w:color="auto"/>
        <w:left w:val="none" w:sz="0" w:space="0" w:color="auto"/>
        <w:bottom w:val="none" w:sz="0" w:space="0" w:color="auto"/>
        <w:right w:val="none" w:sz="0" w:space="0" w:color="auto"/>
      </w:divBdr>
    </w:div>
    <w:div w:id="1929146010">
      <w:bodyDiv w:val="1"/>
      <w:marLeft w:val="0"/>
      <w:marRight w:val="0"/>
      <w:marTop w:val="0"/>
      <w:marBottom w:val="0"/>
      <w:divBdr>
        <w:top w:val="none" w:sz="0" w:space="0" w:color="auto"/>
        <w:left w:val="none" w:sz="0" w:space="0" w:color="auto"/>
        <w:bottom w:val="none" w:sz="0" w:space="0" w:color="auto"/>
        <w:right w:val="none" w:sz="0" w:space="0" w:color="auto"/>
      </w:divBdr>
    </w:div>
    <w:div w:id="1957172949">
      <w:bodyDiv w:val="1"/>
      <w:marLeft w:val="0"/>
      <w:marRight w:val="0"/>
      <w:marTop w:val="0"/>
      <w:marBottom w:val="0"/>
      <w:divBdr>
        <w:top w:val="none" w:sz="0" w:space="0" w:color="auto"/>
        <w:left w:val="none" w:sz="0" w:space="0" w:color="auto"/>
        <w:bottom w:val="none" w:sz="0" w:space="0" w:color="auto"/>
        <w:right w:val="none" w:sz="0" w:space="0" w:color="auto"/>
      </w:divBdr>
    </w:div>
    <w:div w:id="2033611073">
      <w:bodyDiv w:val="1"/>
      <w:marLeft w:val="0"/>
      <w:marRight w:val="0"/>
      <w:marTop w:val="0"/>
      <w:marBottom w:val="0"/>
      <w:divBdr>
        <w:top w:val="none" w:sz="0" w:space="0" w:color="auto"/>
        <w:left w:val="none" w:sz="0" w:space="0" w:color="auto"/>
        <w:bottom w:val="none" w:sz="0" w:space="0" w:color="auto"/>
        <w:right w:val="none" w:sz="0" w:space="0" w:color="auto"/>
      </w:divBdr>
    </w:div>
    <w:div w:id="2037384446">
      <w:bodyDiv w:val="1"/>
      <w:marLeft w:val="0"/>
      <w:marRight w:val="0"/>
      <w:marTop w:val="0"/>
      <w:marBottom w:val="0"/>
      <w:divBdr>
        <w:top w:val="none" w:sz="0" w:space="0" w:color="auto"/>
        <w:left w:val="none" w:sz="0" w:space="0" w:color="auto"/>
        <w:bottom w:val="none" w:sz="0" w:space="0" w:color="auto"/>
        <w:right w:val="none" w:sz="0" w:space="0" w:color="auto"/>
      </w:divBdr>
    </w:div>
    <w:div w:id="2047832626">
      <w:bodyDiv w:val="1"/>
      <w:marLeft w:val="0"/>
      <w:marRight w:val="0"/>
      <w:marTop w:val="0"/>
      <w:marBottom w:val="0"/>
      <w:divBdr>
        <w:top w:val="none" w:sz="0" w:space="0" w:color="auto"/>
        <w:left w:val="none" w:sz="0" w:space="0" w:color="auto"/>
        <w:bottom w:val="none" w:sz="0" w:space="0" w:color="auto"/>
        <w:right w:val="none" w:sz="0" w:space="0" w:color="auto"/>
      </w:divBdr>
    </w:div>
    <w:div w:id="2114012531">
      <w:bodyDiv w:val="1"/>
      <w:marLeft w:val="0"/>
      <w:marRight w:val="0"/>
      <w:marTop w:val="0"/>
      <w:marBottom w:val="0"/>
      <w:divBdr>
        <w:top w:val="none" w:sz="0" w:space="0" w:color="auto"/>
        <w:left w:val="none" w:sz="0" w:space="0" w:color="auto"/>
        <w:bottom w:val="none" w:sz="0" w:space="0" w:color="auto"/>
        <w:right w:val="none" w:sz="0" w:space="0" w:color="auto"/>
      </w:divBdr>
    </w:div>
    <w:div w:id="21389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54.png"/><Relationship Id="rId21" Type="http://schemas.openxmlformats.org/officeDocument/2006/relationships/image" Target="media/image11.sv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sudalgaa.gov.mn/pdf/dundgov-aymgiyn-tslzhiltiyn-sudalgaa-i5e" TargetMode="External"/><Relationship Id="rId68" Type="http://schemas.openxmlformats.org/officeDocument/2006/relationships/hyperlink" Target="https://unfccc.int/sites/default/files/2025-09/Mongolia%20NDC3_0%20under%20UNFCCC_PA%20FINAL.pdf" TargetMode="External"/><Relationship Id="rId84" Type="http://schemas.openxmlformats.org/officeDocument/2006/relationships/hyperlink" Target="https://legalinfo.mn" TargetMode="External"/><Relationship Id="rId89" Type="http://schemas.openxmlformats.org/officeDocument/2006/relationships/hyperlink" Target="https://legalinfo.mn" TargetMode="External"/><Relationship Id="rId112" Type="http://schemas.openxmlformats.org/officeDocument/2006/relationships/image" Target="media/image49.png"/><Relationship Id="rId16" Type="http://schemas.openxmlformats.org/officeDocument/2006/relationships/image" Target="media/image6.png"/><Relationship Id="rId107" Type="http://schemas.openxmlformats.org/officeDocument/2006/relationships/image" Target="media/image4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gaali.mn/statistic" TargetMode="External"/><Relationship Id="rId58" Type="http://schemas.openxmlformats.org/officeDocument/2006/relationships/hyperlink" Target="https://openknowledge.fao.org/server/api/core/bitstreams/08951bd9-5cd5-4094-9d3b-62cffc8b5c25/content" TargetMode="External"/><Relationship Id="rId74" Type="http://schemas.openxmlformats.org/officeDocument/2006/relationships/hyperlink" Target="https://estandard.gov.mn" TargetMode="External"/><Relationship Id="rId79" Type="http://schemas.openxmlformats.org/officeDocument/2006/relationships/hyperlink" Target="https://legalinfo.mn" TargetMode="External"/><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legalinfo.mn" TargetMode="External"/><Relationship Id="rId95" Type="http://schemas.openxmlformats.org/officeDocument/2006/relationships/hyperlink" Target="https://openknowledge.worldbank.org/entities/publication/96b3a61b-47db-5e1b-bcd3-5bea8cf85429" TargetMode="External"/><Relationship Id="rId22" Type="http://schemas.openxmlformats.org/officeDocument/2006/relationships/image" Target="media/image12.emf"/><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hyperlink" Target="https://www.eic.mn" TargetMode="External"/><Relationship Id="rId69" Type="http://schemas.openxmlformats.org/officeDocument/2006/relationships/hyperlink" Target="https://estandard.gov.mn" TargetMode="External"/><Relationship Id="rId113" Type="http://schemas.openxmlformats.org/officeDocument/2006/relationships/image" Target="media/image50.png"/><Relationship Id="rId118" Type="http://schemas.openxmlformats.org/officeDocument/2006/relationships/image" Target="media/image55.png"/><Relationship Id="rId80" Type="http://schemas.openxmlformats.org/officeDocument/2006/relationships/hyperlink" Target="https://legalinfo.mn" TargetMode="External"/><Relationship Id="rId85" Type="http://schemas.openxmlformats.org/officeDocument/2006/relationships/hyperlink" Target="https://legalinfo.mn" TargetMode="External"/><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s://www.adaptation-undp.org/sites/default/files/resources/scala-report-integrating-gender-equality-into-the-ndcs-of-mongolia_0.pdf" TargetMode="External"/><Relationship Id="rId108" Type="http://schemas.openxmlformats.org/officeDocument/2006/relationships/image" Target="media/image44.jpeg"/><Relationship Id="rId124" Type="http://schemas.openxmlformats.org/officeDocument/2006/relationships/theme" Target="theme/theme1.xml"/><Relationship Id="rId54" Type="http://schemas.openxmlformats.org/officeDocument/2006/relationships/hyperlink" Target="https://doi.org/10.1371/journal.pgph.0001229" TargetMode="External"/><Relationship Id="rId70" Type="http://schemas.openxmlformats.org/officeDocument/2006/relationships/hyperlink" Target="https://estandard.gov.mn" TargetMode="External"/><Relationship Id="rId75" Type="http://schemas.openxmlformats.org/officeDocument/2006/relationships/hyperlink" Target="https://estandard.gov.mn" TargetMode="External"/><Relationship Id="rId91" Type="http://schemas.openxmlformats.org/officeDocument/2006/relationships/hyperlink" Target="https://legalinfo.mn" TargetMode="External"/><Relationship Id="rId96"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www.fao.org/fao-stories/article/en/c/1627548/" TargetMode="External"/><Relationship Id="rId106" Type="http://schemas.openxmlformats.org/officeDocument/2006/relationships/image" Target="media/image45.png"/><Relationship Id="rId114" Type="http://schemas.openxmlformats.org/officeDocument/2006/relationships/image" Target="media/image51.png"/><Relationship Id="rId119" Type="http://schemas.openxmlformats.org/officeDocument/2006/relationships/image" Target="media/image5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doi.org/10.5564/pmas.v61i03.1820" TargetMode="External"/><Relationship Id="rId60" Type="http://schemas.openxmlformats.org/officeDocument/2006/relationships/hyperlink" Target="https://openknowledge.fao.org/items/adc0741f-9de2-4d09-ae68-b19cc871601a" TargetMode="External"/><Relationship Id="rId65" Type="http://schemas.openxmlformats.org/officeDocument/2006/relationships/hyperlink" Target="https://www.jica.go.jp/english/information/press/2023/20230131_30.html" TargetMode="External"/><Relationship Id="rId73" Type="http://schemas.openxmlformats.org/officeDocument/2006/relationships/hyperlink" Target="https://estandard.gov.mn" TargetMode="External"/><Relationship Id="rId78" Type="http://schemas.openxmlformats.org/officeDocument/2006/relationships/hyperlink" Target="https://legalinfo.mn" TargetMode="External"/><Relationship Id="rId81" Type="http://schemas.openxmlformats.org/officeDocument/2006/relationships/hyperlink" Target="https://legalinfo.mn" TargetMode="External"/><Relationship Id="rId86" Type="http://schemas.openxmlformats.org/officeDocument/2006/relationships/hyperlink" Target="https://legalinfo.mn" TargetMode="External"/><Relationship Id="rId94" Type="http://schemas.openxmlformats.org/officeDocument/2006/relationships/hyperlink" Target="https://population.un.org/wpp/" TargetMode="External"/><Relationship Id="rId12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47.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hyperlink" Target="https://baigali.du.gov.mn/files/editor/202312261412342021-2022%20&#1086;&#1085;.pdf" TargetMode="External"/><Relationship Id="rId76" Type="http://schemas.openxmlformats.org/officeDocument/2006/relationships/hyperlink" Target="https://www.1212.mn" TargetMode="External"/><Relationship Id="rId97" Type="http://schemas.openxmlformats.org/officeDocument/2006/relationships/image" Target="media/image43.png"/><Relationship Id="rId120" Type="http://schemas.openxmlformats.org/officeDocument/2006/relationships/image" Target="media/image57.png"/><Relationship Id="rId7" Type="http://schemas.openxmlformats.org/officeDocument/2006/relationships/settings" Target="settings.xml"/><Relationship Id="rId71" Type="http://schemas.openxmlformats.org/officeDocument/2006/relationships/hyperlink" Target="https://estandard.gov.mn" TargetMode="External"/><Relationship Id="rId92" Type="http://schemas.openxmlformats.org/officeDocument/2006/relationships/hyperlink" Target="https://legalinfo.mn" TargetMode="Externa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s://sudalgaa.gov.mn/pdf/n9mNWy" TargetMode="External"/><Relationship Id="rId87" Type="http://schemas.openxmlformats.org/officeDocument/2006/relationships/hyperlink" Target="https://legalinfo.mn" TargetMode="External"/><Relationship Id="rId110" Type="http://schemas.microsoft.com/office/2007/relationships/hdphoto" Target="media/hdphoto1.wdp"/><Relationship Id="rId115" Type="http://schemas.openxmlformats.org/officeDocument/2006/relationships/image" Target="media/image52.emf"/><Relationship Id="rId61" Type="http://schemas.openxmlformats.org/officeDocument/2006/relationships/hyperlink" Target="https://legalinfo.mn" TargetMode="External"/><Relationship Id="rId82" Type="http://schemas.openxmlformats.org/officeDocument/2006/relationships/hyperlink" Target="https://legalinfo.mn" TargetMode="External"/><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www.fao.org/4/i2401e/i2401e.pdf" TargetMode="External"/><Relationship Id="rId77" Type="http://schemas.openxmlformats.org/officeDocument/2006/relationships/hyperlink" Target="https://www.1212.mn" TargetMode="Externa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hyperlink" Target="https://estandard.gov.mn" TargetMode="External"/><Relationship Id="rId93" Type="http://schemas.openxmlformats.org/officeDocument/2006/relationships/hyperlink" Target="https://legalinfo.mn" TargetMode="External"/><Relationship Id="rId121"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hyperlink" Target="https://unfccc.int/sites/default/files/resource/NAP_Mongolia_2025.pdf" TargetMode="External"/><Relationship Id="rId116"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hyperlink" Target="https://legalinfo.mn" TargetMode="External"/><Relationship Id="rId83" Type="http://schemas.openxmlformats.org/officeDocument/2006/relationships/hyperlink" Target="https://legalinfo.mn" TargetMode="External"/><Relationship Id="rId88" Type="http://schemas.openxmlformats.org/officeDocument/2006/relationships/hyperlink" Target="https://legalinfo.mn" TargetMode="External"/><Relationship Id="rId111" Type="http://schemas.openxmlformats.org/officeDocument/2006/relationships/image" Target="media/image48.png"/></Relationships>
</file>

<file path=word/_rels/footer1.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Tema Colores Word Oiko">
  <a:themeElements>
    <a:clrScheme name="Oiko 1">
      <a:dk1>
        <a:srgbClr val="DDDCDD"/>
      </a:dk1>
      <a:lt1>
        <a:srgbClr val="BCBCBC"/>
      </a:lt1>
      <a:dk2>
        <a:srgbClr val="B2B2B2"/>
      </a:dk2>
      <a:lt2>
        <a:srgbClr val="5D6770"/>
      </a:lt2>
      <a:accent1>
        <a:srgbClr val="847870"/>
      </a:accent1>
      <a:accent2>
        <a:srgbClr val="00946D"/>
      </a:accent2>
      <a:accent3>
        <a:srgbClr val="E99E6D"/>
      </a:accent3>
      <a:accent4>
        <a:srgbClr val="FFDA27"/>
      </a:accent4>
      <a:accent5>
        <a:srgbClr val="185A7D"/>
      </a:accent5>
      <a:accent6>
        <a:srgbClr val="7CC89C"/>
      </a:accent6>
      <a:hlink>
        <a:srgbClr val="FFAF77"/>
      </a:hlink>
      <a:folHlink>
        <a:srgbClr val="F9E0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FA013</b:Tag>
    <b:SourceType>Report</b:SourceType>
    <b:Guid>{DC77B817-5234-46DA-BA3B-2F7E6A117F69}</b:Guid>
    <b:Author>
      <b:Author>
        <b:Corporate>FAO</b:Corporate>
      </b:Author>
    </b:Author>
    <b:Title>Smallholders and Family Farmers</b:Title>
    <b:Year>2013</b:Year>
    <b:URL>https://openknowledge.fao.org/handle/20.500.14283/ar588e</b:URL>
    <b:RefOrder>1</b:RefOrder>
  </b:Source>
  <b:Source>
    <b:Tag>Sai22</b:Tag>
    <b:SourceType>JournalArticle</b:SourceType>
    <b:Guid>{FF8FFC19-985F-44AC-80B8-3E40332A2C14}</b:Guid>
    <b:Title>Rangeland degradation in Mongolia: A systematic review of the evidence</b:Title>
    <b:Year>2022</b:Year>
    <b:JournalName>Journal of Arid Environments</b:JournalName>
    <b:Month>January</b:Month>
    <b:Volume>196</b:Volume>
    <b:URL>https://doi.org/10.1016/j.jaridenv.2021.104654</b:URL>
    <b:Author>
      <b:Author>
        <b:NameList>
          <b:Person>
            <b:Last>Sainnemekh</b:Last>
            <b:First>Sumjidmaa</b:First>
          </b:Person>
          <b:Person>
            <b:Last> Barrio </b:Last>
            <b:Middle>C.</b:Middle>
            <b:First>Isabel </b:First>
          </b:Person>
          <b:Person>
            <b:Last>Densambuu</b:Last>
            <b:First>Bulgamaa</b:First>
          </b:Person>
          <b:Person>
            <b:Last>Bestelmeyer</b:Last>
            <b:First>Brandon </b:First>
          </b:Person>
          <b:Person>
            <b:Last>Aradóttir</b:Last>
            <b:Middle>L.</b:Middle>
            <b:First>Ása</b:First>
          </b:Person>
        </b:NameList>
      </b:Author>
    </b:Author>
    <b:RefOrder>2</b:RefOrder>
  </b:Source>
  <b:Source>
    <b:Tag>Sar25</b:Tag>
    <b:SourceType>JournalArticle</b:SourceType>
    <b:Guid>{73C51809-2BE6-4873-8787-60FC6CBDE955}</b:Guid>
    <b:Author>
      <b:Author>
        <b:NameList>
          <b:Person>
            <b:Last>Saruul Galtbayar</b:Last>
            <b:First>Altanbagana</b:First>
            <b:Middle>Myagmarsuren, Urantamir Gankhuyag, Otgonkhuu Tsedev-Ish, Dong Suocheng, Masato Shinoda, Munkhjargal Erdenebadrakh</b:Middle>
          </b:Person>
        </b:NameList>
      </b:Author>
    </b:Author>
    <b:Title>Assessing climate hazard risks for Mongolian herders : A county-level study in Khovd, Bayankhongor, Dundgovi provinces</b:Title>
    <b:JournalName>Mongolian Journal of Geography and Geoecology</b:JournalName>
    <b:Year>2025</b:Year>
    <b:Publisher>Institute of Geography and Geoecology, Mongolian Academy of Sciences</b:Publisher>
    <b:Volume>62</b:Volume>
    <b:Issue>46</b:Issue>
    <b:URL>https://creativecommons.org/licenses/by/4.0</b:URL>
    <b:RefOrder>3</b:RefOrder>
  </b:Source>
  <b:Source>
    <b:Tag>Wor15</b:Tag>
    <b:SourceType>Report</b:SourceType>
    <b:Guid>{4FCAC40C-1681-4F27-8F22-9E4B1DA80F1B}</b:Guid>
    <b:Title>Mongolia Agricultural Sector Risk Assessment</b:Title>
    <b:Year>2015</b:Year>
    <b:City>Washington, DC</b:City>
    <b:Publisher>World Bank</b:Publisher>
    <b:DOI>http://documents.worldbank.org/curated/en/547181467986372198</b:DOI>
    <b:Author>
      <b:Author>
        <b:Corporate>World Bank Group</b:Corporate>
      </b:Author>
    </b:Author>
    <b:RefOrder>4</b:RefOrder>
  </b:Source>
  <b:Source>
    <b:Tag>FAO25</b:Tag>
    <b:SourceType>InternetSite</b:SourceType>
    <b:Guid>{937518EA-4DEB-4BF6-BDA8-3CAC165671D8}</b:Guid>
    <b:Title>Scaling up Climate Ambition on Land Use and Agriculture through Nationally Determined Contributions and National Adaptation Plans (SCALA) </b:Title>
    <b:Year>2025</b:Year>
    <b:Author>
      <b:Author>
        <b:Corporate>FAO</b:Corporate>
      </b:Author>
    </b:Author>
    <b:RefOrder>5</b:RefOrder>
  </b:Source>
  <b:Source>
    <b:Tag>Nat</b:Tag>
    <b:SourceType>InternetSite</b:SourceType>
    <b:Guid>{79455817-FF8C-40E9-ACD4-46C18AA35370}</b:Guid>
    <b:Author>
      <b:Author>
        <b:Corporate>National Agency for Meteorology and Environmental Monitoring (NAMEM)</b:Corporate>
      </b:Author>
    </b:Author>
    <b:Title>Meteorological station records for Arvaikheer and Mandalgovi, Mongolia</b:Title>
    <b:RefOrder>6</b:RefOrder>
  </b:Source>
  <b:Source>
    <b:Tag>Nat1</b:Tag>
    <b:SourceType>InternetSite</b:SourceType>
    <b:Guid>{6275680C-9ABD-4CFD-BC44-1D862C132772}</b:Guid>
    <b:Author>
      <b:Author>
        <b:Corporate>National Statistics Office of Mongolia (NSO)</b:Corporate>
      </b:Author>
    </b:Author>
    <b:Title>Mongolian Statistical Information Service: Population, land area, crop production and agricultural statistics by aimag/province</b:Title>
    <b:URL>https://www.1212.mn/en</b:URL>
    <b:RefOrder>7</b:RefOrder>
  </b:Source>
  <b:Source>
    <b:Tag>The</b:Tag>
    <b:SourceType>InternetSite</b:SourceType>
    <b:Guid>{C92223D0-46AF-47FB-B51F-49837A7D31D9}</b:Guid>
    <b:Author>
      <b:Author>
        <b:Corporate>The word bank</b:Corporate>
      </b:Author>
    </b:Author>
    <b:Title>limate Change Knowledge Portal: Mongolia — Historical Climate Data and Climate Projections</b:Title>
    <b:URL>https://climateknowledgeportal.worldbank.org/country/mongolia/climate-data-historical</b:URL>
    <b:RefOrder>8</b:RefOrder>
  </b:Source>
  <b:Source>
    <b:Tag>Gov18</b:Tag>
    <b:SourceType>Report</b:SourceType>
    <b:Guid>{C3F60EF6-3091-4DA9-8F22-240F05FE87D9}</b:Guid>
    <b:Title>Mongolia Third National Communication under the United Nations Framework Convention on Climate Change</b:Title>
    <b:Year>2018</b:Year>
    <b:Author>
      <b:Author>
        <b:Corporate>Government of Mongolia</b:Corporate>
      </b:Author>
    </b:Author>
    <b:City>https://unfccc.int/sites/default/files/resource/06593841_Mongolia-NC3-2-Mongolia%20TNC%202018%20pr.pdf</b:City>
    <b:RefOrder>9</b:RefOrder>
  </b:Source>
  <b:Source>
    <b:Tag>Tui10</b:Tag>
    <b:SourceType>Misc</b:SourceType>
    <b:Guid>{C6B4A30C-D4D2-4929-825D-134FDC6105EC}</b:Guid>
    <b:Author>
      <b:Author>
        <b:NameList>
          <b:Person>
            <b:Last>Tuinhof</b:Last>
            <b:First>A.</b:First>
            <b:Middle>and Buyanhisnig</b:Middle>
          </b:Person>
        </b:NameList>
      </b:Author>
    </b:Author>
    <b:Title>Groundwater Assessment of the Southern Gobi Region. Mongolia Discussion Papers. East Asia and Pacific Sustainable Development Department.</b:Title>
    <b:Year>2010</b:Year>
    <b:Publisher>The World Bank</b:Publisher>
    <b:URL>https://documents1.worldbank.org/curated/en/734471468323712803/pdf/627890REPLACEM07018020110Box361493B.pdf</b:URL>
    <b:RefOrder>10</b:RefOrder>
  </b:Source>
  <b:Source>
    <b:Tag>GER</b:Tag>
    <b:SourceType>InternetSite</b:SourceType>
    <b:Guid>{16D240F4-E709-4084-8218-586200D64E7B}</b:Guid>
    <b:Author>
      <b:Author>
        <b:Corporate>GERES</b:Corporate>
      </b:Author>
    </b:Author>
    <b:InternetSiteTitle>Passive Solar Greenhouses in Mongolia</b:InternetSiteTitle>
    <b:URL>https://www.geres.eu/en/our-actions/our-projects/passive-solar-greenhouses-in-mongolia/</b:URL>
    <b:Year>2020</b:Year>
    <b:RefOrder>11</b:RefOrder>
  </b:Source>
  <b:Source>
    <b:Tag>All98</b:Tag>
    <b:SourceType>JournalArticle</b:SourceType>
    <b:Guid>{461B2F4B-EB5A-4EF5-A53B-429E0C137B92}</b:Guid>
    <b:Author>
      <b:Author>
        <b:NameList>
          <b:Person>
            <b:Last>Allen</b:Last>
            <b:First>Richard</b:First>
            <b:Middle>G., Luis S. Pereira, Dirk Raes, and Martin Smith</b:Middle>
          </b:Person>
        </b:NameList>
      </b:Author>
    </b:Author>
    <b:Title>Crop Evapotranspiration: Guidelines for Computing Crop Water Requirements.</b:Title>
    <b:Year>1998</b:Year>
    <b:JournalName>FAO Irrigation and Drainage Paper 56</b:JournalName>
    <b:Publisher>FAO</b:Publisher>
    <b:RefOrder>12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03B5ED61D6576F46BAAFBD380938F6B9" ma:contentTypeVersion="13" ma:contentTypeDescription="Create a new document." ma:contentTypeScope="" ma:versionID="c5f02d789a5d1d80ba8de8d48d9d5bac">
  <xsd:schema xmlns:xsd="http://www.w3.org/2001/XMLSchema" xmlns:xs="http://www.w3.org/2001/XMLSchema" xmlns:p="http://schemas.microsoft.com/office/2006/metadata/properties" xmlns:ns2="dad5e93b-c6c4-420e-a349-f3b1f666e3fb" xmlns:ns3="166d4a59-6ce6-4cd0-8841-328f92ca64a9" targetNamespace="http://schemas.microsoft.com/office/2006/metadata/properties" ma:root="true" ma:fieldsID="234ab06723f8546c4cf901a6cfb40cc8" ns2:_="" ns3:_="">
    <xsd:import namespace="dad5e93b-c6c4-420e-a349-f3b1f666e3fb"/>
    <xsd:import namespace="166d4a59-6ce6-4cd0-8841-328f92ca64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5e93b-c6c4-420e-a349-f3b1f666e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6d4a59-6ce6-4cd0-8841-328f92ca64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83804b-be9a-461d-ae48-1d40b0102791}" ma:internalName="TaxCatchAll" ma:showField="CatchAllData" ma:web="166d4a59-6ce6-4cd0-8841-328f92ca6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d5e93b-c6c4-420e-a349-f3b1f666e3fb">
      <Terms xmlns="http://schemas.microsoft.com/office/infopath/2007/PartnerControls"/>
    </lcf76f155ced4ddcb4097134ff3c332f>
    <TaxCatchAll xmlns="166d4a59-6ce6-4cd0-8841-328f92ca64a9" xsi:nil="true"/>
  </documentManagement>
</p:properties>
</file>

<file path=customXml/itemProps1.xml><?xml version="1.0" encoding="utf-8"?>
<ds:datastoreItem xmlns:ds="http://schemas.openxmlformats.org/officeDocument/2006/customXml" ds:itemID="{C18E1E48-7667-45BC-98BA-A08911325220}">
  <ds:schemaRefs>
    <ds:schemaRef ds:uri="http://schemas.microsoft.com/sharepoint/v3/contenttype/forms"/>
  </ds:schemaRefs>
</ds:datastoreItem>
</file>

<file path=customXml/itemProps2.xml><?xml version="1.0" encoding="utf-8"?>
<ds:datastoreItem xmlns:ds="http://schemas.openxmlformats.org/officeDocument/2006/customXml" ds:itemID="{A8DACDA5-FACA-4B94-AA8C-09659EDFE4AD}">
  <ds:schemaRefs>
    <ds:schemaRef ds:uri="http://schemas.openxmlformats.org/officeDocument/2006/bibliography"/>
  </ds:schemaRefs>
</ds:datastoreItem>
</file>

<file path=customXml/itemProps3.xml><?xml version="1.0" encoding="utf-8"?>
<ds:datastoreItem xmlns:ds="http://schemas.openxmlformats.org/officeDocument/2006/customXml" ds:itemID="{B22910B7-4B92-47FC-A44B-6E55C05F7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5e93b-c6c4-420e-a349-f3b1f666e3fb"/>
    <ds:schemaRef ds:uri="166d4a59-6ce6-4cd0-8841-328f92ca6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4267FF-57B2-4960-9A4D-01B958E182BB}">
  <ds:schemaRefs>
    <ds:schemaRef ds:uri="http://schemas.microsoft.com/office/2006/metadata/properties"/>
    <ds:schemaRef ds:uri="http://schemas.microsoft.com/office/infopath/2007/PartnerControls"/>
    <ds:schemaRef ds:uri="dad5e93b-c6c4-420e-a349-f3b1f666e3fb"/>
    <ds:schemaRef ds:uri="166d4a59-6ce6-4cd0-8841-328f92ca64a9"/>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117</Pages>
  <Words>55301</Words>
  <Characters>315220</Characters>
  <Application>Microsoft Office Word</Application>
  <DocSecurity>0</DocSecurity>
  <Lines>2626</Lines>
  <Paragraphs>739</Paragraphs>
  <ScaleCrop>false</ScaleCrop>
  <Company/>
  <LinksUpToDate>false</LinksUpToDate>
  <CharactersWithSpaces>369782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Oiko · Santiago Fernandez</dc:creator>
  <cp:keywords/>
  <dc:description/>
  <cp:lastModifiedBy>Oiko · Adele Antoni</cp:lastModifiedBy>
  <cp:revision>174</cp:revision>
  <cp:lastPrinted>2025-08-30T08:58:00Z</cp:lastPrinted>
  <dcterms:created xsi:type="dcterms:W3CDTF">2026-07-03T06:53:00Z</dcterms:created>
  <dcterms:modified xsi:type="dcterms:W3CDTF">2026-07-20T14:34:00Z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0x01010003B5ED61D6576F46BAAFBD380938F6B9</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