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7598A" w14:textId="6FD44715" w:rsidR="00DB027F" w:rsidRPr="006B375D" w:rsidRDefault="00DB027F" w:rsidP="00DB027F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6B375D">
        <w:rPr>
          <w:rFonts w:ascii="Times New Roman" w:hAnsi="Times New Roman" w:cs="Times New Roman"/>
          <w:b/>
          <w:bCs/>
          <w:color w:val="auto"/>
        </w:rPr>
        <w:t>CTCN Deliverable 4.A</w:t>
      </w:r>
      <w:r w:rsidR="006B375D">
        <w:rPr>
          <w:rFonts w:ascii="Times New Roman" w:hAnsi="Times New Roman" w:cs="Times New Roman"/>
          <w:b/>
          <w:bCs/>
          <w:color w:val="auto"/>
        </w:rPr>
        <w:t xml:space="preserve"> Report informing a GCF proposal and the Pacific Resilience Programme </w:t>
      </w:r>
    </w:p>
    <w:p w14:paraId="6854AFDD" w14:textId="77777777" w:rsidR="00DB027F" w:rsidRDefault="00DB027F" w:rsidP="00DB027F">
      <w:pPr>
        <w:pStyle w:val="Default"/>
        <w:rPr>
          <w:sz w:val="20"/>
          <w:szCs w:val="20"/>
        </w:rPr>
      </w:pPr>
    </w:p>
    <w:p w14:paraId="0097617C" w14:textId="4B65C8C6" w:rsidR="00DB027F" w:rsidRPr="003201C3" w:rsidRDefault="00DB027F" w:rsidP="006B375D">
      <w:pPr>
        <w:jc w:val="both"/>
        <w:rPr>
          <w:rFonts w:ascii="Times New Roman" w:hAnsi="Times New Roman" w:cs="Times New Roman"/>
        </w:rPr>
      </w:pPr>
      <w:r w:rsidRPr="00293C94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original design of </w:t>
      </w:r>
      <w:r w:rsidRPr="00293C94">
        <w:rPr>
          <w:rFonts w:ascii="Times New Roman" w:hAnsi="Times New Roman" w:cs="Times New Roman"/>
        </w:rPr>
        <w:t xml:space="preserve">CTCN project No. </w:t>
      </w:r>
      <w:r w:rsidRPr="003201C3">
        <w:rPr>
          <w:rFonts w:ascii="Times New Roman" w:hAnsi="Times New Roman" w:cs="Times New Roman"/>
        </w:rPr>
        <w:t>7000003466 - Capacity Development to Address Risks in the Coastal Zones Associated with Climate Change</w:t>
      </w:r>
      <w:r>
        <w:rPr>
          <w:rFonts w:ascii="Times New Roman" w:hAnsi="Times New Roman" w:cs="Times New Roman"/>
        </w:rPr>
        <w:t xml:space="preserve"> included a 5-day workshop where a session was planned to discuss upscaling the result</w:t>
      </w:r>
      <w:r w:rsidR="00C87A9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of the </w:t>
      </w:r>
      <w:r w:rsidR="006B375D">
        <w:rPr>
          <w:rFonts w:ascii="Times New Roman" w:hAnsi="Times New Roman" w:cs="Times New Roman"/>
        </w:rPr>
        <w:t xml:space="preserve">project to </w:t>
      </w:r>
      <w:r w:rsidR="00C87A9A">
        <w:rPr>
          <w:rFonts w:ascii="Times New Roman" w:hAnsi="Times New Roman" w:cs="Times New Roman"/>
        </w:rPr>
        <w:t>inform</w:t>
      </w:r>
      <w:r w:rsidR="006B375D">
        <w:rPr>
          <w:rFonts w:ascii="Times New Roman" w:hAnsi="Times New Roman" w:cs="Times New Roman"/>
        </w:rPr>
        <w:t xml:space="preserve"> GCF proposal focussed on </w:t>
      </w:r>
      <w:r w:rsidR="00C87A9A">
        <w:rPr>
          <w:rFonts w:ascii="Times New Roman" w:hAnsi="Times New Roman" w:cs="Times New Roman"/>
        </w:rPr>
        <w:t>coastal resilience. Because this session was not possible there has been no in-depth discussion of national priorities. Therefor this report makes some general suggestions</w:t>
      </w:r>
      <w:r w:rsidR="00D51350">
        <w:rPr>
          <w:rFonts w:ascii="Times New Roman" w:hAnsi="Times New Roman" w:cs="Times New Roman"/>
        </w:rPr>
        <w:t>,</w:t>
      </w:r>
      <w:r w:rsidR="00C87A9A">
        <w:rPr>
          <w:rFonts w:ascii="Times New Roman" w:hAnsi="Times New Roman" w:cs="Times New Roman"/>
        </w:rPr>
        <w:t xml:space="preserve"> </w:t>
      </w:r>
      <w:r w:rsidR="00D51350">
        <w:rPr>
          <w:rFonts w:ascii="Times New Roman" w:hAnsi="Times New Roman" w:cs="Times New Roman"/>
        </w:rPr>
        <w:t xml:space="preserve">but these </w:t>
      </w:r>
      <w:r w:rsidR="00C87A9A">
        <w:rPr>
          <w:rFonts w:ascii="Times New Roman" w:hAnsi="Times New Roman" w:cs="Times New Roman"/>
        </w:rPr>
        <w:t>would need to be workshopped with local experts to develop an agreed design concept. All project participants are enthusiastic about a GCF project and hope that there will be an opportunity in the future to meet</w:t>
      </w:r>
      <w:r w:rsidR="00D51350">
        <w:rPr>
          <w:rFonts w:ascii="Times New Roman" w:hAnsi="Times New Roman" w:cs="Times New Roman"/>
        </w:rPr>
        <w:t xml:space="preserve"> and discuss</w:t>
      </w:r>
      <w:r w:rsidR="00C87A9A">
        <w:rPr>
          <w:rFonts w:ascii="Times New Roman" w:hAnsi="Times New Roman" w:cs="Times New Roman"/>
        </w:rPr>
        <w:t>.</w:t>
      </w:r>
    </w:p>
    <w:p w14:paraId="536B0053" w14:textId="64A00F93" w:rsidR="00DB027F" w:rsidRDefault="00DB027F" w:rsidP="006B375D">
      <w:pPr>
        <w:jc w:val="both"/>
        <w:rPr>
          <w:rFonts w:ascii="Times New Roman" w:hAnsi="Times New Roman" w:cs="Times New Roman"/>
        </w:rPr>
      </w:pPr>
      <w:r w:rsidRPr="00DB027F">
        <w:rPr>
          <w:rFonts w:ascii="Times New Roman" w:hAnsi="Times New Roman" w:cs="Times New Roman"/>
        </w:rPr>
        <w:t xml:space="preserve">Building coastal resilience is an urgent national priority for many Pacific Islands.  The project has provided data and information that can be used to assess coastal vulnerability. </w:t>
      </w:r>
      <w:r w:rsidR="006B375D">
        <w:rPr>
          <w:rFonts w:ascii="Times New Roman" w:hAnsi="Times New Roman" w:cs="Times New Roman"/>
        </w:rPr>
        <w:t xml:space="preserve">The four project partners Kiribati, Solomon Islands, </w:t>
      </w:r>
      <w:r w:rsidR="008749E2">
        <w:rPr>
          <w:rFonts w:ascii="Times New Roman" w:hAnsi="Times New Roman" w:cs="Times New Roman"/>
        </w:rPr>
        <w:t>Palau,</w:t>
      </w:r>
      <w:r w:rsidR="006B375D">
        <w:rPr>
          <w:rFonts w:ascii="Times New Roman" w:hAnsi="Times New Roman" w:cs="Times New Roman"/>
        </w:rPr>
        <w:t xml:space="preserve"> and Republic of Marshall Islands (RMI) face varying levels of coastal inundation and erosion as a result of predicted sea level rise</w:t>
      </w:r>
      <w:r w:rsidR="008749E2">
        <w:rPr>
          <w:rFonts w:ascii="Times New Roman" w:hAnsi="Times New Roman" w:cs="Times New Roman"/>
        </w:rPr>
        <w:t xml:space="preserve"> and storm surge</w:t>
      </w:r>
      <w:r w:rsidR="006B375D">
        <w:rPr>
          <w:rFonts w:ascii="Times New Roman" w:hAnsi="Times New Roman" w:cs="Times New Roman"/>
        </w:rPr>
        <w:t xml:space="preserve">. </w:t>
      </w:r>
      <w:r w:rsidR="00D51350">
        <w:rPr>
          <w:rFonts w:ascii="Times New Roman" w:hAnsi="Times New Roman" w:cs="Times New Roman"/>
        </w:rPr>
        <w:t>Large areas of the coastal zones in the four islands</w:t>
      </w:r>
      <w:r w:rsidR="00D51350" w:rsidRPr="00DB027F">
        <w:rPr>
          <w:rFonts w:ascii="Times New Roman" w:hAnsi="Times New Roman" w:cs="Times New Roman"/>
        </w:rPr>
        <w:t xml:space="preserve"> are in a relatively natural undisturbed state and thus offer opportunities for improved coastal management to ensure that any natural resilience is understood, protected and promoted. </w:t>
      </w:r>
    </w:p>
    <w:p w14:paraId="11A2C94F" w14:textId="5FF177BC" w:rsidR="008749E2" w:rsidRDefault="008749E2" w:rsidP="006B37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Pacific Climate Change Science and Adaptation Program predicts the following:</w:t>
      </w:r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2128"/>
        <w:gridCol w:w="3357"/>
        <w:gridCol w:w="3751"/>
      </w:tblGrid>
      <w:tr w:rsidR="008749E2" w14:paraId="536FCDCA" w14:textId="77777777" w:rsidTr="00DA45B5">
        <w:tc>
          <w:tcPr>
            <w:tcW w:w="2128" w:type="dxa"/>
          </w:tcPr>
          <w:p w14:paraId="344CBA39" w14:textId="77777777" w:rsidR="008749E2" w:rsidRDefault="008749E2" w:rsidP="006B37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57" w:type="dxa"/>
          </w:tcPr>
          <w:p w14:paraId="7E90E370" w14:textId="04A89EE0" w:rsidR="008749E2" w:rsidRDefault="008749E2" w:rsidP="006B3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 level rise by 2030</w:t>
            </w:r>
          </w:p>
        </w:tc>
        <w:tc>
          <w:tcPr>
            <w:tcW w:w="3751" w:type="dxa"/>
          </w:tcPr>
          <w:p w14:paraId="11FC02C1" w14:textId="2067EAEB" w:rsidR="008749E2" w:rsidRDefault="008749E2" w:rsidP="006B3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Wave height, storm surge, and coastal flooding </w:t>
            </w:r>
          </w:p>
        </w:tc>
      </w:tr>
      <w:tr w:rsidR="008749E2" w14:paraId="43F74928" w14:textId="77777777" w:rsidTr="00DA45B5">
        <w:tc>
          <w:tcPr>
            <w:tcW w:w="2128" w:type="dxa"/>
          </w:tcPr>
          <w:p w14:paraId="4E1532CB" w14:textId="0BB74103" w:rsidR="008749E2" w:rsidRPr="00A0667D" w:rsidRDefault="008749E2" w:rsidP="006B375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0667D">
              <w:rPr>
                <w:rFonts w:ascii="Times New Roman" w:hAnsi="Times New Roman" w:cs="Times New Roman"/>
                <w:b/>
                <w:bCs/>
              </w:rPr>
              <w:t>Kiribati</w:t>
            </w:r>
          </w:p>
        </w:tc>
        <w:tc>
          <w:tcPr>
            <w:tcW w:w="3357" w:type="dxa"/>
          </w:tcPr>
          <w:p w14:paraId="1E4A6327" w14:textId="6B1AC050" w:rsidR="008749E2" w:rsidRDefault="008749E2" w:rsidP="006B3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Medium emission scenario 7-17 cm</w:t>
            </w:r>
          </w:p>
        </w:tc>
        <w:tc>
          <w:tcPr>
            <w:tcW w:w="3751" w:type="dxa"/>
          </w:tcPr>
          <w:p w14:paraId="435BB618" w14:textId="15134A41" w:rsidR="008749E2" w:rsidRDefault="008749E2" w:rsidP="006B3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Decreased wave height Dec-March; more directed from the south in October; slight increase in wave height in the Line islands</w:t>
            </w:r>
            <w:r w:rsidR="00F746D8">
              <w:rPr>
                <w:rFonts w:ascii="Times New Roman" w:hAnsi="Times New Roman" w:cs="Times New Roman"/>
              </w:rPr>
              <w:t xml:space="preserve">. </w:t>
            </w:r>
            <w:r w:rsidR="00DA45B5">
              <w:rPr>
                <w:rFonts w:ascii="Times New Roman" w:hAnsi="Times New Roman" w:cs="Times New Roman"/>
              </w:rPr>
              <w:t>Sea level rise will increase storm surge and coastal flooding.</w:t>
            </w:r>
          </w:p>
        </w:tc>
      </w:tr>
      <w:tr w:rsidR="004A6386" w14:paraId="78FE5678" w14:textId="77777777" w:rsidTr="00214876">
        <w:tc>
          <w:tcPr>
            <w:tcW w:w="9236" w:type="dxa"/>
            <w:gridSpan w:val="3"/>
          </w:tcPr>
          <w:p w14:paraId="5BD79866" w14:textId="77777777" w:rsidR="004A6386" w:rsidRDefault="004A6386" w:rsidP="002148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50483C7E" wp14:editId="044EEB67">
                  <wp:extent cx="5323106" cy="4131013"/>
                  <wp:effectExtent l="0" t="0" r="0" b="0"/>
                  <wp:docPr id="1" name="Picture 1" descr="Chart, histo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hart, histogram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9979" cy="4167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0E96AE" w14:textId="77777777" w:rsidR="00DA45B5" w:rsidRDefault="00DA45B5"/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074"/>
        <w:gridCol w:w="3479"/>
        <w:gridCol w:w="3689"/>
      </w:tblGrid>
      <w:tr w:rsidR="00DA45B5" w14:paraId="376B424A" w14:textId="77777777" w:rsidTr="00DA45B5">
        <w:tc>
          <w:tcPr>
            <w:tcW w:w="2074" w:type="dxa"/>
          </w:tcPr>
          <w:p w14:paraId="277A94E9" w14:textId="77777777" w:rsidR="00DA45B5" w:rsidRDefault="00DA45B5" w:rsidP="002148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</w:tcPr>
          <w:p w14:paraId="24AF7800" w14:textId="77777777" w:rsidR="00DA45B5" w:rsidRDefault="00DA45B5" w:rsidP="002148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 level rise by 2030</w:t>
            </w:r>
          </w:p>
        </w:tc>
        <w:tc>
          <w:tcPr>
            <w:tcW w:w="3689" w:type="dxa"/>
          </w:tcPr>
          <w:p w14:paraId="7A9B6B2B" w14:textId="77777777" w:rsidR="00DA45B5" w:rsidRDefault="00DA45B5" w:rsidP="002148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Wave height, storm surge, and coastal flooding </w:t>
            </w:r>
          </w:p>
        </w:tc>
      </w:tr>
      <w:tr w:rsidR="008749E2" w14:paraId="20A96E9F" w14:textId="77777777" w:rsidTr="00DA45B5">
        <w:tc>
          <w:tcPr>
            <w:tcW w:w="2074" w:type="dxa"/>
          </w:tcPr>
          <w:p w14:paraId="00BE4EB0" w14:textId="2B4DF0F5" w:rsidR="008749E2" w:rsidRPr="00A0667D" w:rsidRDefault="008749E2" w:rsidP="006B375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0667D">
              <w:rPr>
                <w:rFonts w:ascii="Times New Roman" w:hAnsi="Times New Roman" w:cs="Times New Roman"/>
                <w:b/>
                <w:bCs/>
              </w:rPr>
              <w:t>Solomon Islands</w:t>
            </w:r>
          </w:p>
        </w:tc>
        <w:tc>
          <w:tcPr>
            <w:tcW w:w="3479" w:type="dxa"/>
          </w:tcPr>
          <w:p w14:paraId="1FDD7089" w14:textId="268EC0D1" w:rsidR="008749E2" w:rsidRDefault="00DA45B5" w:rsidP="00DA4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Medium emission scenario 7-17 cm</w:t>
            </w:r>
          </w:p>
        </w:tc>
        <w:tc>
          <w:tcPr>
            <w:tcW w:w="3689" w:type="dxa"/>
          </w:tcPr>
          <w:p w14:paraId="598B6BAF" w14:textId="1A328250" w:rsidR="00DA45B5" w:rsidRPr="00DA45B5" w:rsidRDefault="00DA45B5" w:rsidP="00DA45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Decrease in frequency of cyclones but l</w:t>
            </w:r>
            <w:r w:rsidRPr="00DA45B5">
              <w:rPr>
                <w:rFonts w:ascii="Times New Roman" w:hAnsi="Times New Roman" w:cs="Times New Roman"/>
              </w:rPr>
              <w:t>ikely increase in the average maximum wind speed by between 2% and 11% and an increase in rainfall intensity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5B6EA36" w14:textId="3CE578A3" w:rsidR="008749E2" w:rsidRDefault="00DA45B5" w:rsidP="006B3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 level rise will increase storm surge and coastal flooding.</w:t>
            </w:r>
          </w:p>
        </w:tc>
      </w:tr>
      <w:tr w:rsidR="008A77D8" w14:paraId="21251A9C" w14:textId="77777777" w:rsidTr="0046584A">
        <w:tc>
          <w:tcPr>
            <w:tcW w:w="9242" w:type="dxa"/>
            <w:gridSpan w:val="3"/>
          </w:tcPr>
          <w:p w14:paraId="45852D3B" w14:textId="3E9B9D19" w:rsidR="008A77D8" w:rsidRDefault="008A77D8" w:rsidP="006B3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72E6AC7C" wp14:editId="19BDD1AC">
                  <wp:extent cx="5727700" cy="4105275"/>
                  <wp:effectExtent l="0" t="0" r="0" b="0"/>
                  <wp:docPr id="2" name="Picture 2" descr="Chart, histo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hart, histogram&#10;&#10;Description automatically generated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0" cy="410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217D71" w14:textId="5B746B4F" w:rsidR="008A77D8" w:rsidRDefault="008A77D8"/>
    <w:p w14:paraId="25201939" w14:textId="3535C092" w:rsidR="008A77D8" w:rsidRDefault="008A77D8" w:rsidP="008A77D8">
      <w:pPr>
        <w:spacing w:after="0" w:line="240" w:lineRule="auto"/>
      </w:pPr>
      <w:r>
        <w:br w:type="page"/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074"/>
        <w:gridCol w:w="3479"/>
        <w:gridCol w:w="3689"/>
      </w:tblGrid>
      <w:tr w:rsidR="008A77D8" w14:paraId="154A9535" w14:textId="77777777" w:rsidTr="00214876">
        <w:tc>
          <w:tcPr>
            <w:tcW w:w="2074" w:type="dxa"/>
          </w:tcPr>
          <w:p w14:paraId="2D471621" w14:textId="77777777" w:rsidR="008A77D8" w:rsidRDefault="008A77D8" w:rsidP="002148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</w:tcPr>
          <w:p w14:paraId="1B28B1EE" w14:textId="77777777" w:rsidR="008A77D8" w:rsidRDefault="008A77D8" w:rsidP="002148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 level rise by 2030</w:t>
            </w:r>
          </w:p>
        </w:tc>
        <w:tc>
          <w:tcPr>
            <w:tcW w:w="3689" w:type="dxa"/>
          </w:tcPr>
          <w:p w14:paraId="033EA4F2" w14:textId="77777777" w:rsidR="008A77D8" w:rsidRDefault="008A77D8" w:rsidP="002148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Wave height, storm surge, and coastal flooding </w:t>
            </w:r>
          </w:p>
        </w:tc>
      </w:tr>
      <w:tr w:rsidR="008749E2" w14:paraId="462E8BB1" w14:textId="77777777" w:rsidTr="00DA45B5">
        <w:tc>
          <w:tcPr>
            <w:tcW w:w="2074" w:type="dxa"/>
          </w:tcPr>
          <w:p w14:paraId="5C2C4CF8" w14:textId="4A34BBEB" w:rsidR="008749E2" w:rsidRPr="00A0667D" w:rsidRDefault="008749E2" w:rsidP="006B375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0667D">
              <w:rPr>
                <w:rFonts w:ascii="Times New Roman" w:hAnsi="Times New Roman" w:cs="Times New Roman"/>
                <w:b/>
                <w:bCs/>
              </w:rPr>
              <w:t>Palau</w:t>
            </w:r>
          </w:p>
        </w:tc>
        <w:tc>
          <w:tcPr>
            <w:tcW w:w="3479" w:type="dxa"/>
          </w:tcPr>
          <w:p w14:paraId="2A919CDD" w14:textId="67FD63DB" w:rsidR="008749E2" w:rsidRDefault="00732184" w:rsidP="006B3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Medium emission scenario 8-17 cm</w:t>
            </w:r>
          </w:p>
        </w:tc>
        <w:tc>
          <w:tcPr>
            <w:tcW w:w="3689" w:type="dxa"/>
          </w:tcPr>
          <w:p w14:paraId="194A0993" w14:textId="65DE3F0F" w:rsidR="008A77D8" w:rsidRPr="00DA45B5" w:rsidRDefault="008A77D8" w:rsidP="008A77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Decrease in frequency of typhoons but l</w:t>
            </w:r>
            <w:r w:rsidRPr="00DA45B5">
              <w:rPr>
                <w:rFonts w:ascii="Times New Roman" w:hAnsi="Times New Roman" w:cs="Times New Roman"/>
              </w:rPr>
              <w:t>ikely increase in the average maximum wind speed by between 2% and 11% and an increase in rainfall intensity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A489D03" w14:textId="485E0293" w:rsidR="008749E2" w:rsidRDefault="008A77D8" w:rsidP="008A77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 level rise will increase storm surge and coastal flooding.</w:t>
            </w:r>
          </w:p>
        </w:tc>
      </w:tr>
      <w:tr w:rsidR="00732184" w14:paraId="5A69F0C8" w14:textId="77777777" w:rsidTr="00222B44">
        <w:tc>
          <w:tcPr>
            <w:tcW w:w="9242" w:type="dxa"/>
            <w:gridSpan w:val="3"/>
          </w:tcPr>
          <w:p w14:paraId="437E2BFA" w14:textId="1F2F1FAC" w:rsidR="00732184" w:rsidRDefault="00732184" w:rsidP="008A77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DDEBA2F" wp14:editId="13FAD6C6">
                  <wp:extent cx="5727700" cy="4326890"/>
                  <wp:effectExtent l="0" t="0" r="0" b="3810"/>
                  <wp:docPr id="3" name="Picture 3" descr="Chart, histo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hart, histogram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0" cy="4326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0E316A" w14:textId="1BC4D0A5" w:rsidR="00732184" w:rsidRDefault="00732184"/>
    <w:p w14:paraId="28C5EC3E" w14:textId="4C04CFE1" w:rsidR="00732184" w:rsidRDefault="00732184" w:rsidP="00732184">
      <w:pPr>
        <w:spacing w:after="0" w:line="240" w:lineRule="auto"/>
      </w:pPr>
      <w:r>
        <w:br w:type="page"/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074"/>
        <w:gridCol w:w="3479"/>
        <w:gridCol w:w="3689"/>
      </w:tblGrid>
      <w:tr w:rsidR="00732184" w14:paraId="4845D068" w14:textId="77777777" w:rsidTr="00732184">
        <w:tc>
          <w:tcPr>
            <w:tcW w:w="2074" w:type="dxa"/>
          </w:tcPr>
          <w:p w14:paraId="39A4E722" w14:textId="77777777" w:rsidR="00732184" w:rsidRDefault="00732184" w:rsidP="002148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</w:tcPr>
          <w:p w14:paraId="0643DB19" w14:textId="77777777" w:rsidR="00732184" w:rsidRDefault="00732184" w:rsidP="002148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 level rise by 2030</w:t>
            </w:r>
          </w:p>
        </w:tc>
        <w:tc>
          <w:tcPr>
            <w:tcW w:w="3689" w:type="dxa"/>
          </w:tcPr>
          <w:p w14:paraId="7438F617" w14:textId="77777777" w:rsidR="00732184" w:rsidRDefault="00732184" w:rsidP="002148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Wave height, storm surge, and coastal flooding </w:t>
            </w:r>
          </w:p>
        </w:tc>
      </w:tr>
      <w:tr w:rsidR="00A0667D" w14:paraId="3B23F3D5" w14:textId="77777777" w:rsidTr="00DA45B5">
        <w:tc>
          <w:tcPr>
            <w:tcW w:w="2074" w:type="dxa"/>
          </w:tcPr>
          <w:p w14:paraId="075435F1" w14:textId="503216AB" w:rsidR="00A0667D" w:rsidRPr="00A0667D" w:rsidRDefault="00A0667D" w:rsidP="00A0667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0667D">
              <w:rPr>
                <w:rFonts w:ascii="Times New Roman" w:hAnsi="Times New Roman" w:cs="Times New Roman"/>
                <w:b/>
                <w:bCs/>
              </w:rPr>
              <w:t>RMI</w:t>
            </w:r>
          </w:p>
        </w:tc>
        <w:tc>
          <w:tcPr>
            <w:tcW w:w="3479" w:type="dxa"/>
          </w:tcPr>
          <w:p w14:paraId="44A61181" w14:textId="28150513" w:rsidR="00A0667D" w:rsidRDefault="00A0667D" w:rsidP="00A066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Medium emission scenario 8-17 cm</w:t>
            </w:r>
          </w:p>
        </w:tc>
        <w:tc>
          <w:tcPr>
            <w:tcW w:w="3689" w:type="dxa"/>
          </w:tcPr>
          <w:p w14:paraId="49706F10" w14:textId="77777777" w:rsidR="00A0667D" w:rsidRPr="00DA45B5" w:rsidRDefault="00A0667D" w:rsidP="00A066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Decrease in frequency of typhoons but l</w:t>
            </w:r>
            <w:r w:rsidRPr="00DA45B5">
              <w:rPr>
                <w:rFonts w:ascii="Times New Roman" w:hAnsi="Times New Roman" w:cs="Times New Roman"/>
              </w:rPr>
              <w:t>ikely increase in the average maximum wind speed by between 2% and 11% and an increase in rainfall intensity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9D3FA22" w14:textId="79618563" w:rsidR="00A0667D" w:rsidRDefault="00A0667D" w:rsidP="00A066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 level rise will increase storm surge and coastal flooding.</w:t>
            </w:r>
          </w:p>
        </w:tc>
      </w:tr>
      <w:tr w:rsidR="00A0667D" w14:paraId="604271B2" w14:textId="77777777" w:rsidTr="00732A02">
        <w:tc>
          <w:tcPr>
            <w:tcW w:w="9242" w:type="dxa"/>
            <w:gridSpan w:val="3"/>
          </w:tcPr>
          <w:p w14:paraId="7F8D0695" w14:textId="5AE3D9AF" w:rsidR="00A0667D" w:rsidRDefault="00A0667D" w:rsidP="00A066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2230495" wp14:editId="35E821A7">
                  <wp:extent cx="5727700" cy="4142105"/>
                  <wp:effectExtent l="0" t="0" r="0" b="0"/>
                  <wp:docPr id="4" name="Picture 4" descr="Chart, histo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Chart, histogram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0" cy="4142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9A386B" w14:textId="77777777" w:rsidR="008749E2" w:rsidRPr="00DB027F" w:rsidRDefault="008749E2" w:rsidP="006B375D">
      <w:pPr>
        <w:jc w:val="both"/>
        <w:rPr>
          <w:rFonts w:ascii="Times New Roman" w:hAnsi="Times New Roman" w:cs="Times New Roman"/>
        </w:rPr>
      </w:pPr>
    </w:p>
    <w:p w14:paraId="4F3E7992" w14:textId="4BEB508A" w:rsidR="00D51350" w:rsidRDefault="00D51350" w:rsidP="00D513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Potential outputs from a GCF could include:</w:t>
      </w:r>
    </w:p>
    <w:p w14:paraId="403FB6EC" w14:textId="6A6BC6E1" w:rsidR="00E5395D" w:rsidRPr="00E5395D" w:rsidRDefault="00E5395D" w:rsidP="00E5395D">
      <w:pPr>
        <w:pStyle w:val="ListParagraph"/>
        <w:numPr>
          <w:ilvl w:val="0"/>
          <w:numId w:val="1"/>
        </w:numPr>
        <w:spacing w:before="0" w:beforeAutospacing="0" w:after="0" w:afterAutospacing="0" w:line="280" w:lineRule="atLeast"/>
        <w:rPr>
          <w:rStyle w:val="apple-converted-space"/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Early Warning Systems that provide localised and tailored impact-based warning to support coastal communities and emergency responses to take relevant on-the-ground life-saving actions.</w:t>
      </w:r>
      <w:r>
        <w:rPr>
          <w:rStyle w:val="apple-converted-space"/>
          <w:color w:val="000000"/>
          <w:sz w:val="22"/>
          <w:szCs w:val="22"/>
        </w:rPr>
        <w:t> </w:t>
      </w:r>
    </w:p>
    <w:p w14:paraId="3C09712E" w14:textId="62062B0C" w:rsidR="00E5395D" w:rsidRPr="00E5395D" w:rsidRDefault="00E5395D" w:rsidP="00E5395D">
      <w:pPr>
        <w:numPr>
          <w:ilvl w:val="0"/>
          <w:numId w:val="1"/>
        </w:numPr>
        <w:spacing w:after="0" w:line="280" w:lineRule="atLeast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>O</w:t>
      </w:r>
      <w:r w:rsidRPr="00E5395D">
        <w:rPr>
          <w:rFonts w:ascii="Times New Roman" w:eastAsia="Times New Roman" w:hAnsi="Times New Roman" w:cs="Times New Roman"/>
          <w:color w:val="000000"/>
          <w:lang w:eastAsia="en-GB"/>
        </w:rPr>
        <w:t>cean monitoring and prediction services to support improved navigational safety and search and rescue operation</w:t>
      </w:r>
      <w:r>
        <w:rPr>
          <w:rFonts w:ascii="Times New Roman" w:eastAsia="Times New Roman" w:hAnsi="Times New Roman" w:cs="Times New Roman"/>
          <w:color w:val="000000"/>
          <w:lang w:eastAsia="en-GB"/>
        </w:rPr>
        <w:t>s</w:t>
      </w:r>
    </w:p>
    <w:p w14:paraId="5147BC1D" w14:textId="1C91DED4" w:rsidR="00E5395D" w:rsidRPr="00E5395D" w:rsidRDefault="00E5395D" w:rsidP="00E5395D">
      <w:pPr>
        <w:numPr>
          <w:ilvl w:val="0"/>
          <w:numId w:val="1"/>
        </w:numPr>
        <w:spacing w:after="0" w:line="280" w:lineRule="atLeast"/>
        <w:rPr>
          <w:rFonts w:ascii="Calibri" w:eastAsia="Times New Roman" w:hAnsi="Calibri" w:cs="Calibri"/>
          <w:color w:val="000000"/>
          <w:lang w:eastAsia="en-GB"/>
        </w:rPr>
      </w:pPr>
      <w:r w:rsidRPr="00E5395D">
        <w:rPr>
          <w:rFonts w:ascii="Times New Roman" w:eastAsia="Times New Roman" w:hAnsi="Times New Roman" w:cs="Times New Roman"/>
          <w:color w:val="000000"/>
          <w:lang w:eastAsia="en-GB"/>
        </w:rPr>
        <w:t>Develop</w:t>
      </w:r>
      <w:r>
        <w:rPr>
          <w:rFonts w:ascii="Times New Roman" w:eastAsia="Times New Roman" w:hAnsi="Times New Roman" w:cs="Times New Roman"/>
          <w:color w:val="000000"/>
          <w:lang w:eastAsia="en-GB"/>
        </w:rPr>
        <w:t>ment of a</w:t>
      </w:r>
      <w:r w:rsidRPr="00E5395D">
        <w:rPr>
          <w:rFonts w:ascii="Times New Roman" w:eastAsia="Times New Roman" w:hAnsi="Times New Roman" w:cs="Times New Roman"/>
          <w:color w:val="000000"/>
          <w:lang w:eastAsia="en-GB"/>
        </w:rPr>
        <w:t xml:space="preserve"> regional strategy </w:t>
      </w:r>
      <w:r>
        <w:rPr>
          <w:rFonts w:ascii="Times New Roman" w:eastAsia="Times New Roman" w:hAnsi="Times New Roman" w:cs="Times New Roman"/>
          <w:color w:val="000000"/>
          <w:lang w:eastAsia="en-GB"/>
        </w:rPr>
        <w:t>to support</w:t>
      </w:r>
      <w:r w:rsidRPr="00E5395D">
        <w:rPr>
          <w:rFonts w:ascii="Times New Roman" w:eastAsia="Times New Roman" w:hAnsi="Times New Roman" w:cs="Times New Roman"/>
          <w:color w:val="000000"/>
          <w:lang w:eastAsia="en-GB"/>
        </w:rPr>
        <w:t xml:space="preserve"> ship</w:t>
      </w:r>
      <w:r>
        <w:rPr>
          <w:rFonts w:ascii="Times New Roman" w:eastAsia="Times New Roman" w:hAnsi="Times New Roman" w:cs="Times New Roman"/>
          <w:color w:val="000000"/>
          <w:lang w:eastAsia="en-GB"/>
        </w:rPr>
        <w:t>-</w:t>
      </w:r>
      <w:r w:rsidRPr="00E5395D">
        <w:rPr>
          <w:rFonts w:ascii="Times New Roman" w:eastAsia="Times New Roman" w:hAnsi="Times New Roman" w:cs="Times New Roman"/>
          <w:color w:val="000000"/>
          <w:lang w:eastAsia="en-GB"/>
        </w:rPr>
        <w:t>based ocean monitoring, including developing partnership</w:t>
      </w:r>
      <w:r>
        <w:rPr>
          <w:rFonts w:ascii="Times New Roman" w:eastAsia="Times New Roman" w:hAnsi="Times New Roman" w:cs="Times New Roman"/>
          <w:color w:val="000000"/>
          <w:lang w:eastAsia="en-GB"/>
        </w:rPr>
        <w:t>s</w:t>
      </w:r>
      <w:r w:rsidRPr="00E5395D">
        <w:rPr>
          <w:rFonts w:ascii="Times New Roman" w:eastAsia="Times New Roman" w:hAnsi="Times New Roman" w:cs="Times New Roman"/>
          <w:color w:val="000000"/>
          <w:lang w:eastAsia="en-GB"/>
        </w:rPr>
        <w:t xml:space="preserve"> between National Meteorology services and the shipping sector</w:t>
      </w:r>
    </w:p>
    <w:p w14:paraId="50FB5695" w14:textId="77777777" w:rsidR="00E5395D" w:rsidRPr="00E5395D" w:rsidRDefault="00E5395D" w:rsidP="00E5395D">
      <w:pPr>
        <w:pStyle w:val="ListParagraph"/>
        <w:numPr>
          <w:ilvl w:val="0"/>
          <w:numId w:val="1"/>
        </w:numPr>
        <w:spacing w:before="0" w:beforeAutospacing="0" w:after="0" w:afterAutospacing="0" w:line="280" w:lineRule="atLeast"/>
        <w:rPr>
          <w:color w:val="000000"/>
          <w:sz w:val="22"/>
          <w:szCs w:val="22"/>
        </w:rPr>
      </w:pPr>
      <w:r>
        <w:rPr>
          <w:color w:val="000000"/>
        </w:rPr>
        <w:t xml:space="preserve">Reduction </w:t>
      </w:r>
      <w:r w:rsidRPr="00E5395D">
        <w:rPr>
          <w:color w:val="000000"/>
        </w:rPr>
        <w:t>of CO</w:t>
      </w:r>
      <w:r w:rsidRPr="00E5395D">
        <w:rPr>
          <w:color w:val="000000"/>
          <w:vertAlign w:val="subscript"/>
        </w:rPr>
        <w:t>2</w:t>
      </w:r>
      <w:r w:rsidRPr="00E5395D">
        <w:rPr>
          <w:color w:val="000000"/>
        </w:rPr>
        <w:t xml:space="preserve"> emission</w:t>
      </w:r>
      <w:r>
        <w:rPr>
          <w:color w:val="000000"/>
        </w:rPr>
        <w:t>s</w:t>
      </w:r>
      <w:r w:rsidRPr="00E5395D">
        <w:rPr>
          <w:color w:val="000000"/>
        </w:rPr>
        <w:t xml:space="preserve"> in the shipping sector through the provision of energy efficient </w:t>
      </w:r>
      <w:r w:rsidRPr="00E5395D">
        <w:rPr>
          <w:color w:val="000000"/>
          <w:sz w:val="22"/>
          <w:szCs w:val="22"/>
        </w:rPr>
        <w:t>navigational routes based on high resolution ocean prediction tool</w:t>
      </w:r>
    </w:p>
    <w:p w14:paraId="5A320B21" w14:textId="3906B284" w:rsidR="00E5395D" w:rsidRPr="00E5395D" w:rsidRDefault="00E5395D" w:rsidP="00E5395D">
      <w:pPr>
        <w:pStyle w:val="ListParagraph"/>
        <w:numPr>
          <w:ilvl w:val="0"/>
          <w:numId w:val="1"/>
        </w:numPr>
        <w:spacing w:before="0" w:beforeAutospacing="0" w:after="0" w:afterAutospacing="0" w:line="280" w:lineRule="atLeast"/>
        <w:rPr>
          <w:color w:val="000000"/>
          <w:sz w:val="22"/>
          <w:szCs w:val="22"/>
        </w:rPr>
      </w:pPr>
      <w:r w:rsidRPr="00E5395D">
        <w:rPr>
          <w:color w:val="000000"/>
          <w:sz w:val="22"/>
          <w:szCs w:val="22"/>
        </w:rPr>
        <w:t>Increased SIDS capacity to monitor and assess coastal risk</w:t>
      </w:r>
    </w:p>
    <w:p w14:paraId="4CE1E580" w14:textId="0DC3630A" w:rsidR="00E5395D" w:rsidRPr="00E5395D" w:rsidRDefault="00E5395D" w:rsidP="00E5395D">
      <w:pPr>
        <w:pStyle w:val="ListParagraph"/>
        <w:numPr>
          <w:ilvl w:val="0"/>
          <w:numId w:val="1"/>
        </w:numPr>
        <w:spacing w:before="0" w:beforeAutospacing="0" w:after="0" w:afterAutospacing="0" w:line="28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Strengthened coastal risk management to inform coastal development and investment</w:t>
      </w:r>
    </w:p>
    <w:p w14:paraId="112E4AA7" w14:textId="77D23441" w:rsidR="00E5395D" w:rsidRDefault="00E5395D" w:rsidP="00E5395D">
      <w:pPr>
        <w:pStyle w:val="ListParagraph"/>
        <w:numPr>
          <w:ilvl w:val="0"/>
          <w:numId w:val="1"/>
        </w:numPr>
        <w:spacing w:before="0" w:beforeAutospacing="0" w:after="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Strengthened technical and institutional capacity to make risk informed decision</w:t>
      </w:r>
    </w:p>
    <w:p w14:paraId="37F29267" w14:textId="3CABBF48" w:rsidR="00E5395D" w:rsidRDefault="00E5395D" w:rsidP="00E5395D">
      <w:pPr>
        <w:pStyle w:val="ListParagraph"/>
        <w:numPr>
          <w:ilvl w:val="0"/>
          <w:numId w:val="1"/>
        </w:numPr>
        <w:spacing w:before="0" w:beforeAutospacing="0" w:after="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Innovative, tailored</w:t>
      </w:r>
      <w:r w:rsidR="005A21A7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and scalable adaptation solutions that preserve the environment, cultural practices and enable social and economic growth</w:t>
      </w:r>
    </w:p>
    <w:p w14:paraId="39A5760A" w14:textId="74736A22" w:rsidR="00E5395D" w:rsidRDefault="00E5395D" w:rsidP="00E5395D">
      <w:pPr>
        <w:pStyle w:val="ListParagraph"/>
        <w:numPr>
          <w:ilvl w:val="0"/>
          <w:numId w:val="1"/>
        </w:numPr>
        <w:spacing w:before="0" w:beforeAutospacing="0" w:after="16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Strengthened regional partnerships and cooperation through the development of a community of practice around coastal risk management that strengthens the sustainability of national expertise and promotes country to country knowledge sharing.</w:t>
      </w:r>
    </w:p>
    <w:p w14:paraId="1D7D9A86" w14:textId="77777777" w:rsidR="00C43EAE" w:rsidRDefault="00C43EAE" w:rsidP="00D51350">
      <w:pPr>
        <w:rPr>
          <w:rFonts w:ascii="Times New Roman" w:hAnsi="Times New Roman" w:cs="Times New Roman"/>
        </w:rPr>
      </w:pPr>
    </w:p>
    <w:p w14:paraId="7CC9DCB9" w14:textId="77777777" w:rsidR="00DB027F" w:rsidRPr="00DB027F" w:rsidRDefault="00DB027F">
      <w:pPr>
        <w:rPr>
          <w:rFonts w:ascii="Times New Roman" w:hAnsi="Times New Roman" w:cs="Times New Roman"/>
        </w:rPr>
      </w:pPr>
    </w:p>
    <w:sectPr w:rsidR="00DB027F" w:rsidRPr="00DB027F" w:rsidSect="00E222F0"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91DAA"/>
    <w:multiLevelType w:val="multilevel"/>
    <w:tmpl w:val="7228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65454FB"/>
    <w:multiLevelType w:val="multilevel"/>
    <w:tmpl w:val="C6B6C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A9"/>
    <w:rsid w:val="000553A5"/>
    <w:rsid w:val="00062DAB"/>
    <w:rsid w:val="001E0A60"/>
    <w:rsid w:val="002202DA"/>
    <w:rsid w:val="0034466B"/>
    <w:rsid w:val="00393694"/>
    <w:rsid w:val="003A2F00"/>
    <w:rsid w:val="003F226C"/>
    <w:rsid w:val="004A6386"/>
    <w:rsid w:val="005A21A7"/>
    <w:rsid w:val="006B375D"/>
    <w:rsid w:val="00732184"/>
    <w:rsid w:val="008749E2"/>
    <w:rsid w:val="008A77D8"/>
    <w:rsid w:val="009570B0"/>
    <w:rsid w:val="00A0667D"/>
    <w:rsid w:val="00A575A6"/>
    <w:rsid w:val="00AD1399"/>
    <w:rsid w:val="00BE7F49"/>
    <w:rsid w:val="00C43EAE"/>
    <w:rsid w:val="00C87A9A"/>
    <w:rsid w:val="00D51350"/>
    <w:rsid w:val="00DA45B5"/>
    <w:rsid w:val="00DB027F"/>
    <w:rsid w:val="00DB3AB9"/>
    <w:rsid w:val="00DF7B57"/>
    <w:rsid w:val="00E222F0"/>
    <w:rsid w:val="00E5395D"/>
    <w:rsid w:val="00EC35A9"/>
    <w:rsid w:val="00F7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BB40C"/>
  <w15:chartTrackingRefBased/>
  <w15:docId w15:val="{2082C736-7FFB-EA4D-A585-0415DAED2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27F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B027F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character" w:styleId="Hyperlink">
    <w:name w:val="Hyperlink"/>
    <w:basedOn w:val="DefaultParagraphFont"/>
    <w:uiPriority w:val="99"/>
    <w:unhideWhenUsed/>
    <w:rsid w:val="00DB027F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B027F"/>
  </w:style>
  <w:style w:type="table" w:styleId="TableGrid">
    <w:name w:val="Table Grid"/>
    <w:basedOn w:val="TableNormal"/>
    <w:uiPriority w:val="39"/>
    <w:rsid w:val="00874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3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Baker</dc:creator>
  <cp:keywords/>
  <dc:description/>
  <cp:lastModifiedBy>Clara Landeiro</cp:lastModifiedBy>
  <cp:revision>2</cp:revision>
  <dcterms:created xsi:type="dcterms:W3CDTF">2022-03-16T10:56:00Z</dcterms:created>
  <dcterms:modified xsi:type="dcterms:W3CDTF">2022-03-16T10:56:00Z</dcterms:modified>
</cp:coreProperties>
</file>