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ED54E" w14:textId="452B9256" w:rsidR="00C544BD" w:rsidRPr="00237692" w:rsidRDefault="00A531F3" w:rsidP="00B15731">
      <w:pPr>
        <w:pStyle w:val="Default"/>
        <w:jc w:val="center"/>
        <w:rPr>
          <w:rFonts w:ascii="Arial" w:hAnsi="Arial" w:cs="Arial"/>
          <w:b/>
          <w:bCs/>
          <w:color w:val="234060"/>
          <w:sz w:val="32"/>
          <w:szCs w:val="32"/>
        </w:rPr>
      </w:pPr>
      <w:r w:rsidRPr="00237692">
        <w:rPr>
          <w:rFonts w:ascii="Arial" w:hAnsi="Arial" w:cs="Arial"/>
          <w:b/>
          <w:bCs/>
          <w:color w:val="234060"/>
          <w:sz w:val="28"/>
          <w:szCs w:val="28"/>
        </w:rPr>
        <w:t xml:space="preserve">6.3 </w:t>
      </w:r>
      <w:r w:rsidR="00C544BD" w:rsidRPr="00237692">
        <w:rPr>
          <w:rFonts w:ascii="Arial" w:hAnsi="Arial" w:cs="Arial"/>
          <w:b/>
          <w:bCs/>
          <w:color w:val="234060"/>
          <w:sz w:val="28"/>
          <w:szCs w:val="28"/>
        </w:rPr>
        <w:t>Monitoring &amp; Evaluation (M&amp;E) Plan and Impact Statement Form</w:t>
      </w:r>
    </w:p>
    <w:p w14:paraId="1582F3CB" w14:textId="77777777" w:rsidR="00C544BD" w:rsidRDefault="00C544BD" w:rsidP="00C544BD">
      <w:pPr>
        <w:pStyle w:val="Default"/>
        <w:ind w:left="360"/>
        <w:rPr>
          <w:rFonts w:ascii="Calibri" w:hAnsi="Calibri" w:cs="Calibri"/>
          <w:sz w:val="22"/>
          <w:szCs w:val="22"/>
        </w:rPr>
      </w:pPr>
    </w:p>
    <w:p w14:paraId="51D808BC" w14:textId="77777777" w:rsidR="00C544BD" w:rsidRPr="006E43E5" w:rsidRDefault="00C544BD" w:rsidP="00C544BD">
      <w:pPr>
        <w:autoSpaceDE w:val="0"/>
        <w:autoSpaceDN w:val="0"/>
        <w:adjustRightInd w:val="0"/>
        <w:spacing w:after="0" w:line="240" w:lineRule="auto"/>
        <w:rPr>
          <w:rFonts w:ascii="Calibri" w:hAnsi="Calibri" w:cs="Calibri"/>
          <w:i/>
          <w:iCs/>
          <w:color w:val="000000"/>
          <w:sz w:val="18"/>
          <w:szCs w:val="18"/>
        </w:rPr>
      </w:pPr>
      <w:r w:rsidRPr="006E43E5">
        <w:rPr>
          <w:rFonts w:ascii="Calibri" w:hAnsi="Calibri" w:cs="Calibri"/>
          <w:b/>
          <w:bCs/>
          <w:i/>
          <w:iCs/>
          <w:color w:val="000000"/>
          <w:sz w:val="18"/>
          <w:szCs w:val="18"/>
        </w:rPr>
        <w:t xml:space="preserve">Objective of the M&amp;E Plan and Impact Statement: </w:t>
      </w:r>
    </w:p>
    <w:p w14:paraId="67D3F46E" w14:textId="77777777" w:rsidR="00C544BD" w:rsidRPr="006E43E5" w:rsidRDefault="00C544BD" w:rsidP="00C544BD">
      <w:pPr>
        <w:autoSpaceDE w:val="0"/>
        <w:autoSpaceDN w:val="0"/>
        <w:adjustRightInd w:val="0"/>
        <w:spacing w:after="0" w:line="240" w:lineRule="auto"/>
        <w:rPr>
          <w:rFonts w:ascii="Calibri" w:hAnsi="Calibri" w:cs="Calibri"/>
          <w:i/>
          <w:iCs/>
          <w:color w:val="000000"/>
          <w:sz w:val="18"/>
          <w:szCs w:val="18"/>
        </w:rPr>
      </w:pPr>
      <w:r w:rsidRPr="006E43E5">
        <w:rPr>
          <w:rFonts w:ascii="Calibri" w:hAnsi="Calibri" w:cs="Calibri"/>
          <w:i/>
          <w:iCs/>
          <w:color w:val="000000"/>
          <w:sz w:val="18"/>
          <w:szCs w:val="18"/>
        </w:rPr>
        <w:t xml:space="preserve">• The M&amp;E Plan and Impact Statement must be designed based on the technical assistance (TA) Response Plan and must enable the Implementer to complete the Closure Report at the end of the assistance. </w:t>
      </w:r>
    </w:p>
    <w:p w14:paraId="4954FB86" w14:textId="77777777" w:rsidR="00C544BD" w:rsidRPr="006E43E5" w:rsidRDefault="00C544BD" w:rsidP="00C544BD">
      <w:pPr>
        <w:autoSpaceDE w:val="0"/>
        <w:autoSpaceDN w:val="0"/>
        <w:adjustRightInd w:val="0"/>
        <w:spacing w:after="0" w:line="240" w:lineRule="auto"/>
        <w:rPr>
          <w:rFonts w:ascii="Calibri" w:hAnsi="Calibri" w:cs="Calibri"/>
          <w:i/>
          <w:iCs/>
          <w:color w:val="000000"/>
          <w:sz w:val="18"/>
          <w:szCs w:val="18"/>
        </w:rPr>
      </w:pPr>
    </w:p>
    <w:p w14:paraId="5C421C2B" w14:textId="77777777" w:rsidR="00C544BD" w:rsidRPr="006E43E5" w:rsidRDefault="00C544BD" w:rsidP="00C544BD">
      <w:pPr>
        <w:autoSpaceDE w:val="0"/>
        <w:autoSpaceDN w:val="0"/>
        <w:adjustRightInd w:val="0"/>
        <w:spacing w:after="0" w:line="240" w:lineRule="auto"/>
        <w:rPr>
          <w:rFonts w:ascii="Calibri" w:hAnsi="Calibri" w:cs="Calibri"/>
          <w:i/>
          <w:iCs/>
          <w:color w:val="000000"/>
          <w:sz w:val="18"/>
          <w:szCs w:val="18"/>
        </w:rPr>
      </w:pPr>
      <w:r w:rsidRPr="006E43E5">
        <w:rPr>
          <w:rFonts w:ascii="Calibri" w:hAnsi="Calibri" w:cs="Calibri"/>
          <w:b/>
          <w:bCs/>
          <w:i/>
          <w:iCs/>
          <w:color w:val="000000"/>
          <w:sz w:val="18"/>
          <w:szCs w:val="18"/>
        </w:rPr>
        <w:t xml:space="preserve">Process for filling in the template: </w:t>
      </w:r>
    </w:p>
    <w:p w14:paraId="6F3F8B50" w14:textId="77777777" w:rsidR="00C544BD" w:rsidRPr="006E43E5" w:rsidRDefault="00C544BD" w:rsidP="00C544BD">
      <w:pPr>
        <w:autoSpaceDE w:val="0"/>
        <w:autoSpaceDN w:val="0"/>
        <w:adjustRightInd w:val="0"/>
        <w:spacing w:after="30" w:line="240" w:lineRule="auto"/>
        <w:rPr>
          <w:rFonts w:ascii="Calibri" w:hAnsi="Calibri" w:cs="Calibri"/>
          <w:i/>
          <w:iCs/>
          <w:color w:val="000000"/>
          <w:sz w:val="18"/>
          <w:szCs w:val="18"/>
        </w:rPr>
      </w:pPr>
      <w:r w:rsidRPr="006E43E5">
        <w:rPr>
          <w:rFonts w:ascii="Calibri" w:hAnsi="Calibri" w:cs="Calibri"/>
          <w:i/>
          <w:iCs/>
          <w:color w:val="000000"/>
          <w:sz w:val="18"/>
          <w:szCs w:val="18"/>
        </w:rPr>
        <w:t xml:space="preserve">• The Implementer must identify relevant quantitative and qualitative indicators as specified in the Closure Report. A sub-set of indicators to monitor and assess must be chosen among these. </w:t>
      </w:r>
    </w:p>
    <w:p w14:paraId="73D07944" w14:textId="77777777" w:rsidR="00C544BD" w:rsidRPr="006E43E5" w:rsidRDefault="00C544BD" w:rsidP="00C544BD">
      <w:pPr>
        <w:autoSpaceDE w:val="0"/>
        <w:autoSpaceDN w:val="0"/>
        <w:adjustRightInd w:val="0"/>
        <w:spacing w:after="30" w:line="240" w:lineRule="auto"/>
        <w:rPr>
          <w:rFonts w:ascii="Calibri" w:hAnsi="Calibri" w:cs="Calibri"/>
          <w:i/>
          <w:iCs/>
          <w:color w:val="000000"/>
          <w:sz w:val="18"/>
          <w:szCs w:val="18"/>
        </w:rPr>
      </w:pPr>
      <w:r w:rsidRPr="006E43E5">
        <w:rPr>
          <w:rFonts w:ascii="Calibri" w:hAnsi="Calibri" w:cs="Calibri"/>
          <w:i/>
          <w:iCs/>
          <w:color w:val="000000"/>
          <w:sz w:val="18"/>
          <w:szCs w:val="18"/>
        </w:rPr>
        <w:t xml:space="preserve">• The Implementer may also identify other specific, measurable, achievable, relevant, and time-bound indicators suitable to monitor Activities, Outputs and anticipated Outcomes from the TA and add to the M&amp;E Plan and Impact Statement. </w:t>
      </w:r>
    </w:p>
    <w:p w14:paraId="1FC913A0" w14:textId="77777777" w:rsidR="00C544BD" w:rsidRPr="006E43E5" w:rsidRDefault="00C544BD" w:rsidP="00C544BD">
      <w:pPr>
        <w:autoSpaceDE w:val="0"/>
        <w:autoSpaceDN w:val="0"/>
        <w:adjustRightInd w:val="0"/>
        <w:spacing w:after="0" w:line="240" w:lineRule="auto"/>
        <w:rPr>
          <w:rFonts w:ascii="Calibri" w:hAnsi="Calibri" w:cs="Calibri"/>
          <w:i/>
          <w:iCs/>
          <w:color w:val="000000"/>
          <w:sz w:val="18"/>
          <w:szCs w:val="18"/>
        </w:rPr>
      </w:pPr>
      <w:r w:rsidRPr="006E43E5">
        <w:rPr>
          <w:rFonts w:ascii="Calibri" w:hAnsi="Calibri" w:cs="Calibri"/>
          <w:i/>
          <w:iCs/>
          <w:color w:val="000000"/>
          <w:sz w:val="18"/>
          <w:szCs w:val="18"/>
        </w:rPr>
        <w:t xml:space="preserve">• During implementation of the TA or fast technical assistance (FTA), the Implementer must collect all relevant data as described in the M&amp;E Plan. Aggregated data on selected indicators as well as an updated version of the Impact Statement will be presented in the Closure Report at the end of the assistance. </w:t>
      </w:r>
    </w:p>
    <w:p w14:paraId="25E53E1D" w14:textId="77777777" w:rsidR="00C544BD" w:rsidRDefault="00C544BD" w:rsidP="00C544BD">
      <w:pPr>
        <w:pStyle w:val="Default"/>
        <w:ind w:left="360"/>
        <w:rPr>
          <w:rFonts w:ascii="Calibri" w:hAnsi="Calibri" w:cs="Calibri"/>
          <w:sz w:val="22"/>
          <w:szCs w:val="22"/>
        </w:rPr>
      </w:pPr>
    </w:p>
    <w:p w14:paraId="32E9DD85" w14:textId="7056BBC1" w:rsidR="00C544BD" w:rsidRPr="00C544BD" w:rsidRDefault="00C544BD" w:rsidP="00C544BD">
      <w:pPr>
        <w:pStyle w:val="Default"/>
        <w:ind w:left="360"/>
        <w:jc w:val="center"/>
        <w:rPr>
          <w:rFonts w:ascii="Calibri" w:hAnsi="Calibri" w:cs="Calibri"/>
          <w:b/>
          <w:bCs/>
          <w:sz w:val="32"/>
          <w:szCs w:val="32"/>
        </w:rPr>
      </w:pPr>
      <w:r w:rsidRPr="00C544BD">
        <w:rPr>
          <w:rFonts w:ascii="Calibri" w:hAnsi="Calibri" w:cs="Calibri"/>
          <w:b/>
          <w:bCs/>
          <w:sz w:val="32"/>
          <w:szCs w:val="32"/>
        </w:rPr>
        <w:t>Basic Information</w:t>
      </w:r>
    </w:p>
    <w:p w14:paraId="208A4326" w14:textId="070AC8A2" w:rsidR="00C544BD" w:rsidRDefault="00C544BD"/>
    <w:tbl>
      <w:tblPr>
        <w:tblW w:w="0" w:type="auto"/>
        <w:tblInd w:w="-108" w:type="dxa"/>
        <w:tblBorders>
          <w:top w:val="nil"/>
          <w:left w:val="nil"/>
          <w:bottom w:val="nil"/>
          <w:right w:val="nil"/>
        </w:tblBorders>
        <w:tblLayout w:type="fixed"/>
        <w:tblLook w:val="0000" w:firstRow="0" w:lastRow="0" w:firstColumn="0" w:lastColumn="0" w:noHBand="0" w:noVBand="0"/>
      </w:tblPr>
      <w:tblGrid>
        <w:gridCol w:w="3405"/>
      </w:tblGrid>
      <w:tr w:rsidR="00C544BD" w:rsidRPr="00C544BD" w14:paraId="6549DC54" w14:textId="77777777" w:rsidTr="00BF5BE6">
        <w:trPr>
          <w:trHeight w:val="99"/>
        </w:trPr>
        <w:tc>
          <w:tcPr>
            <w:tcW w:w="3405" w:type="dxa"/>
          </w:tcPr>
          <w:p w14:paraId="079E770D" w14:textId="6FB73E4E" w:rsidR="00C544BD" w:rsidRPr="00C544BD" w:rsidRDefault="00C544BD" w:rsidP="00BF5BE6">
            <w:pPr>
              <w:autoSpaceDE w:val="0"/>
              <w:autoSpaceDN w:val="0"/>
              <w:adjustRightInd w:val="0"/>
              <w:spacing w:after="0" w:line="240" w:lineRule="auto"/>
              <w:rPr>
                <w:rFonts w:ascii="Calibri" w:hAnsi="Calibri" w:cs="Calibri"/>
                <w:color w:val="000000"/>
                <w:sz w:val="20"/>
                <w:szCs w:val="20"/>
              </w:rPr>
            </w:pPr>
          </w:p>
        </w:tc>
      </w:tr>
    </w:tbl>
    <w:tbl>
      <w:tblPr>
        <w:tblStyle w:val="TableGrid"/>
        <w:tblW w:w="0" w:type="auto"/>
        <w:tblLook w:val="04A0" w:firstRow="1" w:lastRow="0" w:firstColumn="1" w:lastColumn="0" w:noHBand="0" w:noVBand="1"/>
      </w:tblPr>
      <w:tblGrid>
        <w:gridCol w:w="4508"/>
        <w:gridCol w:w="4508"/>
      </w:tblGrid>
      <w:tr w:rsidR="00C544BD" w14:paraId="4F39F462" w14:textId="77777777" w:rsidTr="00C544BD">
        <w:tc>
          <w:tcPr>
            <w:tcW w:w="4508" w:type="dxa"/>
          </w:tcPr>
          <w:p w14:paraId="7B8023D4" w14:textId="63DE37A9" w:rsidR="00C544BD" w:rsidRDefault="00C544BD" w:rsidP="00C544BD">
            <w:pPr>
              <w:spacing w:before="120" w:after="120"/>
            </w:pPr>
            <w:r w:rsidRPr="00C544BD">
              <w:rPr>
                <w:rFonts w:ascii="Calibri" w:hAnsi="Calibri" w:cs="Calibri"/>
                <w:color w:val="000000"/>
                <w:sz w:val="20"/>
                <w:szCs w:val="20"/>
              </w:rPr>
              <w:t>Title of Response Plan</w:t>
            </w:r>
          </w:p>
        </w:tc>
        <w:tc>
          <w:tcPr>
            <w:tcW w:w="4508" w:type="dxa"/>
            <w:shd w:val="clear" w:color="auto" w:fill="D9E2F3" w:themeFill="accent1" w:themeFillTint="33"/>
          </w:tcPr>
          <w:p w14:paraId="7DEB8428" w14:textId="7270A650" w:rsidR="00C544BD" w:rsidRPr="00B15731" w:rsidRDefault="00B15731" w:rsidP="00C544BD">
            <w:pPr>
              <w:spacing w:before="120" w:after="120"/>
              <w:rPr>
                <w:sz w:val="20"/>
                <w:szCs w:val="2"/>
              </w:rPr>
            </w:pPr>
            <w:r w:rsidRPr="00B15731">
              <w:rPr>
                <w:rFonts w:cstheme="minorHAnsi"/>
                <w:sz w:val="20"/>
                <w:szCs w:val="2"/>
              </w:rPr>
              <w:t xml:space="preserve">Enabling Readiness for Up Scaling Investments in Building Energy Efficiency for Achieving NDC Goals in Thailand  </w:t>
            </w:r>
          </w:p>
        </w:tc>
      </w:tr>
      <w:tr w:rsidR="00C544BD" w14:paraId="3FBB27A0" w14:textId="77777777" w:rsidTr="00C544BD">
        <w:tc>
          <w:tcPr>
            <w:tcW w:w="4508" w:type="dxa"/>
          </w:tcPr>
          <w:p w14:paraId="7D612532" w14:textId="54D26681" w:rsidR="00C544BD" w:rsidRDefault="00C544BD" w:rsidP="00C544BD">
            <w:pPr>
              <w:spacing w:before="120" w:after="120"/>
            </w:pPr>
            <w:r w:rsidRPr="00C544BD">
              <w:rPr>
                <w:rFonts w:ascii="Calibri" w:hAnsi="Calibri" w:cs="Calibri"/>
                <w:color w:val="000000"/>
                <w:sz w:val="20"/>
                <w:szCs w:val="20"/>
              </w:rPr>
              <w:t xml:space="preserve">Technical assistance reference number </w:t>
            </w:r>
          </w:p>
        </w:tc>
        <w:tc>
          <w:tcPr>
            <w:tcW w:w="4508" w:type="dxa"/>
            <w:shd w:val="clear" w:color="auto" w:fill="D9E2F3" w:themeFill="accent1" w:themeFillTint="33"/>
          </w:tcPr>
          <w:p w14:paraId="12DCE7F4" w14:textId="3804A186" w:rsidR="00C544BD" w:rsidRPr="00B15731" w:rsidRDefault="00B15731" w:rsidP="00C544BD">
            <w:pPr>
              <w:spacing w:before="120" w:after="120"/>
              <w:rPr>
                <w:sz w:val="20"/>
                <w:szCs w:val="20"/>
              </w:rPr>
            </w:pPr>
            <w:r w:rsidRPr="00B15731">
              <w:rPr>
                <w:rFonts w:cstheme="minorHAnsi"/>
                <w:sz w:val="20"/>
                <w:szCs w:val="20"/>
              </w:rPr>
              <w:t>UNEP/2020/252 (4700019197)</w:t>
            </w:r>
          </w:p>
        </w:tc>
      </w:tr>
      <w:tr w:rsidR="00C544BD" w14:paraId="458F42E9" w14:textId="77777777" w:rsidTr="00C544BD">
        <w:tc>
          <w:tcPr>
            <w:tcW w:w="4508" w:type="dxa"/>
          </w:tcPr>
          <w:p w14:paraId="09EBF082" w14:textId="52B332A0" w:rsidR="00C544BD" w:rsidRDefault="00C544BD" w:rsidP="00C544BD">
            <w:pPr>
              <w:spacing w:before="120" w:after="120"/>
            </w:pPr>
            <w:r w:rsidRPr="00C544BD">
              <w:rPr>
                <w:rFonts w:ascii="Calibri" w:hAnsi="Calibri" w:cs="Calibri"/>
                <w:color w:val="000000"/>
                <w:sz w:val="20"/>
                <w:szCs w:val="20"/>
              </w:rPr>
              <w:t>Country/ countries</w:t>
            </w:r>
          </w:p>
        </w:tc>
        <w:tc>
          <w:tcPr>
            <w:tcW w:w="4508" w:type="dxa"/>
            <w:shd w:val="clear" w:color="auto" w:fill="D9E2F3" w:themeFill="accent1" w:themeFillTint="33"/>
          </w:tcPr>
          <w:p w14:paraId="3B76545D" w14:textId="14EDA2BE" w:rsidR="00C544BD" w:rsidRDefault="00B15731" w:rsidP="00C544BD">
            <w:pPr>
              <w:spacing w:before="120" w:after="120"/>
            </w:pPr>
            <w:r>
              <w:t>Thailand</w:t>
            </w:r>
          </w:p>
        </w:tc>
      </w:tr>
      <w:tr w:rsidR="00C544BD" w14:paraId="49DDF2BB" w14:textId="77777777" w:rsidTr="00C544BD">
        <w:tc>
          <w:tcPr>
            <w:tcW w:w="4508" w:type="dxa"/>
          </w:tcPr>
          <w:p w14:paraId="2406B74B" w14:textId="134C7DC7" w:rsidR="00C544BD" w:rsidRDefault="00C544BD" w:rsidP="00C544BD">
            <w:pPr>
              <w:spacing w:before="120" w:after="120"/>
            </w:pPr>
            <w:r w:rsidRPr="00C544BD">
              <w:rPr>
                <w:rFonts w:ascii="Calibri" w:hAnsi="Calibri" w:cs="Calibri"/>
                <w:color w:val="000000"/>
                <w:sz w:val="20"/>
                <w:szCs w:val="20"/>
              </w:rPr>
              <w:t>NDE focal point and organization</w:t>
            </w:r>
          </w:p>
        </w:tc>
        <w:tc>
          <w:tcPr>
            <w:tcW w:w="4508" w:type="dxa"/>
            <w:shd w:val="clear" w:color="auto" w:fill="D9E2F3" w:themeFill="accent1" w:themeFillTint="33"/>
          </w:tcPr>
          <w:p w14:paraId="30B27923" w14:textId="6B64D8E4" w:rsidR="00B15731" w:rsidRDefault="00B15731" w:rsidP="00B15731">
            <w:pPr>
              <w:spacing w:before="120"/>
            </w:pPr>
            <w:r w:rsidRPr="006F63D7">
              <w:rPr>
                <w:sz w:val="20"/>
                <w:szCs w:val="20"/>
              </w:rPr>
              <w:t>Ms. Oranuch Ratana</w:t>
            </w:r>
            <w:r>
              <w:rPr>
                <w:sz w:val="20"/>
                <w:szCs w:val="20"/>
              </w:rPr>
              <w:t xml:space="preserve">, </w:t>
            </w:r>
            <w:r w:rsidRPr="006F63D7">
              <w:rPr>
                <w:sz w:val="20"/>
                <w:szCs w:val="20"/>
              </w:rPr>
              <w:t>Office of National Higher Education Science Research and Innovation Policy Council (NXPO)</w:t>
            </w:r>
          </w:p>
        </w:tc>
      </w:tr>
      <w:tr w:rsidR="00C544BD" w14:paraId="796C46C8" w14:textId="77777777" w:rsidTr="00C544BD">
        <w:tc>
          <w:tcPr>
            <w:tcW w:w="4508" w:type="dxa"/>
          </w:tcPr>
          <w:p w14:paraId="62B5C08E" w14:textId="3646FDAB" w:rsidR="00C544BD" w:rsidRDefault="00C544BD" w:rsidP="00C544BD">
            <w:pPr>
              <w:spacing w:before="120" w:after="120"/>
            </w:pPr>
            <w:r w:rsidRPr="00C544BD">
              <w:rPr>
                <w:rFonts w:ascii="Calibri" w:hAnsi="Calibri" w:cs="Calibri"/>
                <w:color w:val="000000"/>
                <w:sz w:val="20"/>
                <w:szCs w:val="20"/>
              </w:rPr>
              <w:t xml:space="preserve">Sector(s) addressed </w:t>
            </w:r>
          </w:p>
        </w:tc>
        <w:tc>
          <w:tcPr>
            <w:tcW w:w="4508" w:type="dxa"/>
            <w:shd w:val="clear" w:color="auto" w:fill="D9E2F3" w:themeFill="accent1" w:themeFillTint="33"/>
          </w:tcPr>
          <w:p w14:paraId="71A8F282" w14:textId="2AE10826" w:rsidR="00C544BD" w:rsidRDefault="00B15731" w:rsidP="00C544BD">
            <w:pPr>
              <w:spacing w:before="120" w:after="120"/>
            </w:pPr>
            <w:r w:rsidRPr="00B15731">
              <w:rPr>
                <w:sz w:val="20"/>
                <w:szCs w:val="20"/>
                <w:lang w:val="en-US"/>
              </w:rPr>
              <w:t>Building Sector - offices, hotels, department stores, medical centers and condominiums</w:t>
            </w:r>
          </w:p>
        </w:tc>
      </w:tr>
      <w:tr w:rsidR="00C544BD" w14:paraId="3DD6B778" w14:textId="77777777" w:rsidTr="00C544BD">
        <w:tc>
          <w:tcPr>
            <w:tcW w:w="4508" w:type="dxa"/>
          </w:tcPr>
          <w:p w14:paraId="49E453AD" w14:textId="540963D9" w:rsidR="00C544BD" w:rsidRDefault="00C544BD" w:rsidP="00C544BD">
            <w:pPr>
              <w:spacing w:before="120" w:after="120"/>
            </w:pPr>
            <w:r w:rsidRPr="00C544BD">
              <w:rPr>
                <w:rFonts w:ascii="Calibri" w:hAnsi="Calibri" w:cs="Calibri"/>
                <w:color w:val="000000"/>
                <w:sz w:val="20"/>
                <w:szCs w:val="20"/>
              </w:rPr>
              <w:t>Technologies supported</w:t>
            </w:r>
          </w:p>
        </w:tc>
        <w:tc>
          <w:tcPr>
            <w:tcW w:w="4508" w:type="dxa"/>
            <w:shd w:val="clear" w:color="auto" w:fill="D9E2F3" w:themeFill="accent1" w:themeFillTint="33"/>
          </w:tcPr>
          <w:p w14:paraId="576AF8C6" w14:textId="4CA46A48" w:rsidR="00C544BD" w:rsidRPr="00B15731" w:rsidRDefault="00B15731" w:rsidP="00C544BD">
            <w:pPr>
              <w:spacing w:before="120" w:after="120"/>
              <w:rPr>
                <w:sz w:val="20"/>
                <w:szCs w:val="24"/>
              </w:rPr>
            </w:pPr>
            <w:r>
              <w:rPr>
                <w:sz w:val="20"/>
                <w:szCs w:val="24"/>
              </w:rPr>
              <w:t>Energy Efficiency and Renewable Energy technologies</w:t>
            </w:r>
          </w:p>
        </w:tc>
      </w:tr>
      <w:tr w:rsidR="00C544BD" w14:paraId="673EADFF" w14:textId="77777777" w:rsidTr="00C544BD">
        <w:tc>
          <w:tcPr>
            <w:tcW w:w="4508" w:type="dxa"/>
          </w:tcPr>
          <w:p w14:paraId="714953E0" w14:textId="0922ED59" w:rsidR="00C544BD" w:rsidRDefault="00C544BD" w:rsidP="00C544BD">
            <w:pPr>
              <w:spacing w:before="120" w:after="120"/>
            </w:pPr>
            <w:r w:rsidRPr="00C544BD">
              <w:rPr>
                <w:rFonts w:ascii="Calibri" w:hAnsi="Calibri" w:cs="Calibri"/>
                <w:color w:val="000000"/>
                <w:sz w:val="20"/>
                <w:szCs w:val="20"/>
              </w:rPr>
              <w:t>Implementation period and total duration</w:t>
            </w:r>
          </w:p>
        </w:tc>
        <w:tc>
          <w:tcPr>
            <w:tcW w:w="4508" w:type="dxa"/>
            <w:shd w:val="clear" w:color="auto" w:fill="D9E2F3" w:themeFill="accent1" w:themeFillTint="33"/>
          </w:tcPr>
          <w:p w14:paraId="2523BE0D" w14:textId="2B643C4F" w:rsidR="00C544BD" w:rsidRPr="00B15731" w:rsidRDefault="00B15731" w:rsidP="00C544BD">
            <w:pPr>
              <w:spacing w:before="120" w:after="120"/>
              <w:rPr>
                <w:sz w:val="20"/>
                <w:szCs w:val="24"/>
              </w:rPr>
            </w:pPr>
            <w:r>
              <w:rPr>
                <w:sz w:val="20"/>
                <w:szCs w:val="24"/>
              </w:rPr>
              <w:t>September 2020 to Au</w:t>
            </w:r>
            <w:r w:rsidR="00C41FEF">
              <w:rPr>
                <w:sz w:val="20"/>
                <w:szCs w:val="24"/>
              </w:rPr>
              <w:t>gust 2021 (12 months duration)</w:t>
            </w:r>
          </w:p>
        </w:tc>
      </w:tr>
      <w:tr w:rsidR="00C544BD" w14:paraId="326A3A5A" w14:textId="77777777" w:rsidTr="00C544BD">
        <w:tc>
          <w:tcPr>
            <w:tcW w:w="4508" w:type="dxa"/>
          </w:tcPr>
          <w:p w14:paraId="3EAC1FF3" w14:textId="2480B9F1" w:rsidR="00C544BD" w:rsidRDefault="00C544BD" w:rsidP="00C544BD">
            <w:pPr>
              <w:spacing w:before="120" w:after="120"/>
            </w:pPr>
            <w:r w:rsidRPr="00C544BD">
              <w:rPr>
                <w:rFonts w:ascii="Calibri" w:hAnsi="Calibri" w:cs="Calibri"/>
                <w:color w:val="000000"/>
                <w:sz w:val="20"/>
                <w:szCs w:val="20"/>
              </w:rPr>
              <w:t>Total budget for implementation</w:t>
            </w:r>
          </w:p>
        </w:tc>
        <w:tc>
          <w:tcPr>
            <w:tcW w:w="4508" w:type="dxa"/>
            <w:shd w:val="clear" w:color="auto" w:fill="D9E2F3" w:themeFill="accent1" w:themeFillTint="33"/>
          </w:tcPr>
          <w:p w14:paraId="6C527548" w14:textId="534E8624" w:rsidR="00C544BD" w:rsidRPr="00B15731" w:rsidRDefault="00C41FEF" w:rsidP="00C544BD">
            <w:pPr>
              <w:spacing w:before="120" w:after="120"/>
              <w:rPr>
                <w:sz w:val="20"/>
                <w:szCs w:val="24"/>
              </w:rPr>
            </w:pPr>
            <w:r>
              <w:rPr>
                <w:sz w:val="20"/>
                <w:szCs w:val="24"/>
              </w:rPr>
              <w:t>US$ 206,000</w:t>
            </w:r>
          </w:p>
        </w:tc>
      </w:tr>
      <w:tr w:rsidR="00C544BD" w14:paraId="7AF5F569" w14:textId="77777777" w:rsidTr="00C544BD">
        <w:tc>
          <w:tcPr>
            <w:tcW w:w="4508" w:type="dxa"/>
          </w:tcPr>
          <w:p w14:paraId="5D49765E" w14:textId="22353E63" w:rsidR="00C544BD" w:rsidRDefault="00C544BD" w:rsidP="00C544BD">
            <w:pPr>
              <w:spacing w:before="120" w:after="120"/>
            </w:pPr>
            <w:r w:rsidRPr="00C544BD">
              <w:rPr>
                <w:rFonts w:ascii="Calibri" w:hAnsi="Calibri" w:cs="Calibri"/>
                <w:color w:val="000000"/>
                <w:sz w:val="20"/>
                <w:szCs w:val="20"/>
              </w:rPr>
              <w:t>Designer of the Response Plan</w:t>
            </w:r>
          </w:p>
        </w:tc>
        <w:tc>
          <w:tcPr>
            <w:tcW w:w="4508" w:type="dxa"/>
            <w:shd w:val="clear" w:color="auto" w:fill="D9E2F3" w:themeFill="accent1" w:themeFillTint="33"/>
          </w:tcPr>
          <w:p w14:paraId="664EE00B" w14:textId="78E9D670" w:rsidR="00C544BD" w:rsidRPr="00B15731" w:rsidRDefault="00C41FEF" w:rsidP="00C544BD">
            <w:pPr>
              <w:spacing w:before="120" w:after="120"/>
              <w:rPr>
                <w:sz w:val="20"/>
                <w:szCs w:val="24"/>
              </w:rPr>
            </w:pPr>
            <w:r>
              <w:rPr>
                <w:sz w:val="20"/>
                <w:szCs w:val="24"/>
              </w:rPr>
              <w:t>International Institute for Energy Conservation (IIEC)</w:t>
            </w:r>
          </w:p>
        </w:tc>
      </w:tr>
      <w:tr w:rsidR="00C544BD" w14:paraId="36753B95" w14:textId="77777777" w:rsidTr="00C544BD">
        <w:tc>
          <w:tcPr>
            <w:tcW w:w="4508" w:type="dxa"/>
          </w:tcPr>
          <w:p w14:paraId="0F1BC4EC" w14:textId="5E6E6D87" w:rsidR="00C544BD" w:rsidRDefault="00C544BD" w:rsidP="00C544BD">
            <w:pPr>
              <w:spacing w:before="120" w:after="120"/>
            </w:pPr>
            <w:r w:rsidRPr="00C544BD">
              <w:rPr>
                <w:rFonts w:ascii="Calibri" w:hAnsi="Calibri" w:cs="Calibri"/>
                <w:color w:val="000000"/>
                <w:sz w:val="20"/>
                <w:szCs w:val="20"/>
              </w:rPr>
              <w:t>Implementer of Response Plan</w:t>
            </w:r>
          </w:p>
        </w:tc>
        <w:tc>
          <w:tcPr>
            <w:tcW w:w="4508" w:type="dxa"/>
            <w:shd w:val="clear" w:color="auto" w:fill="D9E2F3" w:themeFill="accent1" w:themeFillTint="33"/>
          </w:tcPr>
          <w:p w14:paraId="375E4476" w14:textId="0CB4A074" w:rsidR="00C544BD" w:rsidRPr="00B15731" w:rsidRDefault="00C41FEF" w:rsidP="00C544BD">
            <w:pPr>
              <w:spacing w:before="120" w:after="120"/>
              <w:rPr>
                <w:sz w:val="20"/>
                <w:szCs w:val="24"/>
              </w:rPr>
            </w:pPr>
            <w:r>
              <w:rPr>
                <w:sz w:val="20"/>
                <w:szCs w:val="24"/>
              </w:rPr>
              <w:t>International Institute for Energy Conservation (IIEC)</w:t>
            </w:r>
          </w:p>
        </w:tc>
      </w:tr>
    </w:tbl>
    <w:p w14:paraId="43BFB3A3" w14:textId="4A7B9F5E" w:rsidR="00C544BD" w:rsidRDefault="00C544BD"/>
    <w:tbl>
      <w:tblPr>
        <w:tblW w:w="0" w:type="auto"/>
        <w:tblInd w:w="-108" w:type="dxa"/>
        <w:tblBorders>
          <w:top w:val="nil"/>
          <w:left w:val="nil"/>
          <w:bottom w:val="nil"/>
          <w:right w:val="nil"/>
        </w:tblBorders>
        <w:tblLayout w:type="fixed"/>
        <w:tblLook w:val="0000" w:firstRow="0" w:lastRow="0" w:firstColumn="0" w:lastColumn="0" w:noHBand="0" w:noVBand="0"/>
      </w:tblPr>
      <w:tblGrid>
        <w:gridCol w:w="3405"/>
      </w:tblGrid>
      <w:tr w:rsidR="00C544BD" w:rsidRPr="00C544BD" w14:paraId="67C19784" w14:textId="77777777">
        <w:trPr>
          <w:trHeight w:val="99"/>
        </w:trPr>
        <w:tc>
          <w:tcPr>
            <w:tcW w:w="3405" w:type="dxa"/>
          </w:tcPr>
          <w:p w14:paraId="1515288E" w14:textId="692D6518" w:rsidR="00C544BD" w:rsidRPr="00C544BD" w:rsidRDefault="00C544BD" w:rsidP="00C544BD">
            <w:pPr>
              <w:autoSpaceDE w:val="0"/>
              <w:autoSpaceDN w:val="0"/>
              <w:adjustRightInd w:val="0"/>
              <w:spacing w:after="0" w:line="240" w:lineRule="auto"/>
              <w:rPr>
                <w:rFonts w:ascii="Calibri" w:hAnsi="Calibri" w:cs="Calibri"/>
                <w:color w:val="000000"/>
                <w:sz w:val="20"/>
                <w:szCs w:val="20"/>
              </w:rPr>
            </w:pPr>
          </w:p>
        </w:tc>
      </w:tr>
    </w:tbl>
    <w:p w14:paraId="6CD887C0" w14:textId="30F3FE55" w:rsidR="00844126" w:rsidRDefault="00844126">
      <w:r>
        <w:br w:type="page"/>
      </w:r>
    </w:p>
    <w:p w14:paraId="35F001E8" w14:textId="5385FD71" w:rsidR="00844126" w:rsidRDefault="00844126"/>
    <w:tbl>
      <w:tblPr>
        <w:tblStyle w:val="TableGrid"/>
        <w:tblW w:w="9584" w:type="dxa"/>
        <w:tblLayout w:type="fixed"/>
        <w:tblLook w:val="04A0" w:firstRow="1" w:lastRow="0" w:firstColumn="1" w:lastColumn="0" w:noHBand="0" w:noVBand="1"/>
      </w:tblPr>
      <w:tblGrid>
        <w:gridCol w:w="2065"/>
        <w:gridCol w:w="2121"/>
        <w:gridCol w:w="1569"/>
        <w:gridCol w:w="1890"/>
        <w:gridCol w:w="1939"/>
      </w:tblGrid>
      <w:tr w:rsidR="00B77E34" w:rsidRPr="007E0376" w14:paraId="0F619233" w14:textId="77777777" w:rsidTr="00A96C02">
        <w:trPr>
          <w:tblHeader/>
        </w:trPr>
        <w:tc>
          <w:tcPr>
            <w:tcW w:w="2065" w:type="dxa"/>
          </w:tcPr>
          <w:p w14:paraId="6645B10E" w14:textId="794F84F5" w:rsidR="00844126" w:rsidRPr="007E0376" w:rsidRDefault="00844126" w:rsidP="00844126">
            <w:pPr>
              <w:pStyle w:val="Default"/>
              <w:rPr>
                <w:b/>
                <w:bCs/>
              </w:rPr>
            </w:pPr>
            <w:r w:rsidRPr="007E0376">
              <w:rPr>
                <w:b/>
                <w:bCs/>
                <w:sz w:val="20"/>
                <w:szCs w:val="20"/>
              </w:rPr>
              <w:t xml:space="preserve">A) Outputs and Activities as described in the Response Plan </w:t>
            </w:r>
          </w:p>
        </w:tc>
        <w:tc>
          <w:tcPr>
            <w:tcW w:w="2121" w:type="dxa"/>
          </w:tcPr>
          <w:p w14:paraId="530EC3CC" w14:textId="77777777" w:rsidR="00844126" w:rsidRPr="007E0376" w:rsidRDefault="00844126" w:rsidP="00844126">
            <w:pPr>
              <w:pStyle w:val="Default"/>
              <w:rPr>
                <w:b/>
                <w:bCs/>
                <w:sz w:val="20"/>
                <w:szCs w:val="20"/>
              </w:rPr>
            </w:pPr>
            <w:r w:rsidRPr="007E0376">
              <w:rPr>
                <w:b/>
                <w:bCs/>
                <w:sz w:val="20"/>
                <w:szCs w:val="20"/>
              </w:rPr>
              <w:t xml:space="preserve">(B) Indicator </w:t>
            </w:r>
          </w:p>
          <w:p w14:paraId="1AA6477F" w14:textId="77777777" w:rsidR="00844126" w:rsidRPr="007E0376" w:rsidRDefault="00844126" w:rsidP="00844126">
            <w:pPr>
              <w:spacing w:before="120" w:after="120"/>
              <w:rPr>
                <w:b/>
                <w:bCs/>
              </w:rPr>
            </w:pPr>
          </w:p>
        </w:tc>
        <w:tc>
          <w:tcPr>
            <w:tcW w:w="1569" w:type="dxa"/>
          </w:tcPr>
          <w:p w14:paraId="261CCEC3" w14:textId="77777777" w:rsidR="00844126" w:rsidRPr="007E0376" w:rsidRDefault="00844126" w:rsidP="00844126">
            <w:pPr>
              <w:pStyle w:val="Default"/>
              <w:rPr>
                <w:b/>
                <w:bCs/>
                <w:sz w:val="20"/>
                <w:szCs w:val="20"/>
              </w:rPr>
            </w:pPr>
            <w:r w:rsidRPr="007E0376">
              <w:rPr>
                <w:b/>
                <w:bCs/>
                <w:sz w:val="20"/>
                <w:szCs w:val="20"/>
              </w:rPr>
              <w:t xml:space="preserve">(C) Expected results </w:t>
            </w:r>
          </w:p>
          <w:p w14:paraId="78118BB4" w14:textId="77777777" w:rsidR="00844126" w:rsidRPr="007E0376" w:rsidRDefault="00844126" w:rsidP="00844126">
            <w:pPr>
              <w:spacing w:before="120" w:after="120"/>
              <w:rPr>
                <w:b/>
                <w:bCs/>
              </w:rPr>
            </w:pPr>
          </w:p>
        </w:tc>
        <w:tc>
          <w:tcPr>
            <w:tcW w:w="1890" w:type="dxa"/>
          </w:tcPr>
          <w:p w14:paraId="5519CD02" w14:textId="77777777" w:rsidR="00844126" w:rsidRPr="007E0376" w:rsidRDefault="00844126" w:rsidP="00844126">
            <w:pPr>
              <w:pStyle w:val="Default"/>
              <w:rPr>
                <w:b/>
                <w:bCs/>
                <w:sz w:val="20"/>
                <w:szCs w:val="20"/>
              </w:rPr>
            </w:pPr>
            <w:r w:rsidRPr="007E0376">
              <w:rPr>
                <w:b/>
                <w:bCs/>
                <w:sz w:val="20"/>
                <w:szCs w:val="20"/>
              </w:rPr>
              <w:t xml:space="preserve">D) Method and frequency for data collection </w:t>
            </w:r>
          </w:p>
          <w:p w14:paraId="54297DE9" w14:textId="77777777" w:rsidR="00844126" w:rsidRPr="007E0376" w:rsidRDefault="00844126" w:rsidP="00844126">
            <w:pPr>
              <w:spacing w:before="120" w:after="120"/>
              <w:rPr>
                <w:b/>
                <w:bCs/>
              </w:rPr>
            </w:pPr>
          </w:p>
        </w:tc>
        <w:tc>
          <w:tcPr>
            <w:tcW w:w="1939" w:type="dxa"/>
          </w:tcPr>
          <w:p w14:paraId="68A3FF42" w14:textId="77777777" w:rsidR="00844126" w:rsidRPr="007E0376" w:rsidRDefault="00844126" w:rsidP="00844126">
            <w:pPr>
              <w:pStyle w:val="Default"/>
              <w:rPr>
                <w:b/>
                <w:bCs/>
                <w:sz w:val="20"/>
                <w:szCs w:val="20"/>
              </w:rPr>
            </w:pPr>
            <w:r w:rsidRPr="007E0376">
              <w:rPr>
                <w:b/>
                <w:bCs/>
                <w:sz w:val="20"/>
                <w:szCs w:val="20"/>
              </w:rPr>
              <w:t xml:space="preserve">(F) Comments </w:t>
            </w:r>
          </w:p>
          <w:p w14:paraId="56D047DB" w14:textId="77777777" w:rsidR="00844126" w:rsidRPr="007E0376" w:rsidRDefault="00844126" w:rsidP="00844126">
            <w:pPr>
              <w:spacing w:before="120" w:after="120"/>
              <w:rPr>
                <w:b/>
                <w:bCs/>
              </w:rPr>
            </w:pPr>
          </w:p>
        </w:tc>
      </w:tr>
      <w:tr w:rsidR="00AD5E87" w:rsidRPr="00AD5E87" w14:paraId="131365A1" w14:textId="77777777" w:rsidTr="00A96C02">
        <w:tc>
          <w:tcPr>
            <w:tcW w:w="2065" w:type="dxa"/>
            <w:shd w:val="clear" w:color="auto" w:fill="FFF2CC" w:themeFill="accent4" w:themeFillTint="33"/>
          </w:tcPr>
          <w:p w14:paraId="4FC59381" w14:textId="1002AC07" w:rsidR="00844126" w:rsidRPr="00AD5E87" w:rsidRDefault="00172762" w:rsidP="00844126">
            <w:pPr>
              <w:spacing w:before="120" w:after="120"/>
              <w:rPr>
                <w:sz w:val="18"/>
                <w:szCs w:val="18"/>
              </w:rPr>
            </w:pPr>
            <w:r w:rsidRPr="00AD5E87">
              <w:rPr>
                <w:rFonts w:ascii="Calibri-Bold" w:hAnsi="Calibri-Bold" w:cs="Browallia New"/>
                <w:sz w:val="18"/>
                <w:szCs w:val="22"/>
              </w:rPr>
              <w:t>Output</w:t>
            </w:r>
            <w:r w:rsidRPr="00AD5E87">
              <w:rPr>
                <w:rFonts w:ascii="Calibri-Bold" w:hAnsi="Calibri-Bold" w:cs="Calibri-Bold"/>
                <w:sz w:val="18"/>
                <w:szCs w:val="18"/>
              </w:rPr>
              <w:t xml:space="preserve"> </w:t>
            </w:r>
            <w:r w:rsidR="00C44F8E" w:rsidRPr="00AD5E87">
              <w:rPr>
                <w:rFonts w:ascii="Calibri-Bold" w:hAnsi="Calibri-Bold" w:cs="Calibri-Bold"/>
                <w:sz w:val="18"/>
                <w:szCs w:val="18"/>
              </w:rPr>
              <w:t>1: Energy and GHG baselines and consumption benchmarks in place for each building type of new, yet to be constructed buildings, covered in BEC.</w:t>
            </w:r>
          </w:p>
        </w:tc>
        <w:tc>
          <w:tcPr>
            <w:tcW w:w="2121" w:type="dxa"/>
            <w:shd w:val="clear" w:color="auto" w:fill="FFF2CC" w:themeFill="accent4" w:themeFillTint="33"/>
          </w:tcPr>
          <w:p w14:paraId="69B8AB34" w14:textId="1C39A049" w:rsidR="00844126" w:rsidRPr="00AD5E87" w:rsidRDefault="00172762" w:rsidP="007A793E">
            <w:pPr>
              <w:spacing w:before="120" w:after="120"/>
              <w:rPr>
                <w:rFonts w:cstheme="minorHAnsi"/>
                <w:sz w:val="18"/>
                <w:szCs w:val="18"/>
              </w:rPr>
            </w:pPr>
            <w:r w:rsidRPr="00AD5E87">
              <w:rPr>
                <w:rFonts w:cstheme="minorHAnsi"/>
                <w:sz w:val="18"/>
                <w:szCs w:val="18"/>
              </w:rPr>
              <w:t>Number of baseline and benchmark database</w:t>
            </w:r>
          </w:p>
        </w:tc>
        <w:tc>
          <w:tcPr>
            <w:tcW w:w="1569" w:type="dxa"/>
            <w:shd w:val="clear" w:color="auto" w:fill="FFF2CC" w:themeFill="accent4" w:themeFillTint="33"/>
          </w:tcPr>
          <w:p w14:paraId="6C8CE6F2" w14:textId="43C4E5F9" w:rsidR="00844126" w:rsidRPr="00AD5E87" w:rsidRDefault="00172762" w:rsidP="00844126">
            <w:pPr>
              <w:spacing w:before="120" w:after="120"/>
              <w:rPr>
                <w:sz w:val="18"/>
                <w:szCs w:val="18"/>
              </w:rPr>
            </w:pPr>
            <w:r w:rsidRPr="00AD5E87">
              <w:rPr>
                <w:sz w:val="18"/>
                <w:szCs w:val="18"/>
              </w:rPr>
              <w:t>One baseline and benchmark database established (in Excel or modified existing database)</w:t>
            </w:r>
          </w:p>
        </w:tc>
        <w:tc>
          <w:tcPr>
            <w:tcW w:w="1890" w:type="dxa"/>
            <w:shd w:val="clear" w:color="auto" w:fill="FFF2CC" w:themeFill="accent4" w:themeFillTint="33"/>
          </w:tcPr>
          <w:p w14:paraId="7484B1D2" w14:textId="2B7AB389" w:rsidR="00844126" w:rsidRPr="00AD5E87" w:rsidRDefault="00172762" w:rsidP="00844126">
            <w:pPr>
              <w:spacing w:before="120" w:after="120"/>
              <w:rPr>
                <w:sz w:val="18"/>
                <w:szCs w:val="18"/>
              </w:rPr>
            </w:pPr>
            <w:r w:rsidRPr="00AD5E87">
              <w:rPr>
                <w:sz w:val="18"/>
                <w:szCs w:val="18"/>
              </w:rPr>
              <w:t>Data collected from project reports and meetings with key stakeholders</w:t>
            </w:r>
          </w:p>
        </w:tc>
        <w:tc>
          <w:tcPr>
            <w:tcW w:w="1939" w:type="dxa"/>
            <w:shd w:val="clear" w:color="auto" w:fill="FFF2CC" w:themeFill="accent4" w:themeFillTint="33"/>
          </w:tcPr>
          <w:p w14:paraId="0D0B0A36" w14:textId="77777777" w:rsidR="00844126" w:rsidRPr="00AD5E87" w:rsidRDefault="00A41EA8" w:rsidP="00844126">
            <w:pPr>
              <w:spacing w:before="120" w:after="120"/>
              <w:rPr>
                <w:sz w:val="18"/>
                <w:szCs w:val="18"/>
              </w:rPr>
            </w:pPr>
            <w:r w:rsidRPr="00AD5E87">
              <w:rPr>
                <w:sz w:val="18"/>
                <w:szCs w:val="18"/>
              </w:rPr>
              <w:t>Assumptions: all databases maintained by relevant stakeholders are accessible.</w:t>
            </w:r>
          </w:p>
          <w:p w14:paraId="7B936F56" w14:textId="77777777" w:rsidR="007A793E" w:rsidRPr="00AD5E87" w:rsidRDefault="007A793E" w:rsidP="00844126">
            <w:pPr>
              <w:spacing w:before="120" w:after="120"/>
              <w:rPr>
                <w:sz w:val="18"/>
                <w:szCs w:val="18"/>
              </w:rPr>
            </w:pPr>
          </w:p>
          <w:p w14:paraId="21A6B250" w14:textId="0A6E4484" w:rsidR="007A793E" w:rsidRPr="00AD5E87" w:rsidRDefault="007A793E" w:rsidP="00844126">
            <w:pPr>
              <w:spacing w:before="120" w:after="120"/>
              <w:rPr>
                <w:sz w:val="18"/>
                <w:szCs w:val="18"/>
              </w:rPr>
            </w:pPr>
            <w:r w:rsidRPr="00AD5E87">
              <w:rPr>
                <w:sz w:val="18"/>
                <w:szCs w:val="18"/>
              </w:rPr>
              <w:t>Challenges: Existing databases are in different technology platforms and formats, and streamlining is resource extensive.</w:t>
            </w:r>
          </w:p>
        </w:tc>
      </w:tr>
      <w:tr w:rsidR="009A74DF" w14:paraId="6BF81694" w14:textId="77777777" w:rsidTr="00A96C02">
        <w:tc>
          <w:tcPr>
            <w:tcW w:w="2065" w:type="dxa"/>
          </w:tcPr>
          <w:p w14:paraId="6A2E9EAA" w14:textId="23868A27" w:rsidR="009A74DF" w:rsidRPr="00522CE2" w:rsidRDefault="009A74DF" w:rsidP="00D600B8">
            <w:pPr>
              <w:spacing w:before="120" w:after="120"/>
              <w:rPr>
                <w:rFonts w:ascii="Calibri" w:hAnsi="Calibri" w:cs="Calibri"/>
                <w:sz w:val="18"/>
                <w:szCs w:val="22"/>
              </w:rPr>
            </w:pPr>
            <w:r w:rsidRPr="00522CE2">
              <w:rPr>
                <w:rFonts w:ascii="Calibri" w:hAnsi="Calibri" w:cs="Calibri"/>
                <w:sz w:val="18"/>
                <w:szCs w:val="22"/>
              </w:rPr>
              <w:t>1.1: Assessment of available existing energy consumption data and methodology for final energy baselines and benchmarks for five building types as defined in the EC.</w:t>
            </w:r>
          </w:p>
        </w:tc>
        <w:tc>
          <w:tcPr>
            <w:tcW w:w="2121" w:type="dxa"/>
          </w:tcPr>
          <w:p w14:paraId="1989BD0C" w14:textId="4833A0AA" w:rsidR="009A74DF" w:rsidRPr="00522CE2" w:rsidRDefault="004B7D2E" w:rsidP="002E6AF2">
            <w:pPr>
              <w:spacing w:before="120" w:after="120"/>
              <w:rPr>
                <w:rFonts w:ascii="Calibri" w:hAnsi="Calibri" w:cs="Calibri"/>
                <w:sz w:val="18"/>
                <w:szCs w:val="18"/>
              </w:rPr>
            </w:pPr>
            <w:r>
              <w:rPr>
                <w:rFonts w:ascii="Calibri" w:hAnsi="Calibri" w:cs="Calibri"/>
                <w:sz w:val="18"/>
                <w:szCs w:val="18"/>
              </w:rPr>
              <w:t xml:space="preserve">Result of assessment </w:t>
            </w:r>
            <w:r w:rsidR="002E6AF2">
              <w:rPr>
                <w:rFonts w:ascii="Calibri" w:hAnsi="Calibri" w:cs="Calibri"/>
                <w:sz w:val="18"/>
                <w:szCs w:val="18"/>
              </w:rPr>
              <w:t xml:space="preserve">and review </w:t>
            </w:r>
            <w:r w:rsidR="009A74DF" w:rsidRPr="00522CE2">
              <w:rPr>
                <w:rFonts w:ascii="Calibri" w:hAnsi="Calibri" w:cs="Calibri"/>
                <w:sz w:val="18"/>
                <w:szCs w:val="18"/>
              </w:rPr>
              <w:t xml:space="preserve">of </w:t>
            </w:r>
            <w:r w:rsidR="002E6AF2">
              <w:rPr>
                <w:rFonts w:ascii="Calibri" w:hAnsi="Calibri" w:cs="Calibri"/>
                <w:sz w:val="18"/>
                <w:szCs w:val="18"/>
              </w:rPr>
              <w:t xml:space="preserve">available </w:t>
            </w:r>
            <w:r w:rsidR="009A74DF" w:rsidRPr="00522CE2">
              <w:rPr>
                <w:rFonts w:ascii="Calibri" w:hAnsi="Calibri" w:cs="Calibri"/>
                <w:sz w:val="18"/>
                <w:szCs w:val="18"/>
              </w:rPr>
              <w:t xml:space="preserve">existing energy consumption data and methodology for energy baselines and benchmarks </w:t>
            </w:r>
          </w:p>
        </w:tc>
        <w:tc>
          <w:tcPr>
            <w:tcW w:w="1569" w:type="dxa"/>
          </w:tcPr>
          <w:p w14:paraId="54262E4E" w14:textId="4C6A29C0" w:rsidR="009A74DF" w:rsidRPr="00522CE2" w:rsidRDefault="009A74DF" w:rsidP="00D600B8">
            <w:pPr>
              <w:spacing w:before="120" w:after="120"/>
              <w:rPr>
                <w:rFonts w:ascii="Calibri" w:hAnsi="Calibri" w:cs="Calibri"/>
                <w:sz w:val="18"/>
                <w:szCs w:val="18"/>
              </w:rPr>
            </w:pPr>
            <w:r w:rsidRPr="00522CE2">
              <w:rPr>
                <w:rFonts w:ascii="Calibri" w:hAnsi="Calibri" w:cs="Calibri"/>
                <w:sz w:val="18"/>
                <w:szCs w:val="18"/>
              </w:rPr>
              <w:t>One assessment report</w:t>
            </w:r>
          </w:p>
        </w:tc>
        <w:tc>
          <w:tcPr>
            <w:tcW w:w="1890" w:type="dxa"/>
          </w:tcPr>
          <w:p w14:paraId="57CB41F9" w14:textId="559BA75B" w:rsidR="009A74DF" w:rsidRPr="00522CE2" w:rsidRDefault="009A74DF" w:rsidP="00844126">
            <w:pPr>
              <w:spacing w:before="120" w:after="120"/>
              <w:rPr>
                <w:rFonts w:ascii="Calibri" w:hAnsi="Calibri" w:cs="Calibri"/>
                <w:sz w:val="18"/>
                <w:szCs w:val="18"/>
              </w:rPr>
            </w:pPr>
            <w:r w:rsidRPr="00522CE2">
              <w:rPr>
                <w:rFonts w:ascii="Calibri" w:hAnsi="Calibri" w:cs="Calibri"/>
                <w:sz w:val="18"/>
                <w:szCs w:val="18"/>
              </w:rPr>
              <w:t>Data collected from project reports and meetings with key stakeholders</w:t>
            </w:r>
          </w:p>
        </w:tc>
        <w:tc>
          <w:tcPr>
            <w:tcW w:w="1939" w:type="dxa"/>
            <w:vMerge w:val="restart"/>
            <w:vAlign w:val="center"/>
          </w:tcPr>
          <w:p w14:paraId="2BAECCEB" w14:textId="6D1DCB5E" w:rsidR="009A74DF" w:rsidRDefault="009A74DF" w:rsidP="007A793E">
            <w:pPr>
              <w:spacing w:before="120" w:after="120"/>
            </w:pPr>
            <w:r>
              <w:rPr>
                <w:sz w:val="18"/>
                <w:szCs w:val="18"/>
              </w:rPr>
              <w:t>Assumptions: all existing reports and BEC databases maintained by relevant stakeholders are accessible.</w:t>
            </w:r>
          </w:p>
        </w:tc>
      </w:tr>
      <w:tr w:rsidR="009A74DF" w14:paraId="2E5EA3E0" w14:textId="77777777" w:rsidTr="00A96C02">
        <w:tc>
          <w:tcPr>
            <w:tcW w:w="2065" w:type="dxa"/>
          </w:tcPr>
          <w:p w14:paraId="27872959" w14:textId="12044791" w:rsidR="009A74DF" w:rsidRPr="00522CE2" w:rsidRDefault="009A74DF" w:rsidP="00F551D6">
            <w:pPr>
              <w:spacing w:before="120" w:after="120"/>
              <w:rPr>
                <w:rFonts w:ascii="Calibri" w:hAnsi="Calibri" w:cs="Calibri"/>
                <w:sz w:val="18"/>
                <w:szCs w:val="22"/>
              </w:rPr>
            </w:pPr>
            <w:r w:rsidRPr="00522CE2">
              <w:rPr>
                <w:rFonts w:ascii="Calibri" w:hAnsi="Calibri" w:cs="Calibri"/>
                <w:sz w:val="18"/>
                <w:szCs w:val="22"/>
              </w:rPr>
              <w:t>1.2: Energy and GHG emissions baselines and benchmarks for five building types</w:t>
            </w:r>
          </w:p>
        </w:tc>
        <w:tc>
          <w:tcPr>
            <w:tcW w:w="2121" w:type="dxa"/>
          </w:tcPr>
          <w:p w14:paraId="0749FF4C" w14:textId="2D77C52A" w:rsidR="009A74DF" w:rsidRPr="00522CE2" w:rsidRDefault="009A74DF" w:rsidP="00D1598A">
            <w:pPr>
              <w:spacing w:before="120" w:after="120"/>
              <w:rPr>
                <w:rFonts w:ascii="Calibri" w:hAnsi="Calibri" w:cs="Calibri"/>
              </w:rPr>
            </w:pPr>
            <w:r w:rsidRPr="00522CE2">
              <w:rPr>
                <w:rFonts w:ascii="Calibri" w:hAnsi="Calibri" w:cs="Calibri"/>
                <w:sz w:val="18"/>
                <w:szCs w:val="18"/>
              </w:rPr>
              <w:t>Development on energy and GHG emission baseline and benchmarks tool for subsequent simulation</w:t>
            </w:r>
          </w:p>
        </w:tc>
        <w:tc>
          <w:tcPr>
            <w:tcW w:w="1569" w:type="dxa"/>
          </w:tcPr>
          <w:p w14:paraId="3CD3B06B" w14:textId="2D94203F" w:rsidR="009A74DF" w:rsidRPr="00522CE2" w:rsidRDefault="009A74DF" w:rsidP="00F551D6">
            <w:pPr>
              <w:spacing w:before="120" w:after="120"/>
              <w:rPr>
                <w:rFonts w:ascii="Calibri" w:hAnsi="Calibri" w:cs="Calibri"/>
                <w:sz w:val="18"/>
                <w:szCs w:val="18"/>
              </w:rPr>
            </w:pPr>
            <w:r w:rsidRPr="00522CE2">
              <w:rPr>
                <w:rFonts w:ascii="Calibri" w:hAnsi="Calibri" w:cs="Calibri"/>
                <w:sz w:val="18"/>
                <w:szCs w:val="18"/>
              </w:rPr>
              <w:t xml:space="preserve">One modified of existing database and benchmarks in Excel/or Access database format </w:t>
            </w:r>
          </w:p>
        </w:tc>
        <w:tc>
          <w:tcPr>
            <w:tcW w:w="1890" w:type="dxa"/>
          </w:tcPr>
          <w:p w14:paraId="2023E059" w14:textId="597D3C13" w:rsidR="009A74DF" w:rsidRPr="00522CE2" w:rsidRDefault="00882CD9" w:rsidP="00B6533E">
            <w:pPr>
              <w:spacing w:before="120" w:after="120"/>
              <w:rPr>
                <w:rFonts w:ascii="Calibri" w:hAnsi="Calibri" w:cs="Calibri"/>
              </w:rPr>
            </w:pPr>
            <w:r>
              <w:rPr>
                <w:rFonts w:ascii="Calibri" w:hAnsi="Calibri" w:cs="Calibri"/>
                <w:sz w:val="18"/>
                <w:szCs w:val="18"/>
              </w:rPr>
              <w:t>Data collected of</w:t>
            </w:r>
            <w:r w:rsidR="009A74DF" w:rsidRPr="00522CE2">
              <w:rPr>
                <w:rFonts w:ascii="Calibri" w:hAnsi="Calibri" w:cs="Calibri"/>
                <w:sz w:val="18"/>
                <w:szCs w:val="18"/>
              </w:rPr>
              <w:t xml:space="preserve"> existing available data</w:t>
            </w:r>
            <w:r>
              <w:rPr>
                <w:rFonts w:ascii="Calibri" w:hAnsi="Calibri" w:cs="Calibri"/>
                <w:sz w:val="18"/>
                <w:szCs w:val="18"/>
              </w:rPr>
              <w:t>base</w:t>
            </w:r>
            <w:r w:rsidR="009A74DF" w:rsidRPr="00522CE2">
              <w:rPr>
                <w:rFonts w:ascii="Calibri" w:hAnsi="Calibri" w:cs="Calibri"/>
                <w:sz w:val="18"/>
                <w:szCs w:val="18"/>
              </w:rPr>
              <w:t xml:space="preserve"> </w:t>
            </w:r>
            <w:r>
              <w:rPr>
                <w:rFonts w:ascii="Calibri" w:hAnsi="Calibri" w:cs="Calibri"/>
                <w:sz w:val="18"/>
                <w:szCs w:val="18"/>
              </w:rPr>
              <w:t>and reports</w:t>
            </w:r>
            <w:r w:rsidR="009A74DF">
              <w:rPr>
                <w:rFonts w:ascii="Calibri" w:hAnsi="Calibri" w:cs="Calibri"/>
                <w:sz w:val="18"/>
                <w:szCs w:val="18"/>
              </w:rPr>
              <w:t>,</w:t>
            </w:r>
            <w:r w:rsidR="009A74DF" w:rsidRPr="00522CE2">
              <w:rPr>
                <w:rFonts w:ascii="Calibri" w:hAnsi="Calibri" w:cs="Calibri"/>
                <w:sz w:val="18"/>
                <w:szCs w:val="18"/>
              </w:rPr>
              <w:t xml:space="preserve"> and consolidated into a single database.</w:t>
            </w:r>
          </w:p>
        </w:tc>
        <w:tc>
          <w:tcPr>
            <w:tcW w:w="1939" w:type="dxa"/>
            <w:vMerge/>
          </w:tcPr>
          <w:p w14:paraId="1B628A41" w14:textId="435DB788" w:rsidR="009A74DF" w:rsidRDefault="009A74DF" w:rsidP="00F551D6">
            <w:pPr>
              <w:spacing w:before="120" w:after="120"/>
            </w:pPr>
          </w:p>
        </w:tc>
      </w:tr>
      <w:tr w:rsidR="009A74DF" w14:paraId="33C61302" w14:textId="77777777" w:rsidTr="00A96C02">
        <w:tc>
          <w:tcPr>
            <w:tcW w:w="2065" w:type="dxa"/>
          </w:tcPr>
          <w:p w14:paraId="7C291D98" w14:textId="5C16832A" w:rsidR="009A74DF" w:rsidRPr="00522CE2" w:rsidRDefault="009A74DF" w:rsidP="005366E7">
            <w:pPr>
              <w:spacing w:before="120" w:after="120"/>
              <w:rPr>
                <w:rFonts w:ascii="Calibri" w:hAnsi="Calibri" w:cs="Calibri"/>
                <w:sz w:val="18"/>
                <w:szCs w:val="22"/>
              </w:rPr>
            </w:pPr>
            <w:r w:rsidRPr="00522CE2">
              <w:rPr>
                <w:rFonts w:ascii="Calibri" w:hAnsi="Calibri" w:cs="Calibri"/>
                <w:sz w:val="18"/>
                <w:szCs w:val="22"/>
              </w:rPr>
              <w:t>1.3: A simulation and parametric run to design energy and GHG emissions benchmarks</w:t>
            </w:r>
          </w:p>
        </w:tc>
        <w:tc>
          <w:tcPr>
            <w:tcW w:w="2121" w:type="dxa"/>
          </w:tcPr>
          <w:p w14:paraId="506148DA" w14:textId="55236B36" w:rsidR="009A74DF" w:rsidRPr="00522CE2" w:rsidRDefault="009A74DF" w:rsidP="005366E7">
            <w:pPr>
              <w:spacing w:before="120" w:after="120"/>
              <w:rPr>
                <w:rFonts w:ascii="Calibri" w:hAnsi="Calibri" w:cs="Calibri"/>
              </w:rPr>
            </w:pPr>
            <w:r w:rsidRPr="00522CE2">
              <w:rPr>
                <w:rFonts w:ascii="Calibri" w:hAnsi="Calibri" w:cs="Calibri"/>
                <w:sz w:val="18"/>
                <w:szCs w:val="18"/>
              </w:rPr>
              <w:t>Recommendations on energy and GHG emissions baselines and benchmarks for the five building types finalized</w:t>
            </w:r>
          </w:p>
        </w:tc>
        <w:tc>
          <w:tcPr>
            <w:tcW w:w="1569" w:type="dxa"/>
          </w:tcPr>
          <w:p w14:paraId="3F34BE1E" w14:textId="15EA7819" w:rsidR="009A74DF" w:rsidRPr="00522CE2" w:rsidRDefault="009A74DF" w:rsidP="005366E7">
            <w:pPr>
              <w:spacing w:before="120" w:after="120"/>
              <w:rPr>
                <w:rFonts w:ascii="Calibri" w:hAnsi="Calibri" w:cs="Calibri"/>
                <w:sz w:val="18"/>
                <w:szCs w:val="18"/>
              </w:rPr>
            </w:pPr>
            <w:r w:rsidRPr="00522CE2">
              <w:rPr>
                <w:rFonts w:ascii="Calibri" w:hAnsi="Calibri" w:cs="Calibri"/>
                <w:sz w:val="18"/>
                <w:szCs w:val="18"/>
              </w:rPr>
              <w:t xml:space="preserve">One recommendation report </w:t>
            </w:r>
          </w:p>
        </w:tc>
        <w:tc>
          <w:tcPr>
            <w:tcW w:w="1890" w:type="dxa"/>
          </w:tcPr>
          <w:p w14:paraId="656E6674" w14:textId="5109D6FC" w:rsidR="009A74DF" w:rsidRPr="00522CE2" w:rsidRDefault="009A74DF" w:rsidP="005366E7">
            <w:pPr>
              <w:spacing w:before="120" w:after="120"/>
              <w:rPr>
                <w:rFonts w:ascii="Calibri" w:hAnsi="Calibri" w:cs="Calibri"/>
                <w:sz w:val="18"/>
                <w:szCs w:val="18"/>
              </w:rPr>
            </w:pPr>
            <w:r w:rsidRPr="00522CE2">
              <w:rPr>
                <w:rFonts w:ascii="Calibri" w:hAnsi="Calibri" w:cs="Calibri"/>
                <w:sz w:val="18"/>
                <w:szCs w:val="18"/>
                <w:lang w:val="en-US"/>
              </w:rPr>
              <w:t>Streamlined</w:t>
            </w:r>
            <w:r w:rsidRPr="00522CE2">
              <w:rPr>
                <w:rFonts w:ascii="Calibri" w:hAnsi="Calibri" w:cs="Calibri"/>
                <w:sz w:val="18"/>
                <w:szCs w:val="18"/>
              </w:rPr>
              <w:t xml:space="preserve"> data and utilized of existing BEC modelling software to carry out a simulation and parametric run to design energy and GHG emissions benchmarks</w:t>
            </w:r>
          </w:p>
        </w:tc>
        <w:tc>
          <w:tcPr>
            <w:tcW w:w="1939" w:type="dxa"/>
            <w:vMerge/>
          </w:tcPr>
          <w:p w14:paraId="575D5D03" w14:textId="1798927E" w:rsidR="009A74DF" w:rsidRDefault="009A74DF" w:rsidP="005366E7">
            <w:pPr>
              <w:spacing w:before="120" w:after="120"/>
            </w:pPr>
          </w:p>
        </w:tc>
      </w:tr>
      <w:tr w:rsidR="005366E7" w14:paraId="0628524D" w14:textId="77777777" w:rsidTr="00A96C02">
        <w:tc>
          <w:tcPr>
            <w:tcW w:w="2065" w:type="dxa"/>
          </w:tcPr>
          <w:p w14:paraId="66BFB05A" w14:textId="6E82F0B6" w:rsidR="005366E7" w:rsidRPr="00C45BAC" w:rsidRDefault="005366E7" w:rsidP="00AD5E87">
            <w:pPr>
              <w:spacing w:before="120" w:after="120"/>
              <w:rPr>
                <w:rFonts w:ascii="Calibri-Bold" w:hAnsi="Calibri-Bold" w:cs="Browallia New"/>
                <w:sz w:val="18"/>
                <w:szCs w:val="22"/>
              </w:rPr>
            </w:pPr>
            <w:r w:rsidRPr="00C45BAC">
              <w:rPr>
                <w:rFonts w:ascii="Calibri-Bold" w:hAnsi="Calibri-Bold" w:cs="Browallia New"/>
                <w:sz w:val="18"/>
                <w:szCs w:val="22"/>
              </w:rPr>
              <w:t>1.4: Validation of the established energy and GHG baselines and energy benchmarks for the five building types and analysis of, and</w:t>
            </w:r>
            <w:r w:rsidR="00AD5E87">
              <w:rPr>
                <w:rFonts w:ascii="Calibri-Bold" w:hAnsi="Calibri-Bold" w:cs="Browallia New"/>
                <w:sz w:val="18"/>
                <w:szCs w:val="22"/>
              </w:rPr>
              <w:t xml:space="preserve"> </w:t>
            </w:r>
            <w:r w:rsidRPr="00C45BAC">
              <w:rPr>
                <w:rFonts w:ascii="Calibri-Bold" w:hAnsi="Calibri-Bold" w:cs="Browallia New"/>
                <w:sz w:val="18"/>
                <w:szCs w:val="22"/>
              </w:rPr>
              <w:t>recommendations, on, municipal bylaws on baselines and benchmarks</w:t>
            </w:r>
          </w:p>
        </w:tc>
        <w:tc>
          <w:tcPr>
            <w:tcW w:w="2121" w:type="dxa"/>
          </w:tcPr>
          <w:p w14:paraId="076EEBEF" w14:textId="77777777" w:rsidR="005366E7" w:rsidRPr="00DB77A8" w:rsidRDefault="005366E7" w:rsidP="005366E7">
            <w:pPr>
              <w:spacing w:before="120" w:after="120"/>
              <w:rPr>
                <w:sz w:val="18"/>
                <w:szCs w:val="18"/>
              </w:rPr>
            </w:pPr>
            <w:r>
              <w:rPr>
                <w:sz w:val="18"/>
                <w:szCs w:val="18"/>
              </w:rPr>
              <w:t xml:space="preserve">Organize </w:t>
            </w:r>
            <w:r w:rsidRPr="005D2183">
              <w:rPr>
                <w:sz w:val="18"/>
                <w:szCs w:val="18"/>
              </w:rPr>
              <w:t xml:space="preserve">of stakeholder consultation and </w:t>
            </w:r>
            <w:r w:rsidRPr="00DB77A8">
              <w:rPr>
                <w:sz w:val="18"/>
                <w:szCs w:val="18"/>
              </w:rPr>
              <w:t>Workshop arrangement</w:t>
            </w:r>
          </w:p>
          <w:p w14:paraId="0EFBF0B4" w14:textId="3DAEAAD0" w:rsidR="00334A6B" w:rsidRDefault="00334A6B" w:rsidP="005366E7">
            <w:pPr>
              <w:spacing w:before="120" w:after="120"/>
              <w:rPr>
                <w:sz w:val="18"/>
                <w:szCs w:val="18"/>
              </w:rPr>
            </w:pPr>
          </w:p>
          <w:p w14:paraId="62DD6421" w14:textId="6205AE48" w:rsidR="005366E7" w:rsidRPr="00C45BAC" w:rsidRDefault="005366E7" w:rsidP="005366E7">
            <w:pPr>
              <w:spacing w:before="120" w:after="120"/>
              <w:rPr>
                <w:sz w:val="18"/>
                <w:szCs w:val="18"/>
              </w:rPr>
            </w:pPr>
            <w:r>
              <w:rPr>
                <w:sz w:val="18"/>
                <w:szCs w:val="18"/>
              </w:rPr>
              <w:t>Number of participants</w:t>
            </w:r>
          </w:p>
        </w:tc>
        <w:tc>
          <w:tcPr>
            <w:tcW w:w="1569" w:type="dxa"/>
          </w:tcPr>
          <w:p w14:paraId="36F92B97" w14:textId="47FCCCFD" w:rsidR="005366E7" w:rsidRDefault="005366E7" w:rsidP="005366E7">
            <w:pPr>
              <w:spacing w:before="120" w:after="120"/>
              <w:rPr>
                <w:sz w:val="18"/>
                <w:szCs w:val="18"/>
              </w:rPr>
            </w:pPr>
            <w:r>
              <w:rPr>
                <w:sz w:val="18"/>
                <w:szCs w:val="18"/>
              </w:rPr>
              <w:t xml:space="preserve">One stakeholder consultation and </w:t>
            </w:r>
            <w:r w:rsidR="00334A6B">
              <w:rPr>
                <w:sz w:val="18"/>
                <w:szCs w:val="18"/>
              </w:rPr>
              <w:t xml:space="preserve">one </w:t>
            </w:r>
            <w:r>
              <w:rPr>
                <w:sz w:val="18"/>
                <w:szCs w:val="18"/>
              </w:rPr>
              <w:t>workshop reports</w:t>
            </w:r>
          </w:p>
          <w:p w14:paraId="3DD5610E" w14:textId="77777777" w:rsidR="00334A6B" w:rsidRDefault="00334A6B" w:rsidP="005366E7">
            <w:pPr>
              <w:spacing w:before="120" w:after="120"/>
              <w:rPr>
                <w:sz w:val="18"/>
                <w:szCs w:val="18"/>
              </w:rPr>
            </w:pPr>
          </w:p>
          <w:p w14:paraId="6257345B" w14:textId="23F9B65A" w:rsidR="00334A6B" w:rsidRPr="00DB77A8" w:rsidRDefault="00334A6B" w:rsidP="005366E7">
            <w:pPr>
              <w:spacing w:before="120" w:after="120"/>
              <w:rPr>
                <w:sz w:val="18"/>
                <w:szCs w:val="18"/>
              </w:rPr>
            </w:pPr>
            <w:r>
              <w:rPr>
                <w:sz w:val="18"/>
                <w:szCs w:val="18"/>
              </w:rPr>
              <w:t>20 participants.</w:t>
            </w:r>
          </w:p>
        </w:tc>
        <w:tc>
          <w:tcPr>
            <w:tcW w:w="1890" w:type="dxa"/>
          </w:tcPr>
          <w:p w14:paraId="46807641" w14:textId="736D858D" w:rsidR="005366E7" w:rsidRDefault="005366E7" w:rsidP="005366E7">
            <w:pPr>
              <w:spacing w:before="120" w:after="120"/>
            </w:pPr>
            <w:r>
              <w:rPr>
                <w:sz w:val="18"/>
                <w:szCs w:val="18"/>
              </w:rPr>
              <w:t>Report summarizing  from discussion and conclusion from</w:t>
            </w:r>
            <w:r w:rsidRPr="00D600B8">
              <w:rPr>
                <w:sz w:val="18"/>
                <w:szCs w:val="18"/>
              </w:rPr>
              <w:t xml:space="preserve"> </w:t>
            </w:r>
            <w:r>
              <w:rPr>
                <w:sz w:val="18"/>
                <w:szCs w:val="18"/>
              </w:rPr>
              <w:t xml:space="preserve">the </w:t>
            </w:r>
            <w:r w:rsidRPr="00D600B8">
              <w:rPr>
                <w:sz w:val="18"/>
                <w:szCs w:val="18"/>
              </w:rPr>
              <w:t>meetings with key stakeholder</w:t>
            </w:r>
            <w:r>
              <w:rPr>
                <w:sz w:val="18"/>
                <w:szCs w:val="18"/>
              </w:rPr>
              <w:t>s</w:t>
            </w:r>
          </w:p>
        </w:tc>
        <w:tc>
          <w:tcPr>
            <w:tcW w:w="1939" w:type="dxa"/>
          </w:tcPr>
          <w:p w14:paraId="4945645E" w14:textId="1B3802C9" w:rsidR="005366E7" w:rsidRPr="004C646E" w:rsidRDefault="005366E7" w:rsidP="005366E7">
            <w:pPr>
              <w:spacing w:before="120" w:after="120"/>
              <w:rPr>
                <w:sz w:val="18"/>
                <w:szCs w:val="18"/>
              </w:rPr>
            </w:pPr>
            <w:r w:rsidRPr="004C646E">
              <w:rPr>
                <w:sz w:val="18"/>
                <w:szCs w:val="18"/>
              </w:rPr>
              <w:t>Challenges: Number of participants from the various national organization and international stakeholders, due to the uncertainties relating to Covid-19 pandemic.</w:t>
            </w:r>
          </w:p>
        </w:tc>
      </w:tr>
      <w:tr w:rsidR="00AD5E87" w:rsidRPr="00AD5E87" w14:paraId="2C344FCC" w14:textId="77777777" w:rsidTr="00A96C02">
        <w:tc>
          <w:tcPr>
            <w:tcW w:w="2065" w:type="dxa"/>
            <w:shd w:val="clear" w:color="auto" w:fill="FFF2CC" w:themeFill="accent4" w:themeFillTint="33"/>
          </w:tcPr>
          <w:p w14:paraId="3FEB9975" w14:textId="4DF17743" w:rsidR="005366E7" w:rsidRPr="00334A6B" w:rsidRDefault="005366E7" w:rsidP="005366E7">
            <w:pPr>
              <w:spacing w:before="120" w:after="120"/>
              <w:rPr>
                <w:rFonts w:ascii="Calibri-Bold" w:hAnsi="Calibri-Bold" w:cs="Browallia New"/>
                <w:sz w:val="18"/>
                <w:szCs w:val="22"/>
              </w:rPr>
            </w:pPr>
            <w:r w:rsidRPr="00334A6B">
              <w:rPr>
                <w:rFonts w:ascii="Calibri-Bold" w:hAnsi="Calibri-Bold" w:cs="Browallia New"/>
                <w:sz w:val="18"/>
                <w:szCs w:val="22"/>
              </w:rPr>
              <w:t>Output 2: Technology assessment for five buildings types within the BEC framework</w:t>
            </w:r>
          </w:p>
        </w:tc>
        <w:tc>
          <w:tcPr>
            <w:tcW w:w="2121" w:type="dxa"/>
            <w:shd w:val="clear" w:color="auto" w:fill="FFF2CC" w:themeFill="accent4" w:themeFillTint="33"/>
          </w:tcPr>
          <w:p w14:paraId="4C6AEF7A" w14:textId="0641DE43" w:rsidR="005366E7" w:rsidRPr="00334A6B" w:rsidRDefault="005366E7" w:rsidP="005366E7">
            <w:pPr>
              <w:spacing w:before="120" w:after="120"/>
              <w:rPr>
                <w:sz w:val="18"/>
                <w:szCs w:val="18"/>
              </w:rPr>
            </w:pPr>
            <w:r w:rsidRPr="00334A6B">
              <w:rPr>
                <w:rFonts w:cstheme="minorHAnsi"/>
                <w:sz w:val="18"/>
                <w:szCs w:val="18"/>
              </w:rPr>
              <w:t xml:space="preserve">Number of EE and RE technologies </w:t>
            </w:r>
            <w:r w:rsidRPr="00334A6B">
              <w:rPr>
                <w:sz w:val="18"/>
                <w:szCs w:val="18"/>
              </w:rPr>
              <w:t xml:space="preserve">for 6 different building energy </w:t>
            </w:r>
            <w:r w:rsidRPr="00334A6B">
              <w:rPr>
                <w:sz w:val="18"/>
                <w:szCs w:val="18"/>
              </w:rPr>
              <w:lastRenderedPageBreak/>
              <w:t>components under BEC compliance</w:t>
            </w:r>
          </w:p>
        </w:tc>
        <w:tc>
          <w:tcPr>
            <w:tcW w:w="1569" w:type="dxa"/>
            <w:shd w:val="clear" w:color="auto" w:fill="FFF2CC" w:themeFill="accent4" w:themeFillTint="33"/>
          </w:tcPr>
          <w:p w14:paraId="3D71EA38" w14:textId="557BA836" w:rsidR="005366E7" w:rsidRPr="00334A6B" w:rsidRDefault="003565CC" w:rsidP="003565CC">
            <w:pPr>
              <w:spacing w:before="120" w:after="120"/>
              <w:rPr>
                <w:sz w:val="18"/>
                <w:szCs w:val="18"/>
              </w:rPr>
            </w:pPr>
            <w:r w:rsidRPr="00334A6B">
              <w:rPr>
                <w:sz w:val="18"/>
                <w:szCs w:val="18"/>
              </w:rPr>
              <w:lastRenderedPageBreak/>
              <w:t>One technology assessment report</w:t>
            </w:r>
            <w:r w:rsidRPr="00334A6B">
              <w:rPr>
                <w:rFonts w:cstheme="minorHAnsi"/>
                <w:sz w:val="18"/>
                <w:szCs w:val="18"/>
              </w:rPr>
              <w:t xml:space="preserve"> </w:t>
            </w:r>
            <w:r w:rsidR="005366E7" w:rsidRPr="00334A6B">
              <w:rPr>
                <w:rFonts w:cstheme="minorHAnsi"/>
                <w:sz w:val="18"/>
                <w:szCs w:val="18"/>
              </w:rPr>
              <w:t xml:space="preserve">of prioritized technologies </w:t>
            </w:r>
            <w:r w:rsidR="005366E7" w:rsidRPr="00334A6B">
              <w:rPr>
                <w:rFonts w:cstheme="minorHAnsi"/>
                <w:sz w:val="18"/>
                <w:szCs w:val="18"/>
              </w:rPr>
              <w:lastRenderedPageBreak/>
              <w:t>within the BEC framework</w:t>
            </w:r>
          </w:p>
        </w:tc>
        <w:tc>
          <w:tcPr>
            <w:tcW w:w="1890" w:type="dxa"/>
            <w:shd w:val="clear" w:color="auto" w:fill="FFF2CC" w:themeFill="accent4" w:themeFillTint="33"/>
          </w:tcPr>
          <w:p w14:paraId="56334A72" w14:textId="1F1B972F" w:rsidR="005366E7" w:rsidRPr="00334A6B" w:rsidRDefault="005366E7" w:rsidP="005366E7">
            <w:pPr>
              <w:spacing w:before="120" w:after="120"/>
              <w:rPr>
                <w:sz w:val="18"/>
                <w:szCs w:val="18"/>
              </w:rPr>
            </w:pPr>
            <w:r w:rsidRPr="00334A6B">
              <w:rPr>
                <w:sz w:val="18"/>
                <w:szCs w:val="18"/>
              </w:rPr>
              <w:lastRenderedPageBreak/>
              <w:t xml:space="preserve">Review of the commercial available technologies will conduct through desk study and interviews </w:t>
            </w:r>
            <w:r w:rsidRPr="00334A6B">
              <w:rPr>
                <w:sz w:val="18"/>
                <w:szCs w:val="18"/>
              </w:rPr>
              <w:lastRenderedPageBreak/>
              <w:t>with suppliers/ manufacturer,.</w:t>
            </w:r>
          </w:p>
        </w:tc>
        <w:tc>
          <w:tcPr>
            <w:tcW w:w="1939" w:type="dxa"/>
            <w:shd w:val="clear" w:color="auto" w:fill="FFF2CC" w:themeFill="accent4" w:themeFillTint="33"/>
          </w:tcPr>
          <w:p w14:paraId="08BBEB08" w14:textId="4EDA31DA" w:rsidR="005366E7" w:rsidRPr="00334A6B" w:rsidRDefault="005366E7" w:rsidP="005366E7">
            <w:pPr>
              <w:spacing w:before="120" w:after="120"/>
              <w:rPr>
                <w:sz w:val="18"/>
                <w:szCs w:val="18"/>
              </w:rPr>
            </w:pPr>
            <w:r w:rsidRPr="00334A6B">
              <w:rPr>
                <w:sz w:val="18"/>
                <w:szCs w:val="18"/>
              </w:rPr>
              <w:lastRenderedPageBreak/>
              <w:t xml:space="preserve">The technology assessment will include local and international commercially available technologies that are </w:t>
            </w:r>
            <w:r w:rsidRPr="00334A6B">
              <w:rPr>
                <w:sz w:val="18"/>
                <w:szCs w:val="18"/>
              </w:rPr>
              <w:lastRenderedPageBreak/>
              <w:t>cost effective and suitable with the Thai context (i.e., climatic conditions, local supply chain, labor skills, etc.).</w:t>
            </w:r>
          </w:p>
        </w:tc>
      </w:tr>
      <w:tr w:rsidR="00334A6B" w14:paraId="399737D2" w14:textId="77777777" w:rsidTr="00334A6B">
        <w:tc>
          <w:tcPr>
            <w:tcW w:w="2065" w:type="dxa"/>
          </w:tcPr>
          <w:p w14:paraId="6D7BC448" w14:textId="4AB55015" w:rsidR="00334A6B" w:rsidRPr="00DD65CC" w:rsidRDefault="00334A6B" w:rsidP="00334A6B">
            <w:pPr>
              <w:spacing w:before="120" w:after="120"/>
              <w:rPr>
                <w:rFonts w:ascii="Calibri-Bold" w:hAnsi="Calibri-Bold" w:cs="Browallia New"/>
                <w:sz w:val="18"/>
                <w:szCs w:val="22"/>
              </w:rPr>
            </w:pPr>
            <w:r w:rsidRPr="00DD65CC">
              <w:rPr>
                <w:rFonts w:ascii="Calibri-Bold" w:hAnsi="Calibri-Bold" w:cs="Browallia New"/>
                <w:sz w:val="18"/>
                <w:szCs w:val="22"/>
              </w:rPr>
              <w:lastRenderedPageBreak/>
              <w:t>2.1: Assessment of relevant technologies with BEC compliance</w:t>
            </w:r>
          </w:p>
        </w:tc>
        <w:tc>
          <w:tcPr>
            <w:tcW w:w="2121" w:type="dxa"/>
          </w:tcPr>
          <w:p w14:paraId="402600C2" w14:textId="49AD3175" w:rsidR="00334A6B" w:rsidRPr="00E73B95" w:rsidRDefault="00B5694A" w:rsidP="00334A6B">
            <w:pPr>
              <w:spacing w:before="120" w:after="120"/>
              <w:rPr>
                <w:sz w:val="18"/>
                <w:szCs w:val="18"/>
              </w:rPr>
            </w:pPr>
            <w:r>
              <w:rPr>
                <w:sz w:val="18"/>
                <w:szCs w:val="18"/>
              </w:rPr>
              <w:t>List of n</w:t>
            </w:r>
            <w:r w:rsidR="00334A6B" w:rsidRPr="00DD65CC">
              <w:rPr>
                <w:sz w:val="18"/>
                <w:szCs w:val="18"/>
              </w:rPr>
              <w:t xml:space="preserve">on-prioritized </w:t>
            </w:r>
            <w:r w:rsidR="00334A6B">
              <w:rPr>
                <w:sz w:val="18"/>
                <w:szCs w:val="18"/>
              </w:rPr>
              <w:t xml:space="preserve">technologies </w:t>
            </w:r>
            <w:r>
              <w:rPr>
                <w:sz w:val="18"/>
                <w:szCs w:val="18"/>
              </w:rPr>
              <w:t>assessment</w:t>
            </w:r>
            <w:r w:rsidR="00334A6B">
              <w:rPr>
                <w:sz w:val="18"/>
                <w:szCs w:val="18"/>
              </w:rPr>
              <w:t xml:space="preserve"> with </w:t>
            </w:r>
            <w:r w:rsidR="00334A6B" w:rsidRPr="00DD65CC">
              <w:rPr>
                <w:sz w:val="18"/>
                <w:szCs w:val="18"/>
              </w:rPr>
              <w:t>relevant for the BEC</w:t>
            </w:r>
            <w:r w:rsidR="00334A6B">
              <w:rPr>
                <w:sz w:val="18"/>
                <w:szCs w:val="18"/>
              </w:rPr>
              <w:t xml:space="preserve"> compliance</w:t>
            </w:r>
          </w:p>
        </w:tc>
        <w:tc>
          <w:tcPr>
            <w:tcW w:w="1569" w:type="dxa"/>
            <w:vMerge w:val="restart"/>
            <w:vAlign w:val="center"/>
          </w:tcPr>
          <w:p w14:paraId="0CF7DD09" w14:textId="60EC76A2" w:rsidR="00334A6B" w:rsidRPr="00E73B95" w:rsidRDefault="008A1FE1" w:rsidP="00184229">
            <w:pPr>
              <w:spacing w:before="120" w:after="120"/>
              <w:rPr>
                <w:sz w:val="18"/>
                <w:szCs w:val="18"/>
              </w:rPr>
            </w:pPr>
            <w:r>
              <w:rPr>
                <w:sz w:val="18"/>
                <w:szCs w:val="18"/>
              </w:rPr>
              <w:t>One r</w:t>
            </w:r>
            <w:r w:rsidR="00334A6B">
              <w:rPr>
                <w:sz w:val="18"/>
                <w:szCs w:val="18"/>
              </w:rPr>
              <w:t xml:space="preserve">eport of </w:t>
            </w:r>
            <w:r w:rsidR="00184229">
              <w:rPr>
                <w:sz w:val="18"/>
                <w:szCs w:val="18"/>
              </w:rPr>
              <w:t xml:space="preserve">long and short list of </w:t>
            </w:r>
            <w:r w:rsidR="00334A6B">
              <w:rPr>
                <w:sz w:val="18"/>
                <w:szCs w:val="18"/>
              </w:rPr>
              <w:t>prioritized technologies assessment</w:t>
            </w:r>
            <w:r w:rsidR="00184229">
              <w:rPr>
                <w:sz w:val="18"/>
                <w:szCs w:val="18"/>
              </w:rPr>
              <w:t>.</w:t>
            </w:r>
          </w:p>
        </w:tc>
        <w:tc>
          <w:tcPr>
            <w:tcW w:w="1890" w:type="dxa"/>
          </w:tcPr>
          <w:p w14:paraId="1BE74B7C" w14:textId="57FE34D5" w:rsidR="00334A6B" w:rsidRPr="00E73B95" w:rsidRDefault="00334A6B" w:rsidP="00334A6B">
            <w:pPr>
              <w:spacing w:before="120" w:after="120"/>
              <w:rPr>
                <w:sz w:val="18"/>
                <w:szCs w:val="18"/>
              </w:rPr>
            </w:pPr>
            <w:r w:rsidRPr="003406B5">
              <w:rPr>
                <w:sz w:val="18"/>
                <w:szCs w:val="18"/>
              </w:rPr>
              <w:t>Data collected from desk research and interviews w</w:t>
            </w:r>
            <w:r>
              <w:rPr>
                <w:sz w:val="18"/>
                <w:szCs w:val="18"/>
              </w:rPr>
              <w:t xml:space="preserve">ith local suppliers/manufactures, </w:t>
            </w:r>
            <w:r w:rsidRPr="003406B5">
              <w:rPr>
                <w:sz w:val="18"/>
                <w:szCs w:val="18"/>
              </w:rPr>
              <w:t>as well as potential international suppliers</w:t>
            </w:r>
          </w:p>
        </w:tc>
        <w:tc>
          <w:tcPr>
            <w:tcW w:w="1939" w:type="dxa"/>
            <w:vMerge w:val="restart"/>
            <w:vAlign w:val="center"/>
          </w:tcPr>
          <w:p w14:paraId="134783C7" w14:textId="34A39600" w:rsidR="00334A6B" w:rsidRPr="00E73B95" w:rsidRDefault="00334A6B" w:rsidP="00334A6B">
            <w:pPr>
              <w:spacing w:before="120" w:after="120"/>
              <w:rPr>
                <w:sz w:val="18"/>
                <w:szCs w:val="18"/>
              </w:rPr>
            </w:pPr>
            <w:r>
              <w:rPr>
                <w:sz w:val="18"/>
                <w:szCs w:val="18"/>
              </w:rPr>
              <w:t>Assumptions: all relevant technologies information maintained by local/international supplier are accessible.</w:t>
            </w:r>
          </w:p>
        </w:tc>
      </w:tr>
      <w:tr w:rsidR="00334A6B" w14:paraId="06E36EA0" w14:textId="77777777" w:rsidTr="00A96C02">
        <w:tc>
          <w:tcPr>
            <w:tcW w:w="2065" w:type="dxa"/>
          </w:tcPr>
          <w:p w14:paraId="066FE98B" w14:textId="078719FD" w:rsidR="00334A6B" w:rsidRPr="00DD65CC" w:rsidRDefault="00334A6B" w:rsidP="00334A6B">
            <w:pPr>
              <w:spacing w:before="120" w:after="120"/>
              <w:rPr>
                <w:rFonts w:ascii="Calibri-Bold" w:hAnsi="Calibri-Bold" w:cs="Browallia New"/>
                <w:sz w:val="18"/>
                <w:szCs w:val="22"/>
              </w:rPr>
            </w:pPr>
            <w:r w:rsidRPr="00DD65CC">
              <w:rPr>
                <w:rFonts w:ascii="Calibri-Bold" w:hAnsi="Calibri-Bold" w:cs="Browallia New"/>
                <w:sz w:val="18"/>
                <w:szCs w:val="22"/>
              </w:rPr>
              <w:t>2.2: Long and short list of relevant technologies with BEC compliance</w:t>
            </w:r>
          </w:p>
        </w:tc>
        <w:tc>
          <w:tcPr>
            <w:tcW w:w="2121" w:type="dxa"/>
          </w:tcPr>
          <w:p w14:paraId="0E5F2CC0" w14:textId="4E0FB1F9" w:rsidR="00334A6B" w:rsidRPr="00DD65CC" w:rsidRDefault="0081395C" w:rsidP="00334A6B">
            <w:pPr>
              <w:spacing w:before="120" w:after="120"/>
              <w:rPr>
                <w:color w:val="FF0000"/>
                <w:sz w:val="18"/>
                <w:szCs w:val="18"/>
              </w:rPr>
            </w:pPr>
            <w:r>
              <w:rPr>
                <w:sz w:val="18"/>
                <w:szCs w:val="18"/>
              </w:rPr>
              <w:t>L</w:t>
            </w:r>
            <w:r w:rsidR="00334A6B" w:rsidRPr="00DD65CC">
              <w:rPr>
                <w:sz w:val="18"/>
                <w:szCs w:val="18"/>
              </w:rPr>
              <w:t xml:space="preserve">ist of prioritized </w:t>
            </w:r>
            <w:r w:rsidR="00334A6B">
              <w:rPr>
                <w:sz w:val="18"/>
                <w:szCs w:val="18"/>
              </w:rPr>
              <w:t xml:space="preserve">potential </w:t>
            </w:r>
            <w:r w:rsidR="00334A6B" w:rsidRPr="00DD65CC">
              <w:rPr>
                <w:sz w:val="18"/>
                <w:szCs w:val="18"/>
              </w:rPr>
              <w:t xml:space="preserve">technologies </w:t>
            </w:r>
            <w:r w:rsidR="00334A6B" w:rsidRPr="00522CE2">
              <w:rPr>
                <w:sz w:val="18"/>
                <w:szCs w:val="18"/>
              </w:rPr>
              <w:t>for 6 different building energy components under BEC compliance</w:t>
            </w:r>
          </w:p>
        </w:tc>
        <w:tc>
          <w:tcPr>
            <w:tcW w:w="1569" w:type="dxa"/>
            <w:vMerge/>
          </w:tcPr>
          <w:p w14:paraId="74447E84" w14:textId="1FB6223C" w:rsidR="00334A6B" w:rsidRPr="00E73B95" w:rsidRDefault="00334A6B" w:rsidP="00334A6B">
            <w:pPr>
              <w:spacing w:before="120" w:after="120"/>
              <w:rPr>
                <w:sz w:val="18"/>
                <w:szCs w:val="18"/>
              </w:rPr>
            </w:pPr>
          </w:p>
        </w:tc>
        <w:tc>
          <w:tcPr>
            <w:tcW w:w="1890" w:type="dxa"/>
          </w:tcPr>
          <w:p w14:paraId="02B673B6" w14:textId="42E38599" w:rsidR="00334A6B" w:rsidRPr="00E73B95" w:rsidRDefault="00334A6B" w:rsidP="00334A6B">
            <w:pPr>
              <w:spacing w:before="120" w:after="120"/>
              <w:rPr>
                <w:sz w:val="18"/>
                <w:szCs w:val="18"/>
              </w:rPr>
            </w:pPr>
            <w:r>
              <w:rPr>
                <w:sz w:val="18"/>
                <w:szCs w:val="18"/>
              </w:rPr>
              <w:t>Finalize the short-list criteria in consultation with relevant stakeholders</w:t>
            </w:r>
          </w:p>
        </w:tc>
        <w:tc>
          <w:tcPr>
            <w:tcW w:w="1939" w:type="dxa"/>
            <w:vMerge/>
          </w:tcPr>
          <w:p w14:paraId="2C81B402" w14:textId="77777777" w:rsidR="00334A6B" w:rsidRPr="00E73B95" w:rsidRDefault="00334A6B" w:rsidP="00334A6B">
            <w:pPr>
              <w:spacing w:before="120" w:after="120"/>
              <w:rPr>
                <w:sz w:val="18"/>
                <w:szCs w:val="18"/>
              </w:rPr>
            </w:pPr>
          </w:p>
        </w:tc>
      </w:tr>
      <w:tr w:rsidR="00334A6B" w:rsidRPr="00AD5E87" w14:paraId="6A7C8890" w14:textId="77777777" w:rsidTr="00A96C02">
        <w:tc>
          <w:tcPr>
            <w:tcW w:w="2065" w:type="dxa"/>
          </w:tcPr>
          <w:p w14:paraId="7FC65D56" w14:textId="4E6E04F6" w:rsidR="00334A6B" w:rsidRPr="00AD5E87" w:rsidRDefault="00334A6B" w:rsidP="00334A6B">
            <w:pPr>
              <w:spacing w:before="120" w:after="120"/>
              <w:rPr>
                <w:rFonts w:ascii="Calibri-Bold" w:hAnsi="Calibri-Bold" w:cs="Browallia New"/>
                <w:sz w:val="18"/>
                <w:szCs w:val="22"/>
              </w:rPr>
            </w:pPr>
            <w:r w:rsidRPr="00AD5E87">
              <w:rPr>
                <w:rFonts w:ascii="Calibri-Bold" w:hAnsi="Calibri-Bold" w:cs="Browallia New"/>
                <w:sz w:val="18"/>
                <w:szCs w:val="22"/>
              </w:rPr>
              <w:t>2.3: Workshop to disseminate technology assessment results</w:t>
            </w:r>
          </w:p>
        </w:tc>
        <w:tc>
          <w:tcPr>
            <w:tcW w:w="2121" w:type="dxa"/>
          </w:tcPr>
          <w:p w14:paraId="2788B688" w14:textId="7A11454D" w:rsidR="00334A6B" w:rsidRPr="00AD5E87" w:rsidRDefault="00334A6B" w:rsidP="00334A6B">
            <w:pPr>
              <w:spacing w:before="120" w:after="120"/>
              <w:rPr>
                <w:sz w:val="18"/>
                <w:szCs w:val="18"/>
              </w:rPr>
            </w:pPr>
            <w:r w:rsidRPr="00AD5E87">
              <w:rPr>
                <w:sz w:val="18"/>
                <w:szCs w:val="18"/>
              </w:rPr>
              <w:t>Organize of dissemination workshop</w:t>
            </w:r>
          </w:p>
          <w:p w14:paraId="77F7AA6B" w14:textId="50D7A590" w:rsidR="00334A6B" w:rsidRPr="00AD5E87" w:rsidRDefault="00334A6B" w:rsidP="00334A6B">
            <w:pPr>
              <w:spacing w:before="120" w:after="120"/>
              <w:rPr>
                <w:sz w:val="18"/>
                <w:szCs w:val="18"/>
              </w:rPr>
            </w:pPr>
            <w:r w:rsidRPr="00AD5E87">
              <w:rPr>
                <w:sz w:val="18"/>
                <w:szCs w:val="18"/>
              </w:rPr>
              <w:t>Number of participants</w:t>
            </w:r>
          </w:p>
        </w:tc>
        <w:tc>
          <w:tcPr>
            <w:tcW w:w="1569" w:type="dxa"/>
          </w:tcPr>
          <w:p w14:paraId="3B9979C6" w14:textId="77777777" w:rsidR="00334A6B" w:rsidRDefault="00184229" w:rsidP="00184229">
            <w:pPr>
              <w:spacing w:before="120" w:after="120"/>
              <w:rPr>
                <w:rFonts w:ascii="Calibri" w:hAnsi="Calibri" w:cs="Calibri"/>
                <w:sz w:val="18"/>
                <w:szCs w:val="18"/>
              </w:rPr>
            </w:pPr>
            <w:r>
              <w:rPr>
                <w:rFonts w:ascii="Calibri" w:hAnsi="Calibri" w:cs="Calibri"/>
                <w:sz w:val="18"/>
                <w:szCs w:val="18"/>
              </w:rPr>
              <w:t>One w</w:t>
            </w:r>
            <w:r w:rsidR="00334A6B" w:rsidRPr="00AD5E87">
              <w:rPr>
                <w:rFonts w:ascii="Calibri" w:hAnsi="Calibri" w:cs="Calibri"/>
                <w:sz w:val="18"/>
                <w:szCs w:val="18"/>
              </w:rPr>
              <w:t>orkshop report</w:t>
            </w:r>
          </w:p>
          <w:p w14:paraId="7351C693" w14:textId="3C47A43C" w:rsidR="00184229" w:rsidRPr="00AD5E87" w:rsidRDefault="00184229" w:rsidP="00184229">
            <w:pPr>
              <w:spacing w:before="120" w:after="120"/>
              <w:rPr>
                <w:rFonts w:ascii="Calibri" w:hAnsi="Calibri" w:cs="Calibri"/>
                <w:sz w:val="18"/>
                <w:szCs w:val="18"/>
              </w:rPr>
            </w:pPr>
            <w:r>
              <w:rPr>
                <w:rFonts w:ascii="Calibri" w:hAnsi="Calibri" w:cs="Calibri"/>
                <w:sz w:val="18"/>
                <w:szCs w:val="18"/>
              </w:rPr>
              <w:t>20 participants</w:t>
            </w:r>
          </w:p>
        </w:tc>
        <w:tc>
          <w:tcPr>
            <w:tcW w:w="1890" w:type="dxa"/>
          </w:tcPr>
          <w:p w14:paraId="233BF169" w14:textId="40916718" w:rsidR="00334A6B" w:rsidRPr="00AD5E87" w:rsidRDefault="00334A6B" w:rsidP="00334A6B">
            <w:pPr>
              <w:spacing w:before="120" w:after="120"/>
              <w:rPr>
                <w:sz w:val="18"/>
                <w:szCs w:val="18"/>
              </w:rPr>
            </w:pPr>
            <w:r w:rsidRPr="00AD5E87">
              <w:rPr>
                <w:sz w:val="18"/>
                <w:szCs w:val="18"/>
              </w:rPr>
              <w:t>Report summarizing  from discussion and workshop evaluation results from the target stakeholders</w:t>
            </w:r>
          </w:p>
        </w:tc>
        <w:tc>
          <w:tcPr>
            <w:tcW w:w="1939" w:type="dxa"/>
          </w:tcPr>
          <w:p w14:paraId="4DA9144C" w14:textId="37D27B7C" w:rsidR="00334A6B" w:rsidRPr="00AD5E87" w:rsidRDefault="00334A6B" w:rsidP="00334A6B">
            <w:pPr>
              <w:spacing w:before="120" w:after="120"/>
              <w:rPr>
                <w:sz w:val="18"/>
                <w:szCs w:val="18"/>
              </w:rPr>
            </w:pPr>
            <w:r w:rsidRPr="00AD5E87">
              <w:rPr>
                <w:sz w:val="18"/>
                <w:szCs w:val="18"/>
              </w:rPr>
              <w:t>Challenges: Number of participants from the target stakeholder, due to the uncertainties relating to Covid-19 pandemic.</w:t>
            </w:r>
          </w:p>
        </w:tc>
      </w:tr>
      <w:tr w:rsidR="00334A6B" w14:paraId="269ADE08" w14:textId="77777777" w:rsidTr="00A96C02">
        <w:tc>
          <w:tcPr>
            <w:tcW w:w="2065" w:type="dxa"/>
            <w:shd w:val="clear" w:color="auto" w:fill="FFF2CC" w:themeFill="accent4" w:themeFillTint="33"/>
          </w:tcPr>
          <w:p w14:paraId="4CA12AE4" w14:textId="34BD1AA7" w:rsidR="00334A6B" w:rsidRPr="00B5694A" w:rsidRDefault="00334A6B" w:rsidP="00334A6B">
            <w:pPr>
              <w:spacing w:before="120" w:after="120"/>
              <w:rPr>
                <w:sz w:val="18"/>
                <w:szCs w:val="18"/>
              </w:rPr>
            </w:pPr>
            <w:r w:rsidRPr="00B5694A">
              <w:rPr>
                <w:rFonts w:ascii="Calibri-Bold" w:hAnsi="Calibri-Bold" w:cs="Calibri-Bold"/>
                <w:sz w:val="18"/>
                <w:szCs w:val="18"/>
              </w:rPr>
              <w:t>Output 3: Financial assessment for new buildings within the BEC framework</w:t>
            </w:r>
          </w:p>
        </w:tc>
        <w:tc>
          <w:tcPr>
            <w:tcW w:w="2121" w:type="dxa"/>
            <w:shd w:val="clear" w:color="auto" w:fill="FFF2CC" w:themeFill="accent4" w:themeFillTint="33"/>
          </w:tcPr>
          <w:p w14:paraId="5DF74877" w14:textId="57D1653C" w:rsidR="00334A6B" w:rsidRPr="00B5694A" w:rsidRDefault="002F19E5" w:rsidP="00334A6B">
            <w:pPr>
              <w:spacing w:before="120" w:after="120"/>
              <w:rPr>
                <w:sz w:val="18"/>
                <w:szCs w:val="18"/>
              </w:rPr>
            </w:pPr>
            <w:r>
              <w:rPr>
                <w:sz w:val="18"/>
                <w:szCs w:val="18"/>
              </w:rPr>
              <w:t>List</w:t>
            </w:r>
            <w:r w:rsidR="00334A6B" w:rsidRPr="00B5694A">
              <w:rPr>
                <w:sz w:val="18"/>
                <w:szCs w:val="18"/>
              </w:rPr>
              <w:t xml:space="preserve"> of financial aspects of technology and possible technology options that can be promoted to achieve the BEC compliance target</w:t>
            </w:r>
          </w:p>
        </w:tc>
        <w:tc>
          <w:tcPr>
            <w:tcW w:w="1569" w:type="dxa"/>
            <w:shd w:val="clear" w:color="auto" w:fill="FFF2CC" w:themeFill="accent4" w:themeFillTint="33"/>
          </w:tcPr>
          <w:p w14:paraId="72A3DCB0" w14:textId="53EE4BB6" w:rsidR="00334A6B" w:rsidRPr="00B5694A" w:rsidRDefault="00334A6B" w:rsidP="00334A6B">
            <w:pPr>
              <w:spacing w:before="120" w:after="120"/>
              <w:rPr>
                <w:sz w:val="18"/>
                <w:szCs w:val="18"/>
              </w:rPr>
            </w:pPr>
            <w:r w:rsidRPr="00B5694A">
              <w:rPr>
                <w:sz w:val="18"/>
                <w:szCs w:val="18"/>
              </w:rPr>
              <w:t>One report of financial and economic assessments of the priority technologies</w:t>
            </w:r>
          </w:p>
        </w:tc>
        <w:tc>
          <w:tcPr>
            <w:tcW w:w="1890" w:type="dxa"/>
            <w:shd w:val="clear" w:color="auto" w:fill="FFF2CC" w:themeFill="accent4" w:themeFillTint="33"/>
          </w:tcPr>
          <w:p w14:paraId="13563584" w14:textId="1DD42767" w:rsidR="00334A6B" w:rsidRPr="00B5694A" w:rsidRDefault="00334A6B" w:rsidP="00334A6B">
            <w:pPr>
              <w:spacing w:before="120" w:after="120"/>
              <w:rPr>
                <w:sz w:val="18"/>
                <w:szCs w:val="18"/>
              </w:rPr>
            </w:pPr>
            <w:r w:rsidRPr="00B5694A">
              <w:rPr>
                <w:sz w:val="18"/>
                <w:szCs w:val="18"/>
              </w:rPr>
              <w:t>Data collected from project reports and meetings with key stakeholders under Task 2 will be utilized.</w:t>
            </w:r>
          </w:p>
        </w:tc>
        <w:tc>
          <w:tcPr>
            <w:tcW w:w="1939" w:type="dxa"/>
            <w:shd w:val="clear" w:color="auto" w:fill="FFF2CC" w:themeFill="accent4" w:themeFillTint="33"/>
          </w:tcPr>
          <w:p w14:paraId="2B043172" w14:textId="77777777" w:rsidR="00334A6B" w:rsidRPr="00B5694A" w:rsidRDefault="00334A6B" w:rsidP="00334A6B">
            <w:pPr>
              <w:spacing w:before="120" w:after="120"/>
              <w:rPr>
                <w:sz w:val="18"/>
                <w:szCs w:val="18"/>
              </w:rPr>
            </w:pPr>
            <w:r w:rsidRPr="00B5694A">
              <w:rPr>
                <w:sz w:val="18"/>
                <w:szCs w:val="18"/>
              </w:rPr>
              <w:t>Assumptions: all essential data and investment cost are accessible from data collection with local suppliers/ manufactures, as well as potential international suppliers</w:t>
            </w:r>
          </w:p>
          <w:p w14:paraId="6D4FB9E1" w14:textId="5AE9BA3B" w:rsidR="00334A6B" w:rsidRPr="00B5694A" w:rsidRDefault="00334A6B" w:rsidP="00334A6B">
            <w:pPr>
              <w:spacing w:before="120" w:after="120"/>
              <w:rPr>
                <w:sz w:val="18"/>
                <w:szCs w:val="18"/>
              </w:rPr>
            </w:pPr>
            <w:r w:rsidRPr="00B5694A">
              <w:rPr>
                <w:sz w:val="18"/>
                <w:szCs w:val="18"/>
              </w:rPr>
              <w:t>Challenges: Investment cost of each commercial technology are confidential and not generally published.</w:t>
            </w:r>
          </w:p>
        </w:tc>
      </w:tr>
      <w:tr w:rsidR="00334A6B" w14:paraId="6CDE3567" w14:textId="77777777" w:rsidTr="00002AE9">
        <w:tc>
          <w:tcPr>
            <w:tcW w:w="2065" w:type="dxa"/>
          </w:tcPr>
          <w:p w14:paraId="498B9D0C" w14:textId="2949C368" w:rsidR="00334A6B" w:rsidRPr="008015C7" w:rsidRDefault="00334A6B" w:rsidP="00334A6B">
            <w:pPr>
              <w:spacing w:before="120" w:after="120"/>
              <w:rPr>
                <w:rFonts w:ascii="Calibri-Bold" w:hAnsi="Calibri-Bold" w:cs="Browallia New"/>
                <w:sz w:val="18"/>
                <w:szCs w:val="22"/>
              </w:rPr>
            </w:pPr>
            <w:r w:rsidRPr="008015C7">
              <w:rPr>
                <w:rFonts w:ascii="Calibri-Bold" w:hAnsi="Calibri-Bold" w:cs="Browallia New"/>
                <w:sz w:val="18"/>
                <w:szCs w:val="22"/>
              </w:rPr>
              <w:t>3.1: Energy performance simulation for 5 building types</w:t>
            </w:r>
          </w:p>
        </w:tc>
        <w:tc>
          <w:tcPr>
            <w:tcW w:w="2121" w:type="dxa"/>
          </w:tcPr>
          <w:p w14:paraId="0C14A77C" w14:textId="71495F88" w:rsidR="00334A6B" w:rsidRPr="00E73B95" w:rsidRDefault="00334A6B" w:rsidP="000A4967">
            <w:pPr>
              <w:spacing w:before="120" w:after="120"/>
              <w:rPr>
                <w:sz w:val="18"/>
                <w:szCs w:val="18"/>
              </w:rPr>
            </w:pPr>
            <w:r>
              <w:rPr>
                <w:sz w:val="18"/>
                <w:szCs w:val="18"/>
              </w:rPr>
              <w:t>Res</w:t>
            </w:r>
            <w:r w:rsidR="000A4967">
              <w:rPr>
                <w:sz w:val="18"/>
                <w:szCs w:val="18"/>
              </w:rPr>
              <w:t xml:space="preserve">ult of Energy performance </w:t>
            </w:r>
            <w:r>
              <w:rPr>
                <w:sz w:val="18"/>
                <w:szCs w:val="18"/>
              </w:rPr>
              <w:t>for five building type</w:t>
            </w:r>
            <w:r w:rsidR="000A4967">
              <w:rPr>
                <w:sz w:val="18"/>
                <w:szCs w:val="18"/>
              </w:rPr>
              <w:t xml:space="preserve"> </w:t>
            </w:r>
            <w:r w:rsidR="000A4967" w:rsidRPr="00F51585">
              <w:rPr>
                <w:sz w:val="18"/>
                <w:szCs w:val="18"/>
              </w:rPr>
              <w:t xml:space="preserve">through </w:t>
            </w:r>
            <w:r w:rsidR="000A4967">
              <w:rPr>
                <w:sz w:val="18"/>
                <w:szCs w:val="18"/>
              </w:rPr>
              <w:t xml:space="preserve">model simulation </w:t>
            </w:r>
            <w:r w:rsidR="000A4967" w:rsidRPr="00F51585">
              <w:rPr>
                <w:sz w:val="18"/>
                <w:szCs w:val="18"/>
              </w:rPr>
              <w:t>prototypes.</w:t>
            </w:r>
          </w:p>
        </w:tc>
        <w:tc>
          <w:tcPr>
            <w:tcW w:w="1569" w:type="dxa"/>
          </w:tcPr>
          <w:p w14:paraId="0F69F686" w14:textId="2B0EFF8D" w:rsidR="00334A6B" w:rsidRPr="00E73B95" w:rsidRDefault="006A0397" w:rsidP="00303D3E">
            <w:pPr>
              <w:spacing w:before="120" w:after="120"/>
              <w:rPr>
                <w:sz w:val="18"/>
                <w:szCs w:val="18"/>
              </w:rPr>
            </w:pPr>
            <w:r>
              <w:rPr>
                <w:sz w:val="18"/>
                <w:szCs w:val="18"/>
              </w:rPr>
              <w:t>E</w:t>
            </w:r>
            <w:r w:rsidRPr="00F51585">
              <w:rPr>
                <w:sz w:val="18"/>
                <w:szCs w:val="18"/>
              </w:rPr>
              <w:t xml:space="preserve">nergy performance report through </w:t>
            </w:r>
            <w:r>
              <w:rPr>
                <w:sz w:val="18"/>
                <w:szCs w:val="18"/>
              </w:rPr>
              <w:t xml:space="preserve">model simulation </w:t>
            </w:r>
            <w:r w:rsidR="00C7334E">
              <w:rPr>
                <w:sz w:val="18"/>
                <w:szCs w:val="18"/>
              </w:rPr>
              <w:t>of the five-building prototypes</w:t>
            </w:r>
          </w:p>
        </w:tc>
        <w:tc>
          <w:tcPr>
            <w:tcW w:w="1890" w:type="dxa"/>
            <w:vMerge w:val="restart"/>
          </w:tcPr>
          <w:p w14:paraId="6F23282D" w14:textId="7AB324F4" w:rsidR="00334A6B" w:rsidRPr="00E73B95" w:rsidRDefault="00334A6B" w:rsidP="00334A6B">
            <w:pPr>
              <w:spacing w:before="120" w:after="120"/>
              <w:rPr>
                <w:sz w:val="18"/>
                <w:szCs w:val="18"/>
              </w:rPr>
            </w:pPr>
            <w:r>
              <w:rPr>
                <w:sz w:val="18"/>
                <w:szCs w:val="18"/>
              </w:rPr>
              <w:t>The priority identified under Task 2 will be utilized to simulate under different adoption scenario</w:t>
            </w:r>
          </w:p>
        </w:tc>
        <w:tc>
          <w:tcPr>
            <w:tcW w:w="1939" w:type="dxa"/>
            <w:vMerge w:val="restart"/>
          </w:tcPr>
          <w:p w14:paraId="32C93AB6" w14:textId="3A7E6B1F" w:rsidR="00334A6B" w:rsidRPr="00E73B95" w:rsidRDefault="00334A6B" w:rsidP="00334A6B">
            <w:pPr>
              <w:spacing w:before="120" w:after="120"/>
              <w:rPr>
                <w:sz w:val="18"/>
                <w:szCs w:val="18"/>
              </w:rPr>
            </w:pPr>
            <w:r>
              <w:rPr>
                <w:sz w:val="18"/>
                <w:szCs w:val="18"/>
              </w:rPr>
              <w:t>Challenges: all possible selected technologies options cost are accessible based on data collection.</w:t>
            </w:r>
          </w:p>
        </w:tc>
      </w:tr>
      <w:tr w:rsidR="00334A6B" w14:paraId="66F8DEB9" w14:textId="77777777" w:rsidTr="00A96C02">
        <w:tc>
          <w:tcPr>
            <w:tcW w:w="2065" w:type="dxa"/>
          </w:tcPr>
          <w:p w14:paraId="24208047" w14:textId="07C32B3C" w:rsidR="00334A6B" w:rsidRPr="008015C7" w:rsidRDefault="00334A6B" w:rsidP="00334A6B">
            <w:pPr>
              <w:spacing w:before="120" w:after="120"/>
              <w:rPr>
                <w:rFonts w:ascii="Calibri-Bold" w:hAnsi="Calibri-Bold" w:cs="Browallia New"/>
                <w:sz w:val="18"/>
                <w:szCs w:val="22"/>
              </w:rPr>
            </w:pPr>
            <w:r w:rsidRPr="008015C7">
              <w:rPr>
                <w:rFonts w:ascii="Calibri-Bold" w:hAnsi="Calibri-Bold" w:cs="Browallia New"/>
                <w:sz w:val="18"/>
                <w:szCs w:val="22"/>
              </w:rPr>
              <w:t>3.2: Assessment of financial aspects of technology</w:t>
            </w:r>
          </w:p>
        </w:tc>
        <w:tc>
          <w:tcPr>
            <w:tcW w:w="2121" w:type="dxa"/>
          </w:tcPr>
          <w:p w14:paraId="0DE5F40B" w14:textId="4D9D07DB" w:rsidR="00334A6B" w:rsidRPr="00E73B95" w:rsidRDefault="006A0397" w:rsidP="00334A6B">
            <w:pPr>
              <w:spacing w:before="120" w:after="120"/>
              <w:rPr>
                <w:sz w:val="18"/>
                <w:szCs w:val="18"/>
              </w:rPr>
            </w:pPr>
            <w:r>
              <w:rPr>
                <w:rFonts w:ascii="Calibri" w:hAnsi="Calibri" w:cs="Calibri"/>
                <w:sz w:val="18"/>
                <w:szCs w:val="18"/>
              </w:rPr>
              <w:t xml:space="preserve">Result of </w:t>
            </w:r>
            <w:r w:rsidR="00334A6B">
              <w:rPr>
                <w:rFonts w:ascii="Calibri" w:hAnsi="Calibri" w:cs="Calibri"/>
                <w:sz w:val="18"/>
                <w:szCs w:val="18"/>
              </w:rPr>
              <w:t xml:space="preserve">possible tech-economic option that can be promoted to achieve the target set in BEC  </w:t>
            </w:r>
          </w:p>
        </w:tc>
        <w:tc>
          <w:tcPr>
            <w:tcW w:w="1569" w:type="dxa"/>
          </w:tcPr>
          <w:p w14:paraId="49D01214" w14:textId="3FC1BB9C" w:rsidR="00334A6B" w:rsidRPr="00E73B95" w:rsidRDefault="00ED3EB0" w:rsidP="00334A6B">
            <w:pPr>
              <w:spacing w:before="120" w:after="120"/>
              <w:rPr>
                <w:sz w:val="18"/>
                <w:szCs w:val="18"/>
              </w:rPr>
            </w:pPr>
            <w:r>
              <w:rPr>
                <w:sz w:val="18"/>
                <w:szCs w:val="18"/>
              </w:rPr>
              <w:t>One r</w:t>
            </w:r>
            <w:r w:rsidR="006A0397">
              <w:rPr>
                <w:sz w:val="18"/>
                <w:szCs w:val="18"/>
              </w:rPr>
              <w:t xml:space="preserve">eport </w:t>
            </w:r>
            <w:r w:rsidR="00334A6B">
              <w:rPr>
                <w:sz w:val="18"/>
                <w:szCs w:val="18"/>
              </w:rPr>
              <w:t xml:space="preserve">of </w:t>
            </w:r>
            <w:r w:rsidR="00334A6B" w:rsidRPr="00353659">
              <w:rPr>
                <w:sz w:val="18"/>
                <w:szCs w:val="18"/>
              </w:rPr>
              <w:t xml:space="preserve">financial assessment including applied methodology, key </w:t>
            </w:r>
            <w:r w:rsidR="00334A6B" w:rsidRPr="00353659">
              <w:rPr>
                <w:sz w:val="18"/>
                <w:szCs w:val="18"/>
              </w:rPr>
              <w:lastRenderedPageBreak/>
              <w:t>data, findings and recommendations</w:t>
            </w:r>
          </w:p>
        </w:tc>
        <w:tc>
          <w:tcPr>
            <w:tcW w:w="1890" w:type="dxa"/>
            <w:vMerge/>
          </w:tcPr>
          <w:p w14:paraId="4E525910" w14:textId="7AB15E1F" w:rsidR="00334A6B" w:rsidRPr="00E73B95" w:rsidRDefault="00334A6B" w:rsidP="00334A6B">
            <w:pPr>
              <w:spacing w:before="120" w:after="120"/>
              <w:rPr>
                <w:sz w:val="18"/>
                <w:szCs w:val="18"/>
              </w:rPr>
            </w:pPr>
          </w:p>
        </w:tc>
        <w:tc>
          <w:tcPr>
            <w:tcW w:w="1939" w:type="dxa"/>
            <w:vMerge/>
          </w:tcPr>
          <w:p w14:paraId="482FA5CF" w14:textId="2A6B63A6" w:rsidR="00334A6B" w:rsidRPr="00E73B95" w:rsidRDefault="00334A6B" w:rsidP="00334A6B">
            <w:pPr>
              <w:spacing w:before="120" w:after="120"/>
              <w:rPr>
                <w:sz w:val="18"/>
                <w:szCs w:val="18"/>
              </w:rPr>
            </w:pPr>
          </w:p>
        </w:tc>
      </w:tr>
      <w:tr w:rsidR="00334A6B" w:rsidRPr="00AD5E87" w14:paraId="20D52AC8" w14:textId="77777777" w:rsidTr="00A96C02">
        <w:tc>
          <w:tcPr>
            <w:tcW w:w="2065" w:type="dxa"/>
          </w:tcPr>
          <w:p w14:paraId="2F88E7B3" w14:textId="6CD02F65" w:rsidR="00334A6B" w:rsidRPr="00AD5E87" w:rsidRDefault="00334A6B" w:rsidP="00334A6B">
            <w:pPr>
              <w:spacing w:before="120" w:after="120"/>
              <w:rPr>
                <w:rFonts w:ascii="Calibri-Bold" w:hAnsi="Calibri-Bold" w:cs="Browallia New"/>
                <w:sz w:val="18"/>
                <w:szCs w:val="22"/>
              </w:rPr>
            </w:pPr>
            <w:r w:rsidRPr="00AD5E87">
              <w:rPr>
                <w:rFonts w:ascii="Calibri-Bold" w:hAnsi="Calibri-Bold" w:cs="Browallia New"/>
                <w:sz w:val="18"/>
                <w:szCs w:val="22"/>
              </w:rPr>
              <w:t>3.3: Workshop to present recommended technology options</w:t>
            </w:r>
          </w:p>
        </w:tc>
        <w:tc>
          <w:tcPr>
            <w:tcW w:w="2121" w:type="dxa"/>
          </w:tcPr>
          <w:p w14:paraId="7C91101E" w14:textId="24687646" w:rsidR="00334A6B" w:rsidRDefault="00334A6B" w:rsidP="00334A6B">
            <w:pPr>
              <w:spacing w:before="120" w:after="120"/>
              <w:rPr>
                <w:sz w:val="18"/>
                <w:szCs w:val="18"/>
              </w:rPr>
            </w:pPr>
            <w:r w:rsidRPr="00AD5E87">
              <w:rPr>
                <w:sz w:val="18"/>
                <w:szCs w:val="18"/>
              </w:rPr>
              <w:t>Organize of dissemination workshop</w:t>
            </w:r>
          </w:p>
          <w:p w14:paraId="568E18CB" w14:textId="77777777" w:rsidR="0081395C" w:rsidRPr="00AD5E87" w:rsidRDefault="0081395C" w:rsidP="00334A6B">
            <w:pPr>
              <w:spacing w:before="120" w:after="120"/>
              <w:rPr>
                <w:sz w:val="18"/>
                <w:szCs w:val="18"/>
              </w:rPr>
            </w:pPr>
          </w:p>
          <w:p w14:paraId="322D9086" w14:textId="68555433" w:rsidR="00334A6B" w:rsidRPr="00AD5E87" w:rsidRDefault="00334A6B" w:rsidP="00334A6B">
            <w:pPr>
              <w:spacing w:before="120" w:after="120"/>
              <w:rPr>
                <w:sz w:val="18"/>
                <w:szCs w:val="18"/>
              </w:rPr>
            </w:pPr>
            <w:r w:rsidRPr="00AD5E87">
              <w:rPr>
                <w:sz w:val="18"/>
                <w:szCs w:val="18"/>
              </w:rPr>
              <w:t>Number of participants</w:t>
            </w:r>
          </w:p>
        </w:tc>
        <w:tc>
          <w:tcPr>
            <w:tcW w:w="1569" w:type="dxa"/>
          </w:tcPr>
          <w:p w14:paraId="6D3FAEBB" w14:textId="230DAD91" w:rsidR="00334A6B" w:rsidRDefault="000A208B" w:rsidP="00334A6B">
            <w:pPr>
              <w:spacing w:before="120" w:after="120"/>
              <w:rPr>
                <w:rFonts w:ascii="Calibri" w:hAnsi="Calibri" w:cs="Calibri"/>
                <w:sz w:val="18"/>
                <w:szCs w:val="18"/>
              </w:rPr>
            </w:pPr>
            <w:r w:rsidRPr="000A208B">
              <w:rPr>
                <w:rFonts w:ascii="Calibri" w:hAnsi="Calibri" w:cs="Calibri"/>
                <w:sz w:val="18"/>
                <w:szCs w:val="18"/>
              </w:rPr>
              <w:t>Summarize report of the dissemination workshop</w:t>
            </w:r>
          </w:p>
          <w:p w14:paraId="190E3DFF" w14:textId="187296C2" w:rsidR="0081395C" w:rsidRPr="00AD5E87" w:rsidRDefault="0081395C" w:rsidP="00334A6B">
            <w:pPr>
              <w:spacing w:before="120" w:after="120"/>
              <w:rPr>
                <w:sz w:val="18"/>
                <w:szCs w:val="18"/>
              </w:rPr>
            </w:pPr>
            <w:r>
              <w:rPr>
                <w:rFonts w:ascii="Calibri" w:hAnsi="Calibri" w:cs="Calibri"/>
                <w:sz w:val="18"/>
                <w:szCs w:val="18"/>
              </w:rPr>
              <w:t>20 participants</w:t>
            </w:r>
          </w:p>
        </w:tc>
        <w:tc>
          <w:tcPr>
            <w:tcW w:w="1890" w:type="dxa"/>
          </w:tcPr>
          <w:p w14:paraId="526D26E5" w14:textId="082BC4CB" w:rsidR="00334A6B" w:rsidRPr="00AD5E87" w:rsidRDefault="00334A6B" w:rsidP="00334A6B">
            <w:pPr>
              <w:spacing w:before="120" w:after="120"/>
              <w:rPr>
                <w:sz w:val="18"/>
                <w:szCs w:val="18"/>
              </w:rPr>
            </w:pPr>
            <w:r w:rsidRPr="00AD5E87">
              <w:rPr>
                <w:sz w:val="18"/>
                <w:szCs w:val="18"/>
              </w:rPr>
              <w:t>Report summarizing  from discussion and workshop evaluation results from the target stakeholders</w:t>
            </w:r>
          </w:p>
        </w:tc>
        <w:tc>
          <w:tcPr>
            <w:tcW w:w="1939" w:type="dxa"/>
          </w:tcPr>
          <w:p w14:paraId="4079EF11" w14:textId="1229461D" w:rsidR="00334A6B" w:rsidRPr="00AD5E87" w:rsidRDefault="00334A6B" w:rsidP="00334A6B">
            <w:pPr>
              <w:spacing w:before="120" w:after="120"/>
              <w:rPr>
                <w:sz w:val="18"/>
                <w:szCs w:val="18"/>
              </w:rPr>
            </w:pPr>
            <w:r w:rsidRPr="00AD5E87">
              <w:rPr>
                <w:sz w:val="18"/>
                <w:szCs w:val="18"/>
              </w:rPr>
              <w:t>Challenges: Number of participants from the target stakeholder, due to the uncertainties relating to Covid-19 pandemic.</w:t>
            </w:r>
          </w:p>
        </w:tc>
      </w:tr>
      <w:tr w:rsidR="00334A6B" w14:paraId="0E4D42A7" w14:textId="77777777" w:rsidTr="00A96C02">
        <w:tc>
          <w:tcPr>
            <w:tcW w:w="2065" w:type="dxa"/>
            <w:shd w:val="clear" w:color="auto" w:fill="FFF2CC" w:themeFill="accent4" w:themeFillTint="33"/>
          </w:tcPr>
          <w:p w14:paraId="14A63C4B" w14:textId="3F2AC1F6" w:rsidR="00334A6B" w:rsidRPr="00272C98" w:rsidRDefault="00334A6B" w:rsidP="00334A6B">
            <w:pPr>
              <w:spacing w:before="120" w:after="120"/>
              <w:rPr>
                <w:sz w:val="18"/>
                <w:szCs w:val="18"/>
              </w:rPr>
            </w:pPr>
            <w:r w:rsidRPr="00272C98">
              <w:rPr>
                <w:rFonts w:ascii="Calibri-Bold" w:hAnsi="Calibri-Bold" w:cs="Calibri-Bold"/>
                <w:sz w:val="18"/>
                <w:szCs w:val="18"/>
              </w:rPr>
              <w:t>Output 4: Energy audit of five building types: Office, Medical Center, Hotel, Department store and Condominium</w:t>
            </w:r>
          </w:p>
        </w:tc>
        <w:tc>
          <w:tcPr>
            <w:tcW w:w="2121" w:type="dxa"/>
            <w:shd w:val="clear" w:color="auto" w:fill="FFF2CC" w:themeFill="accent4" w:themeFillTint="33"/>
          </w:tcPr>
          <w:p w14:paraId="3E1D3FB6" w14:textId="0C9ECE9E" w:rsidR="00334A6B" w:rsidRPr="00272C98" w:rsidRDefault="00334A6B" w:rsidP="00334A6B">
            <w:pPr>
              <w:spacing w:before="120" w:after="120"/>
              <w:rPr>
                <w:sz w:val="18"/>
                <w:szCs w:val="18"/>
              </w:rPr>
            </w:pPr>
            <w:r w:rsidRPr="00272C98">
              <w:rPr>
                <w:sz w:val="18"/>
                <w:szCs w:val="18"/>
              </w:rPr>
              <w:t>Anticipated metric tons of CO</w:t>
            </w:r>
            <w:r w:rsidRPr="00272C98">
              <w:rPr>
                <w:sz w:val="18"/>
                <w:szCs w:val="18"/>
                <w:vertAlign w:val="subscript"/>
              </w:rPr>
              <w:t>2</w:t>
            </w:r>
            <w:r w:rsidRPr="00272C98">
              <w:rPr>
                <w:sz w:val="18"/>
                <w:szCs w:val="18"/>
              </w:rPr>
              <w:t xml:space="preserve"> equivalent (tCO</w:t>
            </w:r>
            <w:r w:rsidRPr="00272C98">
              <w:rPr>
                <w:sz w:val="18"/>
                <w:szCs w:val="18"/>
                <w:vertAlign w:val="subscript"/>
              </w:rPr>
              <w:t>2</w:t>
            </w:r>
            <w:r w:rsidR="00734804">
              <w:rPr>
                <w:sz w:val="18"/>
                <w:szCs w:val="18"/>
              </w:rPr>
              <w:t>e) emissions reductions</w:t>
            </w:r>
            <w:r w:rsidRPr="00272C98">
              <w:rPr>
                <w:sz w:val="18"/>
                <w:szCs w:val="18"/>
              </w:rPr>
              <w:t xml:space="preserve"> or avoided as a result of CTCN TA </w:t>
            </w:r>
          </w:p>
          <w:p w14:paraId="4863BF58" w14:textId="77777777" w:rsidR="00334A6B" w:rsidRPr="00272C98" w:rsidRDefault="00334A6B" w:rsidP="00334A6B">
            <w:pPr>
              <w:spacing w:before="120" w:after="120"/>
              <w:rPr>
                <w:sz w:val="18"/>
                <w:szCs w:val="18"/>
              </w:rPr>
            </w:pPr>
          </w:p>
        </w:tc>
        <w:tc>
          <w:tcPr>
            <w:tcW w:w="1569" w:type="dxa"/>
            <w:shd w:val="clear" w:color="auto" w:fill="FFF2CC" w:themeFill="accent4" w:themeFillTint="33"/>
          </w:tcPr>
          <w:p w14:paraId="35B0725A" w14:textId="097A223B" w:rsidR="00334A6B" w:rsidRPr="00272C98" w:rsidRDefault="00334A6B" w:rsidP="00334A6B">
            <w:pPr>
              <w:spacing w:before="120" w:after="120"/>
              <w:rPr>
                <w:sz w:val="18"/>
                <w:szCs w:val="18"/>
              </w:rPr>
            </w:pPr>
            <w:r w:rsidRPr="00272C98">
              <w:rPr>
                <w:rFonts w:ascii="Calibri-Bold" w:hAnsi="Calibri-Bold" w:cs="Browallia New"/>
                <w:sz w:val="18"/>
                <w:szCs w:val="22"/>
              </w:rPr>
              <w:t>Estimation of potential GHG and energy saving options and recommendation for MRV framework</w:t>
            </w:r>
          </w:p>
        </w:tc>
        <w:tc>
          <w:tcPr>
            <w:tcW w:w="1890" w:type="dxa"/>
            <w:shd w:val="clear" w:color="auto" w:fill="FFF2CC" w:themeFill="accent4" w:themeFillTint="33"/>
          </w:tcPr>
          <w:p w14:paraId="4D1FC94D" w14:textId="1EF012EE" w:rsidR="00334A6B" w:rsidRPr="00272C98" w:rsidRDefault="00334A6B" w:rsidP="00334A6B">
            <w:pPr>
              <w:spacing w:before="120" w:after="120"/>
              <w:rPr>
                <w:sz w:val="18"/>
                <w:szCs w:val="18"/>
              </w:rPr>
            </w:pPr>
            <w:r w:rsidRPr="00272C98">
              <w:rPr>
                <w:sz w:val="18"/>
                <w:szCs w:val="18"/>
              </w:rPr>
              <w:t>The initial site selection will be discuss with relevant stakeholders on the merits selection of the audit sites</w:t>
            </w:r>
          </w:p>
        </w:tc>
        <w:tc>
          <w:tcPr>
            <w:tcW w:w="1939" w:type="dxa"/>
            <w:shd w:val="clear" w:color="auto" w:fill="FFF2CC" w:themeFill="accent4" w:themeFillTint="33"/>
          </w:tcPr>
          <w:p w14:paraId="577A6A4F" w14:textId="7A65AF9A" w:rsidR="00334A6B" w:rsidRPr="00272C98" w:rsidRDefault="00334A6B" w:rsidP="00334A6B">
            <w:pPr>
              <w:spacing w:before="120" w:after="120"/>
              <w:rPr>
                <w:sz w:val="18"/>
                <w:szCs w:val="18"/>
              </w:rPr>
            </w:pPr>
            <w:r w:rsidRPr="00272C98">
              <w:rPr>
                <w:sz w:val="18"/>
                <w:szCs w:val="18"/>
              </w:rPr>
              <w:t>Challenges: Number of buildings participation for conducting the detail energy audit within a limited period of the project timelines</w:t>
            </w:r>
          </w:p>
        </w:tc>
      </w:tr>
      <w:tr w:rsidR="00334A6B" w14:paraId="654AE4C8" w14:textId="77777777" w:rsidTr="008C30B9">
        <w:tc>
          <w:tcPr>
            <w:tcW w:w="2065" w:type="dxa"/>
          </w:tcPr>
          <w:p w14:paraId="628C7901" w14:textId="2BD77647" w:rsidR="00334A6B" w:rsidRPr="000D426C" w:rsidRDefault="00334A6B" w:rsidP="00334A6B">
            <w:pPr>
              <w:spacing w:before="120" w:after="120"/>
              <w:rPr>
                <w:rFonts w:ascii="Calibri-Bold" w:hAnsi="Calibri-Bold" w:cs="Browallia New"/>
                <w:sz w:val="18"/>
                <w:szCs w:val="22"/>
              </w:rPr>
            </w:pPr>
            <w:r w:rsidRPr="000D426C">
              <w:rPr>
                <w:rFonts w:ascii="Calibri-Bold" w:hAnsi="Calibri-Bold" w:cs="Browallia New"/>
                <w:sz w:val="18"/>
                <w:szCs w:val="22"/>
              </w:rPr>
              <w:t>4.1: Energy audits for technology</w:t>
            </w:r>
            <w:r>
              <w:rPr>
                <w:rFonts w:ascii="Calibri-Bold" w:hAnsi="Calibri-Bold" w:cs="Browallia New"/>
                <w:sz w:val="18"/>
                <w:szCs w:val="22"/>
              </w:rPr>
              <w:t xml:space="preserve"> </w:t>
            </w:r>
            <w:r w:rsidRPr="000D426C">
              <w:rPr>
                <w:rFonts w:ascii="Calibri-Bold" w:hAnsi="Calibri-Bold" w:cs="Browallia New"/>
                <w:sz w:val="18"/>
                <w:szCs w:val="22"/>
              </w:rPr>
              <w:t>recommendations for retrofitting existing buildings as an input to future policies and regulations</w:t>
            </w:r>
          </w:p>
        </w:tc>
        <w:tc>
          <w:tcPr>
            <w:tcW w:w="2121" w:type="dxa"/>
          </w:tcPr>
          <w:p w14:paraId="420B0324" w14:textId="420BAF1E" w:rsidR="00334A6B" w:rsidRPr="000D426C" w:rsidRDefault="00272C98" w:rsidP="00272C98">
            <w:pPr>
              <w:spacing w:before="120" w:after="120"/>
              <w:rPr>
                <w:rFonts w:ascii="Calibri-Bold" w:hAnsi="Calibri-Bold" w:cs="Browallia New"/>
                <w:sz w:val="18"/>
                <w:szCs w:val="22"/>
              </w:rPr>
            </w:pPr>
            <w:r>
              <w:rPr>
                <w:rFonts w:ascii="Calibri-Bold" w:hAnsi="Calibri-Bold" w:cs="Browallia New"/>
                <w:sz w:val="18"/>
                <w:szCs w:val="22"/>
              </w:rPr>
              <w:t>Result</w:t>
            </w:r>
            <w:r w:rsidR="00334A6B">
              <w:rPr>
                <w:rFonts w:ascii="Calibri-Bold" w:hAnsi="Calibri-Bold" w:cs="Browallia New"/>
                <w:sz w:val="18"/>
                <w:szCs w:val="22"/>
              </w:rPr>
              <w:t xml:space="preserve"> of </w:t>
            </w:r>
            <w:r>
              <w:rPr>
                <w:rFonts w:ascii="Calibri-Bold" w:hAnsi="Calibri-Bold" w:cs="Browallia New"/>
                <w:sz w:val="18"/>
                <w:szCs w:val="22"/>
              </w:rPr>
              <w:t>ten energy audit</w:t>
            </w:r>
            <w:r w:rsidR="00334A6B">
              <w:rPr>
                <w:rFonts w:ascii="Calibri-Bold" w:hAnsi="Calibri-Bold" w:cs="Browallia New"/>
                <w:sz w:val="18"/>
                <w:szCs w:val="22"/>
              </w:rPr>
              <w:t xml:space="preserve"> </w:t>
            </w:r>
            <w:r>
              <w:rPr>
                <w:rFonts w:ascii="Calibri-Bold" w:hAnsi="Calibri-Bold" w:cs="Browallia New"/>
                <w:sz w:val="18"/>
                <w:szCs w:val="22"/>
              </w:rPr>
              <w:t xml:space="preserve">buildings </w:t>
            </w:r>
            <w:r w:rsidR="00334A6B">
              <w:rPr>
                <w:rFonts w:ascii="Calibri-Bold" w:hAnsi="Calibri-Bold" w:cs="Browallia New"/>
                <w:sz w:val="18"/>
                <w:szCs w:val="22"/>
              </w:rPr>
              <w:t>conducted as a result of CTCN TA</w:t>
            </w:r>
          </w:p>
        </w:tc>
        <w:tc>
          <w:tcPr>
            <w:tcW w:w="1569" w:type="dxa"/>
          </w:tcPr>
          <w:p w14:paraId="3B844582" w14:textId="7CB3245D" w:rsidR="00334A6B" w:rsidRPr="000D426C" w:rsidRDefault="00734804" w:rsidP="00734804">
            <w:pPr>
              <w:spacing w:before="120" w:after="120"/>
              <w:rPr>
                <w:rFonts w:ascii="Calibri-Bold" w:hAnsi="Calibri-Bold" w:cs="Browallia New"/>
                <w:sz w:val="18"/>
                <w:szCs w:val="22"/>
              </w:rPr>
            </w:pPr>
            <w:r>
              <w:rPr>
                <w:rFonts w:ascii="Calibri-Bold" w:hAnsi="Calibri-Bold" w:cs="Browallia New"/>
                <w:sz w:val="18"/>
                <w:szCs w:val="22"/>
              </w:rPr>
              <w:t xml:space="preserve">Report </w:t>
            </w:r>
            <w:r w:rsidR="004C3E18">
              <w:rPr>
                <w:rFonts w:ascii="Calibri-Bold" w:hAnsi="Calibri-Bold" w:cs="Browallia New"/>
                <w:sz w:val="18"/>
                <w:szCs w:val="22"/>
              </w:rPr>
              <w:t>with</w:t>
            </w:r>
            <w:r>
              <w:rPr>
                <w:rFonts w:ascii="Calibri-Bold" w:hAnsi="Calibri-Bold" w:cs="Browallia New"/>
                <w:sz w:val="18"/>
                <w:szCs w:val="22"/>
              </w:rPr>
              <w:t xml:space="preserve"> consolidating result</w:t>
            </w:r>
            <w:r w:rsidR="00272C98" w:rsidRPr="00272C98">
              <w:rPr>
                <w:rFonts w:ascii="Calibri-Bold" w:hAnsi="Calibri-Bold" w:cs="Browallia New"/>
                <w:sz w:val="18"/>
                <w:szCs w:val="22"/>
              </w:rPr>
              <w:t xml:space="preserve"> of </w:t>
            </w:r>
            <w:r>
              <w:rPr>
                <w:rFonts w:ascii="Calibri-Bold" w:hAnsi="Calibri-Bold" w:cs="Browallia New"/>
                <w:sz w:val="18"/>
                <w:szCs w:val="22"/>
              </w:rPr>
              <w:t xml:space="preserve">ten </w:t>
            </w:r>
            <w:r w:rsidR="00272C98" w:rsidRPr="00272C98">
              <w:rPr>
                <w:rFonts w:ascii="Calibri-Bold" w:hAnsi="Calibri-Bold" w:cs="Browallia New"/>
                <w:sz w:val="18"/>
                <w:szCs w:val="22"/>
              </w:rPr>
              <w:t>energy audit</w:t>
            </w:r>
            <w:r>
              <w:rPr>
                <w:rFonts w:ascii="Calibri-Bold" w:hAnsi="Calibri-Bold" w:cs="Browallia New"/>
                <w:sz w:val="18"/>
                <w:szCs w:val="22"/>
              </w:rPr>
              <w:t>s</w:t>
            </w:r>
            <w:r w:rsidR="00272C98" w:rsidRPr="00272C98">
              <w:rPr>
                <w:rFonts w:ascii="Calibri-Bold" w:hAnsi="Calibri-Bold" w:cs="Browallia New"/>
                <w:sz w:val="18"/>
                <w:szCs w:val="22"/>
              </w:rPr>
              <w:t xml:space="preserve"> on potential GHG and energy-saving options and recommendation for MRV framework</w:t>
            </w:r>
          </w:p>
        </w:tc>
        <w:tc>
          <w:tcPr>
            <w:tcW w:w="1890" w:type="dxa"/>
          </w:tcPr>
          <w:p w14:paraId="5C6B665D" w14:textId="23AD30A1" w:rsidR="00334A6B" w:rsidRPr="00E73B95" w:rsidRDefault="00334A6B" w:rsidP="00334A6B">
            <w:pPr>
              <w:spacing w:before="120" w:after="120"/>
              <w:rPr>
                <w:sz w:val="18"/>
                <w:szCs w:val="18"/>
              </w:rPr>
            </w:pPr>
            <w:r>
              <w:rPr>
                <w:sz w:val="18"/>
                <w:szCs w:val="18"/>
              </w:rPr>
              <w:t>Ten representative audit sites will be selected in consultation with CTCN, NDA, NDE, DEDE</w:t>
            </w:r>
          </w:p>
        </w:tc>
        <w:tc>
          <w:tcPr>
            <w:tcW w:w="1939" w:type="dxa"/>
            <w:vMerge w:val="restart"/>
            <w:vAlign w:val="center"/>
          </w:tcPr>
          <w:p w14:paraId="513189A6" w14:textId="77777777" w:rsidR="00334A6B" w:rsidRDefault="00334A6B" w:rsidP="00334A6B">
            <w:pPr>
              <w:spacing w:before="120" w:after="120"/>
              <w:rPr>
                <w:sz w:val="18"/>
                <w:szCs w:val="18"/>
              </w:rPr>
            </w:pPr>
            <w:r w:rsidRPr="004866E9">
              <w:rPr>
                <w:sz w:val="18"/>
                <w:szCs w:val="18"/>
              </w:rPr>
              <w:t xml:space="preserve">Challenges: </w:t>
            </w:r>
          </w:p>
          <w:p w14:paraId="1F42EB55" w14:textId="2611D6F8" w:rsidR="00334A6B" w:rsidRPr="00E73B95" w:rsidRDefault="00334A6B" w:rsidP="00334A6B">
            <w:pPr>
              <w:spacing w:before="120" w:after="120"/>
              <w:rPr>
                <w:sz w:val="18"/>
                <w:szCs w:val="18"/>
              </w:rPr>
            </w:pPr>
            <w:r w:rsidRPr="004866E9">
              <w:rPr>
                <w:sz w:val="18"/>
                <w:szCs w:val="18"/>
              </w:rPr>
              <w:t>Number of buildings participation for conducting the detail energy audit within a limited period of the project timelines</w:t>
            </w:r>
            <w:r>
              <w:rPr>
                <w:sz w:val="18"/>
                <w:szCs w:val="18"/>
              </w:rPr>
              <w:t xml:space="preserve"> </w:t>
            </w:r>
          </w:p>
        </w:tc>
      </w:tr>
      <w:tr w:rsidR="00334A6B" w14:paraId="58EEE3FC" w14:textId="77777777" w:rsidTr="008C30B9">
        <w:tc>
          <w:tcPr>
            <w:tcW w:w="2065" w:type="dxa"/>
          </w:tcPr>
          <w:p w14:paraId="29DA7C16" w14:textId="3F3D331C" w:rsidR="00334A6B" w:rsidRPr="000D426C" w:rsidRDefault="00334A6B" w:rsidP="00334A6B">
            <w:pPr>
              <w:spacing w:before="120" w:after="120"/>
              <w:rPr>
                <w:rFonts w:ascii="Calibri-Bold" w:hAnsi="Calibri-Bold" w:cs="Browallia New"/>
                <w:sz w:val="18"/>
                <w:szCs w:val="22"/>
              </w:rPr>
            </w:pPr>
            <w:r w:rsidRPr="000D426C">
              <w:rPr>
                <w:rFonts w:ascii="Calibri-Bold" w:hAnsi="Calibri-Bold" w:cs="Browallia New"/>
                <w:sz w:val="18"/>
                <w:szCs w:val="22"/>
              </w:rPr>
              <w:t>4.2: Simulation model to calculate the actual GHG emission and energy saving potential in the existing buildings</w:t>
            </w:r>
          </w:p>
        </w:tc>
        <w:tc>
          <w:tcPr>
            <w:tcW w:w="2121" w:type="dxa"/>
          </w:tcPr>
          <w:p w14:paraId="21D4E14B" w14:textId="0F1F52CA" w:rsidR="00334A6B" w:rsidRPr="0063314C" w:rsidRDefault="00334A6B" w:rsidP="00334A6B">
            <w:pPr>
              <w:spacing w:before="120" w:after="120"/>
              <w:rPr>
                <w:sz w:val="18"/>
                <w:szCs w:val="18"/>
              </w:rPr>
            </w:pPr>
            <w:r>
              <w:rPr>
                <w:sz w:val="18"/>
                <w:szCs w:val="18"/>
              </w:rPr>
              <w:t xml:space="preserve">Result of </w:t>
            </w:r>
            <w:r w:rsidRPr="0063314C">
              <w:rPr>
                <w:sz w:val="18"/>
                <w:szCs w:val="18"/>
              </w:rPr>
              <w:t>Anticipated metric tons of CO</w:t>
            </w:r>
            <w:r w:rsidRPr="0063314C">
              <w:rPr>
                <w:sz w:val="18"/>
                <w:szCs w:val="18"/>
                <w:vertAlign w:val="subscript"/>
              </w:rPr>
              <w:t>2</w:t>
            </w:r>
            <w:r w:rsidRPr="0063314C">
              <w:rPr>
                <w:sz w:val="18"/>
                <w:szCs w:val="18"/>
              </w:rPr>
              <w:t xml:space="preserve"> equivalent (tCO</w:t>
            </w:r>
            <w:r w:rsidRPr="0063314C">
              <w:rPr>
                <w:sz w:val="18"/>
                <w:szCs w:val="18"/>
                <w:vertAlign w:val="subscript"/>
              </w:rPr>
              <w:t>2</w:t>
            </w:r>
            <w:r w:rsidRPr="0063314C">
              <w:rPr>
                <w:sz w:val="18"/>
                <w:szCs w:val="18"/>
              </w:rPr>
              <w:t xml:space="preserve">e) emissions reduced or avoided as a result of CTCN TA </w:t>
            </w:r>
          </w:p>
          <w:p w14:paraId="3DD70F37" w14:textId="1086E391" w:rsidR="00334A6B" w:rsidRPr="0063314C" w:rsidRDefault="00334A6B" w:rsidP="00334A6B">
            <w:pPr>
              <w:spacing w:before="120" w:after="120"/>
              <w:rPr>
                <w:sz w:val="18"/>
                <w:szCs w:val="18"/>
              </w:rPr>
            </w:pPr>
          </w:p>
        </w:tc>
        <w:tc>
          <w:tcPr>
            <w:tcW w:w="1569" w:type="dxa"/>
          </w:tcPr>
          <w:p w14:paraId="7E6F85CC" w14:textId="0A40E93D" w:rsidR="00334A6B" w:rsidRPr="000D426C" w:rsidRDefault="004C3E18" w:rsidP="00334A6B">
            <w:pPr>
              <w:spacing w:before="120" w:after="120"/>
              <w:rPr>
                <w:rFonts w:ascii="Calibri-Bold" w:hAnsi="Calibri-Bold" w:cs="Browallia New"/>
                <w:sz w:val="18"/>
                <w:szCs w:val="22"/>
              </w:rPr>
            </w:pPr>
            <w:r>
              <w:rPr>
                <w:rFonts w:ascii="Calibri-Bold" w:hAnsi="Calibri-Bold" w:cs="Browallia New"/>
                <w:sz w:val="18"/>
                <w:szCs w:val="22"/>
              </w:rPr>
              <w:t xml:space="preserve">Report with </w:t>
            </w:r>
            <w:r w:rsidR="00734804">
              <w:rPr>
                <w:rFonts w:ascii="Calibri-Bold" w:hAnsi="Calibri-Bold" w:cs="Browallia New"/>
                <w:sz w:val="18"/>
                <w:szCs w:val="22"/>
              </w:rPr>
              <w:t>simulation result</w:t>
            </w:r>
            <w:r>
              <w:rPr>
                <w:rFonts w:ascii="Calibri-Bold" w:hAnsi="Calibri-Bold" w:cs="Browallia New"/>
                <w:sz w:val="18"/>
                <w:szCs w:val="22"/>
              </w:rPr>
              <w:t>s</w:t>
            </w:r>
            <w:r w:rsidR="00334A6B" w:rsidRPr="000D426C">
              <w:rPr>
                <w:rFonts w:ascii="Calibri-Bold" w:hAnsi="Calibri-Bold" w:cs="Browallia New"/>
                <w:sz w:val="18"/>
                <w:szCs w:val="22"/>
              </w:rPr>
              <w:t xml:space="preserve"> on energy and GHG emission  reduction potential by the identified technologies</w:t>
            </w:r>
          </w:p>
        </w:tc>
        <w:tc>
          <w:tcPr>
            <w:tcW w:w="1890" w:type="dxa"/>
          </w:tcPr>
          <w:p w14:paraId="176CD4A1" w14:textId="1E3948A1" w:rsidR="00334A6B" w:rsidRPr="00E73B95" w:rsidRDefault="00334A6B" w:rsidP="00334A6B">
            <w:pPr>
              <w:spacing w:before="120" w:after="120"/>
              <w:rPr>
                <w:sz w:val="18"/>
                <w:szCs w:val="18"/>
              </w:rPr>
            </w:pPr>
            <w:r>
              <w:rPr>
                <w:sz w:val="18"/>
                <w:szCs w:val="18"/>
              </w:rPr>
              <w:t>Findings from the energy audits and the technology assessment report under Task 1 will be used to run the simulation model</w:t>
            </w:r>
          </w:p>
        </w:tc>
        <w:tc>
          <w:tcPr>
            <w:tcW w:w="1939" w:type="dxa"/>
            <w:vMerge/>
          </w:tcPr>
          <w:p w14:paraId="4525DF28" w14:textId="42994B1E" w:rsidR="00334A6B" w:rsidRPr="00E73B95" w:rsidRDefault="00334A6B" w:rsidP="00334A6B">
            <w:pPr>
              <w:spacing w:before="120" w:after="120"/>
              <w:rPr>
                <w:sz w:val="18"/>
                <w:szCs w:val="18"/>
              </w:rPr>
            </w:pPr>
          </w:p>
        </w:tc>
      </w:tr>
      <w:tr w:rsidR="00334A6B" w14:paraId="36526CE0" w14:textId="77777777" w:rsidTr="00A96C02">
        <w:tc>
          <w:tcPr>
            <w:tcW w:w="2065" w:type="dxa"/>
            <w:shd w:val="clear" w:color="auto" w:fill="FFF2CC" w:themeFill="accent4" w:themeFillTint="33"/>
          </w:tcPr>
          <w:p w14:paraId="6416B606" w14:textId="2B8AFF5E" w:rsidR="00334A6B" w:rsidRPr="00272C98" w:rsidRDefault="00334A6B" w:rsidP="00334A6B">
            <w:pPr>
              <w:spacing w:before="120" w:after="120"/>
              <w:rPr>
                <w:rFonts w:ascii="Calibri-Bold" w:hAnsi="Calibri-Bold" w:cs="Calibri-Bold"/>
                <w:sz w:val="18"/>
                <w:szCs w:val="18"/>
              </w:rPr>
            </w:pPr>
            <w:r w:rsidRPr="00272C98">
              <w:rPr>
                <w:rFonts w:ascii="Calibri-Bold" w:hAnsi="Calibri-Bold" w:cs="Calibri-Bold"/>
                <w:sz w:val="18"/>
                <w:szCs w:val="18"/>
              </w:rPr>
              <w:t>Output 5: MRV framework for existing and new building types within the BEC framework</w:t>
            </w:r>
          </w:p>
        </w:tc>
        <w:tc>
          <w:tcPr>
            <w:tcW w:w="2121" w:type="dxa"/>
            <w:shd w:val="clear" w:color="auto" w:fill="FFF2CC" w:themeFill="accent4" w:themeFillTint="33"/>
          </w:tcPr>
          <w:p w14:paraId="5651FF23" w14:textId="50B04EC8" w:rsidR="00334A6B" w:rsidRPr="00272C98" w:rsidRDefault="00734804" w:rsidP="00734804">
            <w:pPr>
              <w:spacing w:before="120" w:after="120"/>
              <w:rPr>
                <w:rFonts w:ascii="Calibri-Bold" w:hAnsi="Calibri-Bold" w:cs="Calibri-Bold"/>
                <w:sz w:val="18"/>
                <w:szCs w:val="18"/>
              </w:rPr>
            </w:pPr>
            <w:r>
              <w:rPr>
                <w:sz w:val="18"/>
                <w:szCs w:val="18"/>
              </w:rPr>
              <w:t xml:space="preserve">Result of </w:t>
            </w:r>
            <w:r w:rsidR="00334A6B" w:rsidRPr="00272C98">
              <w:rPr>
                <w:sz w:val="18"/>
                <w:szCs w:val="18"/>
              </w:rPr>
              <w:t>MRV framework for reporting on the anticipated metric tons of CO</w:t>
            </w:r>
            <w:r w:rsidR="00334A6B" w:rsidRPr="00272C98">
              <w:rPr>
                <w:sz w:val="18"/>
                <w:szCs w:val="18"/>
                <w:vertAlign w:val="subscript"/>
              </w:rPr>
              <w:t>2</w:t>
            </w:r>
            <w:r w:rsidR="00334A6B" w:rsidRPr="00272C98">
              <w:rPr>
                <w:sz w:val="18"/>
                <w:szCs w:val="18"/>
              </w:rPr>
              <w:t xml:space="preserve"> equivalent (tCO</w:t>
            </w:r>
            <w:r w:rsidR="00334A6B" w:rsidRPr="00272C98">
              <w:rPr>
                <w:sz w:val="18"/>
                <w:szCs w:val="18"/>
                <w:vertAlign w:val="subscript"/>
              </w:rPr>
              <w:t>2e</w:t>
            </w:r>
            <w:r w:rsidR="00334A6B" w:rsidRPr="00272C98">
              <w:rPr>
                <w:sz w:val="18"/>
                <w:szCs w:val="18"/>
              </w:rPr>
              <w:t>) emissions reduced or avoided of the five target buildings</w:t>
            </w:r>
          </w:p>
        </w:tc>
        <w:tc>
          <w:tcPr>
            <w:tcW w:w="1569" w:type="dxa"/>
            <w:shd w:val="clear" w:color="auto" w:fill="FFF2CC" w:themeFill="accent4" w:themeFillTint="33"/>
          </w:tcPr>
          <w:p w14:paraId="22B5BE54" w14:textId="25625CB7" w:rsidR="00334A6B" w:rsidRPr="00EA3218" w:rsidRDefault="0042786E" w:rsidP="00A32738">
            <w:pPr>
              <w:spacing w:before="120" w:after="120"/>
              <w:rPr>
                <w:rFonts w:ascii="Calibri-Bold" w:hAnsi="Calibri-Bold" w:cs="Calibri-Bold"/>
                <w:sz w:val="18"/>
                <w:szCs w:val="18"/>
              </w:rPr>
            </w:pPr>
            <w:r w:rsidRPr="00EA3218">
              <w:rPr>
                <w:rFonts w:ascii="Calibri" w:hAnsi="Calibri" w:cs="Calibri"/>
                <w:sz w:val="18"/>
                <w:szCs w:val="18"/>
              </w:rPr>
              <w:t>One report of f</w:t>
            </w:r>
            <w:r w:rsidR="00334A6B" w:rsidRPr="00EA3218">
              <w:rPr>
                <w:rFonts w:ascii="Calibri" w:hAnsi="Calibri" w:cs="Calibri"/>
                <w:sz w:val="18"/>
                <w:szCs w:val="18"/>
              </w:rPr>
              <w:t xml:space="preserve">inalized the </w:t>
            </w:r>
            <w:r w:rsidR="00A32738" w:rsidRPr="00EA3218">
              <w:rPr>
                <w:rFonts w:ascii="Calibri" w:hAnsi="Calibri" w:cs="Calibri"/>
                <w:sz w:val="18"/>
                <w:szCs w:val="18"/>
              </w:rPr>
              <w:t>MRV framework.</w:t>
            </w:r>
          </w:p>
        </w:tc>
        <w:tc>
          <w:tcPr>
            <w:tcW w:w="1890" w:type="dxa"/>
            <w:shd w:val="clear" w:color="auto" w:fill="FFF2CC" w:themeFill="accent4" w:themeFillTint="33"/>
          </w:tcPr>
          <w:p w14:paraId="31536379" w14:textId="2997FE06" w:rsidR="00334A6B" w:rsidRPr="003D5636" w:rsidRDefault="00334A6B" w:rsidP="00334A6B">
            <w:pPr>
              <w:spacing w:before="120" w:after="120"/>
              <w:rPr>
                <w:sz w:val="18"/>
                <w:szCs w:val="18"/>
              </w:rPr>
            </w:pPr>
            <w:r w:rsidRPr="00272C98">
              <w:rPr>
                <w:sz w:val="18"/>
                <w:szCs w:val="18"/>
              </w:rPr>
              <w:t>The outputs under Task 1-4 will be utilized for the design of methodologies and operational MRV framework.</w:t>
            </w:r>
            <w:r w:rsidR="003D5636">
              <w:rPr>
                <w:sz w:val="18"/>
                <w:szCs w:val="18"/>
              </w:rPr>
              <w:t xml:space="preserve"> </w:t>
            </w:r>
            <w:r w:rsidRPr="00272C98">
              <w:rPr>
                <w:sz w:val="18"/>
                <w:szCs w:val="18"/>
              </w:rPr>
              <w:t>Finalize the draft MRV framework will be conducted in consultation with relevant stakeholders</w:t>
            </w:r>
          </w:p>
        </w:tc>
        <w:tc>
          <w:tcPr>
            <w:tcW w:w="1939" w:type="dxa"/>
            <w:shd w:val="clear" w:color="auto" w:fill="FFF2CC" w:themeFill="accent4" w:themeFillTint="33"/>
          </w:tcPr>
          <w:p w14:paraId="671BF352" w14:textId="0AD3E71B" w:rsidR="00334A6B" w:rsidRPr="00272C98" w:rsidRDefault="00334A6B" w:rsidP="00334A6B">
            <w:pPr>
              <w:spacing w:before="120" w:after="120"/>
              <w:rPr>
                <w:rFonts w:ascii="Calibri-Bold" w:hAnsi="Calibri-Bold" w:cs="Calibri-Bold"/>
                <w:sz w:val="18"/>
                <w:szCs w:val="18"/>
              </w:rPr>
            </w:pPr>
            <w:r w:rsidRPr="00272C98">
              <w:rPr>
                <w:rFonts w:ascii="Calibri-Bold" w:hAnsi="Calibri-Bold" w:cs="Calibri-Bold"/>
                <w:sz w:val="18"/>
                <w:szCs w:val="18"/>
              </w:rPr>
              <w:t>The overall framework should be gender sensitive</w:t>
            </w:r>
          </w:p>
        </w:tc>
      </w:tr>
      <w:tr w:rsidR="00334A6B" w14:paraId="12AC80FD" w14:textId="77777777" w:rsidTr="00A96C02">
        <w:tc>
          <w:tcPr>
            <w:tcW w:w="2065" w:type="dxa"/>
          </w:tcPr>
          <w:p w14:paraId="6B229A62" w14:textId="590B7F29" w:rsidR="00334A6B" w:rsidRPr="008B0DC6" w:rsidRDefault="00334A6B" w:rsidP="00334A6B">
            <w:pPr>
              <w:spacing w:before="120" w:after="120"/>
              <w:rPr>
                <w:rFonts w:ascii="Calibri-Bold" w:hAnsi="Calibri-Bold" w:cs="Browallia New"/>
                <w:sz w:val="18"/>
                <w:szCs w:val="22"/>
              </w:rPr>
            </w:pPr>
            <w:r w:rsidRPr="008B0DC6">
              <w:rPr>
                <w:rFonts w:ascii="Calibri-Bold" w:hAnsi="Calibri-Bold" w:cs="Browallia New"/>
                <w:sz w:val="18"/>
                <w:szCs w:val="22"/>
              </w:rPr>
              <w:t>5.1: Streamlining of data for developing an operational MRV</w:t>
            </w:r>
          </w:p>
        </w:tc>
        <w:tc>
          <w:tcPr>
            <w:tcW w:w="2121" w:type="dxa"/>
          </w:tcPr>
          <w:p w14:paraId="29897FB7" w14:textId="5F34A597" w:rsidR="00334A6B" w:rsidRPr="008B0DC6" w:rsidRDefault="00334A6B" w:rsidP="00334A6B">
            <w:pPr>
              <w:spacing w:before="120" w:after="120"/>
              <w:rPr>
                <w:rFonts w:ascii="Calibri-Bold" w:hAnsi="Calibri-Bold" w:cs="Browallia New"/>
                <w:sz w:val="18"/>
                <w:szCs w:val="22"/>
              </w:rPr>
            </w:pPr>
            <w:r w:rsidRPr="00DC0161">
              <w:rPr>
                <w:rFonts w:ascii="Calibri-Bold" w:hAnsi="Calibri-Bold" w:cs="Browallia New"/>
                <w:sz w:val="18"/>
                <w:szCs w:val="22"/>
              </w:rPr>
              <w:t>Result of MRV supplementary information collected and reviewed under BEC compliance</w:t>
            </w:r>
          </w:p>
        </w:tc>
        <w:tc>
          <w:tcPr>
            <w:tcW w:w="1569" w:type="dxa"/>
          </w:tcPr>
          <w:p w14:paraId="1AF5485B" w14:textId="41373C75" w:rsidR="00334A6B" w:rsidRPr="008B0DC6" w:rsidRDefault="00334A6B" w:rsidP="003D5636">
            <w:pPr>
              <w:spacing w:before="120" w:after="120"/>
              <w:rPr>
                <w:rFonts w:ascii="Calibri-Bold" w:hAnsi="Calibri-Bold" w:cs="Browallia New"/>
                <w:sz w:val="18"/>
                <w:szCs w:val="22"/>
              </w:rPr>
            </w:pPr>
            <w:r>
              <w:rPr>
                <w:rFonts w:ascii="Calibri-Bold" w:hAnsi="Calibri-Bold" w:cs="Browallia New"/>
                <w:sz w:val="18"/>
                <w:szCs w:val="22"/>
              </w:rPr>
              <w:t xml:space="preserve">Report on reviewing of existing </w:t>
            </w:r>
            <w:r w:rsidR="002318C8">
              <w:rPr>
                <w:rFonts w:ascii="Calibri-Bold" w:hAnsi="Calibri-Bold" w:cs="Browallia New"/>
                <w:sz w:val="18"/>
                <w:szCs w:val="22"/>
              </w:rPr>
              <w:t xml:space="preserve">data sets, and methodology of </w:t>
            </w:r>
            <w:r w:rsidR="003D5636">
              <w:rPr>
                <w:rFonts w:ascii="Calibri-Bold" w:hAnsi="Calibri-Bold" w:cs="Browallia New"/>
                <w:sz w:val="18"/>
                <w:szCs w:val="22"/>
              </w:rPr>
              <w:t>MRV framework</w:t>
            </w:r>
          </w:p>
        </w:tc>
        <w:tc>
          <w:tcPr>
            <w:tcW w:w="1890" w:type="dxa"/>
          </w:tcPr>
          <w:p w14:paraId="4EE5795D" w14:textId="6628E61E" w:rsidR="00334A6B" w:rsidRPr="00E73B95" w:rsidRDefault="00D0376A" w:rsidP="00334A6B">
            <w:pPr>
              <w:spacing w:before="120" w:after="120"/>
              <w:rPr>
                <w:sz w:val="18"/>
                <w:szCs w:val="18"/>
              </w:rPr>
            </w:pPr>
            <w:r>
              <w:rPr>
                <w:rFonts w:ascii="Calibri" w:hAnsi="Calibri" w:cs="Calibri"/>
                <w:sz w:val="18"/>
                <w:szCs w:val="18"/>
              </w:rPr>
              <w:t>Data collected of</w:t>
            </w:r>
            <w:r w:rsidRPr="00522CE2">
              <w:rPr>
                <w:rFonts w:ascii="Calibri" w:hAnsi="Calibri" w:cs="Calibri"/>
                <w:sz w:val="18"/>
                <w:szCs w:val="18"/>
              </w:rPr>
              <w:t xml:space="preserve"> existing available data</w:t>
            </w:r>
            <w:r>
              <w:rPr>
                <w:rFonts w:ascii="Calibri" w:hAnsi="Calibri" w:cs="Calibri"/>
                <w:sz w:val="18"/>
                <w:szCs w:val="18"/>
              </w:rPr>
              <w:t>base</w:t>
            </w:r>
            <w:r w:rsidRPr="00522CE2">
              <w:rPr>
                <w:rFonts w:ascii="Calibri" w:hAnsi="Calibri" w:cs="Calibri"/>
                <w:sz w:val="18"/>
                <w:szCs w:val="18"/>
              </w:rPr>
              <w:t xml:space="preserve"> </w:t>
            </w:r>
            <w:r>
              <w:rPr>
                <w:rFonts w:ascii="Calibri" w:hAnsi="Calibri" w:cs="Calibri"/>
                <w:sz w:val="18"/>
                <w:szCs w:val="18"/>
              </w:rPr>
              <w:t>and reports</w:t>
            </w:r>
          </w:p>
        </w:tc>
        <w:tc>
          <w:tcPr>
            <w:tcW w:w="1939" w:type="dxa"/>
          </w:tcPr>
          <w:p w14:paraId="546DC85D" w14:textId="77777777" w:rsidR="00334A6B" w:rsidRPr="00E73B95" w:rsidRDefault="00334A6B" w:rsidP="00334A6B">
            <w:pPr>
              <w:spacing w:before="120" w:after="120"/>
              <w:rPr>
                <w:sz w:val="18"/>
                <w:szCs w:val="18"/>
              </w:rPr>
            </w:pPr>
          </w:p>
        </w:tc>
      </w:tr>
      <w:tr w:rsidR="00334A6B" w14:paraId="0723491D" w14:textId="77777777" w:rsidTr="00A96C02">
        <w:tc>
          <w:tcPr>
            <w:tcW w:w="2065" w:type="dxa"/>
          </w:tcPr>
          <w:p w14:paraId="3952A0F1" w14:textId="44A0D5EA" w:rsidR="00334A6B" w:rsidRPr="008B0DC6" w:rsidRDefault="00334A6B" w:rsidP="00334A6B">
            <w:pPr>
              <w:spacing w:before="120" w:after="120"/>
              <w:rPr>
                <w:rFonts w:ascii="Calibri-Bold" w:hAnsi="Calibri-Bold" w:cs="Browallia New"/>
                <w:sz w:val="18"/>
                <w:szCs w:val="22"/>
              </w:rPr>
            </w:pPr>
            <w:r w:rsidRPr="008B0DC6">
              <w:rPr>
                <w:rFonts w:ascii="Calibri-Bold" w:hAnsi="Calibri-Bold" w:cs="Browallia New"/>
                <w:sz w:val="18"/>
                <w:szCs w:val="22"/>
              </w:rPr>
              <w:lastRenderedPageBreak/>
              <w:t>5.2: Identification of key indicators</w:t>
            </w:r>
          </w:p>
        </w:tc>
        <w:tc>
          <w:tcPr>
            <w:tcW w:w="2121" w:type="dxa"/>
          </w:tcPr>
          <w:p w14:paraId="31F50782" w14:textId="12B330E0" w:rsidR="00334A6B" w:rsidRPr="008B0DC6" w:rsidRDefault="002318C8" w:rsidP="00334A6B">
            <w:pPr>
              <w:spacing w:before="120" w:after="120"/>
              <w:rPr>
                <w:rFonts w:ascii="Calibri-Bold" w:hAnsi="Calibri-Bold" w:cs="Browallia New"/>
                <w:sz w:val="18"/>
                <w:szCs w:val="22"/>
              </w:rPr>
            </w:pPr>
            <w:r>
              <w:rPr>
                <w:sz w:val="18"/>
                <w:szCs w:val="18"/>
              </w:rPr>
              <w:t>Result of scoping</w:t>
            </w:r>
            <w:r w:rsidR="00334A6B">
              <w:rPr>
                <w:sz w:val="18"/>
                <w:szCs w:val="18"/>
              </w:rPr>
              <w:t xml:space="preserve"> and key parameters of t</w:t>
            </w:r>
            <w:r>
              <w:rPr>
                <w:sz w:val="18"/>
                <w:szCs w:val="18"/>
              </w:rPr>
              <w:t>he MRV framework to calculate</w:t>
            </w:r>
            <w:r w:rsidR="00334A6B">
              <w:rPr>
                <w:sz w:val="18"/>
                <w:szCs w:val="18"/>
              </w:rPr>
              <w:t xml:space="preserve"> GHG emission, energy use and energy saving  </w:t>
            </w:r>
          </w:p>
        </w:tc>
        <w:tc>
          <w:tcPr>
            <w:tcW w:w="1569" w:type="dxa"/>
          </w:tcPr>
          <w:p w14:paraId="202DC46B" w14:textId="0B1BAD8A" w:rsidR="00334A6B" w:rsidRPr="00563C6D" w:rsidRDefault="00334A6B" w:rsidP="00334A6B">
            <w:pPr>
              <w:spacing w:before="120" w:after="120"/>
              <w:rPr>
                <w:sz w:val="18"/>
                <w:szCs w:val="18"/>
              </w:rPr>
            </w:pPr>
            <w:r w:rsidRPr="00563C6D">
              <w:rPr>
                <w:sz w:val="18"/>
                <w:szCs w:val="18"/>
              </w:rPr>
              <w:t>List of key indicators for the MRV framework</w:t>
            </w:r>
          </w:p>
        </w:tc>
        <w:tc>
          <w:tcPr>
            <w:tcW w:w="1890" w:type="dxa"/>
          </w:tcPr>
          <w:p w14:paraId="16D50D92" w14:textId="4E67DE27" w:rsidR="00334A6B" w:rsidRPr="00E73B95" w:rsidRDefault="00334A6B" w:rsidP="00334A6B">
            <w:pPr>
              <w:spacing w:before="120" w:after="120"/>
              <w:rPr>
                <w:sz w:val="18"/>
                <w:szCs w:val="18"/>
              </w:rPr>
            </w:pPr>
            <w:r w:rsidRPr="006410E5">
              <w:rPr>
                <w:sz w:val="18"/>
                <w:szCs w:val="18"/>
              </w:rPr>
              <w:t>The outputs under Task 1-4 will be utilized for the design of methodologies and operational MRV framework</w:t>
            </w:r>
            <w:r>
              <w:rPr>
                <w:sz w:val="18"/>
                <w:szCs w:val="18"/>
              </w:rPr>
              <w:t>.</w:t>
            </w:r>
          </w:p>
        </w:tc>
        <w:tc>
          <w:tcPr>
            <w:tcW w:w="1939" w:type="dxa"/>
          </w:tcPr>
          <w:p w14:paraId="06766592" w14:textId="77777777" w:rsidR="00334A6B" w:rsidRPr="00E73B95" w:rsidRDefault="00334A6B" w:rsidP="00334A6B">
            <w:pPr>
              <w:spacing w:before="120" w:after="120"/>
              <w:rPr>
                <w:sz w:val="18"/>
                <w:szCs w:val="18"/>
              </w:rPr>
            </w:pPr>
          </w:p>
        </w:tc>
      </w:tr>
      <w:tr w:rsidR="00334A6B" w14:paraId="6460E0A8" w14:textId="77777777" w:rsidTr="0023111D">
        <w:tc>
          <w:tcPr>
            <w:tcW w:w="2065" w:type="dxa"/>
          </w:tcPr>
          <w:p w14:paraId="6B8469C0" w14:textId="6B22743E" w:rsidR="00334A6B" w:rsidRPr="008B0DC6" w:rsidRDefault="00334A6B" w:rsidP="00334A6B">
            <w:pPr>
              <w:spacing w:before="120" w:after="120"/>
              <w:rPr>
                <w:rFonts w:ascii="Calibri-Bold" w:hAnsi="Calibri-Bold" w:cs="Browallia New"/>
                <w:sz w:val="18"/>
                <w:szCs w:val="22"/>
              </w:rPr>
            </w:pPr>
            <w:r w:rsidRPr="008B0DC6">
              <w:rPr>
                <w:rFonts w:ascii="Calibri-Bold" w:hAnsi="Calibri-Bold" w:cs="Browallia New"/>
                <w:sz w:val="18"/>
                <w:szCs w:val="22"/>
              </w:rPr>
              <w:t>5.3: Development of a draft MRV framework for five building types</w:t>
            </w:r>
          </w:p>
        </w:tc>
        <w:tc>
          <w:tcPr>
            <w:tcW w:w="2121" w:type="dxa"/>
          </w:tcPr>
          <w:p w14:paraId="51D9E0E9" w14:textId="6D0CBBBD" w:rsidR="00334A6B" w:rsidRPr="00E73B95" w:rsidRDefault="00C21CB5" w:rsidP="00334A6B">
            <w:pPr>
              <w:spacing w:before="120" w:after="120"/>
              <w:rPr>
                <w:sz w:val="18"/>
                <w:szCs w:val="18"/>
              </w:rPr>
            </w:pPr>
            <w:r>
              <w:rPr>
                <w:sz w:val="18"/>
                <w:szCs w:val="18"/>
              </w:rPr>
              <w:t xml:space="preserve">Result of </w:t>
            </w:r>
            <w:r w:rsidRPr="00272C98">
              <w:rPr>
                <w:sz w:val="18"/>
                <w:szCs w:val="18"/>
              </w:rPr>
              <w:t>MRV framework for reporting on the anticipated metric tons of CO</w:t>
            </w:r>
            <w:r w:rsidRPr="00272C98">
              <w:rPr>
                <w:sz w:val="18"/>
                <w:szCs w:val="18"/>
                <w:vertAlign w:val="subscript"/>
              </w:rPr>
              <w:t>2</w:t>
            </w:r>
            <w:r w:rsidRPr="00272C98">
              <w:rPr>
                <w:sz w:val="18"/>
                <w:szCs w:val="18"/>
              </w:rPr>
              <w:t xml:space="preserve"> equivalent (tCO</w:t>
            </w:r>
            <w:r w:rsidRPr="00272C98">
              <w:rPr>
                <w:sz w:val="18"/>
                <w:szCs w:val="18"/>
                <w:vertAlign w:val="subscript"/>
              </w:rPr>
              <w:t>2e</w:t>
            </w:r>
            <w:r w:rsidRPr="00272C98">
              <w:rPr>
                <w:sz w:val="18"/>
                <w:szCs w:val="18"/>
              </w:rPr>
              <w:t>) emissions reduced or avoided of the five target buildings</w:t>
            </w:r>
          </w:p>
        </w:tc>
        <w:tc>
          <w:tcPr>
            <w:tcW w:w="1569" w:type="dxa"/>
          </w:tcPr>
          <w:p w14:paraId="2E9635B8" w14:textId="014E9968" w:rsidR="00334A6B" w:rsidRPr="00D96C47" w:rsidRDefault="00334A6B" w:rsidP="00334A6B">
            <w:pPr>
              <w:spacing w:before="120" w:after="120"/>
              <w:rPr>
                <w:rFonts w:ascii="Calibri" w:hAnsi="Calibri" w:cs="Calibri"/>
                <w:sz w:val="18"/>
                <w:szCs w:val="18"/>
              </w:rPr>
            </w:pPr>
            <w:r>
              <w:rPr>
                <w:rFonts w:ascii="Calibri" w:hAnsi="Calibri" w:cs="Calibri"/>
                <w:sz w:val="18"/>
                <w:szCs w:val="18"/>
              </w:rPr>
              <w:t xml:space="preserve">Report on the </w:t>
            </w:r>
            <w:r w:rsidRPr="00E73B95">
              <w:rPr>
                <w:rFonts w:ascii="Calibri" w:hAnsi="Calibri" w:cs="Calibri"/>
                <w:sz w:val="18"/>
                <w:szCs w:val="18"/>
              </w:rPr>
              <w:t xml:space="preserve">Draft MRV framework </w:t>
            </w:r>
            <w:r>
              <w:rPr>
                <w:rFonts w:ascii="Calibri" w:hAnsi="Calibri" w:cs="Calibri"/>
                <w:sz w:val="18"/>
                <w:szCs w:val="18"/>
              </w:rPr>
              <w:t xml:space="preserve">designed </w:t>
            </w:r>
            <w:r w:rsidRPr="00E73B95">
              <w:rPr>
                <w:rFonts w:ascii="Calibri" w:hAnsi="Calibri" w:cs="Calibri"/>
                <w:sz w:val="18"/>
                <w:szCs w:val="18"/>
              </w:rPr>
              <w:t>for five building types</w:t>
            </w:r>
          </w:p>
        </w:tc>
        <w:tc>
          <w:tcPr>
            <w:tcW w:w="1890" w:type="dxa"/>
          </w:tcPr>
          <w:p w14:paraId="53979CF9" w14:textId="7BFA383E" w:rsidR="00334A6B" w:rsidRPr="00E73B95" w:rsidRDefault="00334A6B" w:rsidP="00334A6B">
            <w:pPr>
              <w:spacing w:before="120" w:after="120"/>
              <w:rPr>
                <w:sz w:val="18"/>
                <w:szCs w:val="18"/>
              </w:rPr>
            </w:pPr>
            <w:r>
              <w:rPr>
                <w:sz w:val="18"/>
                <w:szCs w:val="18"/>
              </w:rPr>
              <w:t>Finalize the draft MRV framework will be conducted in consultation with relevant stakeholders</w:t>
            </w:r>
          </w:p>
        </w:tc>
        <w:tc>
          <w:tcPr>
            <w:tcW w:w="1939" w:type="dxa"/>
          </w:tcPr>
          <w:p w14:paraId="7A6DE115" w14:textId="77777777" w:rsidR="00334A6B" w:rsidRPr="00E73B95" w:rsidRDefault="00334A6B" w:rsidP="00334A6B">
            <w:pPr>
              <w:spacing w:before="120" w:after="120"/>
              <w:rPr>
                <w:sz w:val="18"/>
                <w:szCs w:val="18"/>
              </w:rPr>
            </w:pPr>
          </w:p>
        </w:tc>
      </w:tr>
      <w:tr w:rsidR="00180358" w:rsidRPr="00AD5E87" w14:paraId="2DBAF30E" w14:textId="77777777" w:rsidTr="00A96C02">
        <w:tc>
          <w:tcPr>
            <w:tcW w:w="2065" w:type="dxa"/>
          </w:tcPr>
          <w:p w14:paraId="6C506086" w14:textId="577F0EE4" w:rsidR="00180358" w:rsidRPr="00AD5E87" w:rsidRDefault="00180358" w:rsidP="00180358">
            <w:pPr>
              <w:spacing w:before="120" w:after="120"/>
              <w:rPr>
                <w:rFonts w:ascii="Calibri-Bold" w:hAnsi="Calibri-Bold" w:cs="Browallia New"/>
                <w:sz w:val="18"/>
                <w:szCs w:val="22"/>
              </w:rPr>
            </w:pPr>
            <w:r w:rsidRPr="00AD5E87">
              <w:rPr>
                <w:rFonts w:ascii="Calibri-Bold" w:hAnsi="Calibri-Bold" w:cs="Browallia New"/>
                <w:sz w:val="18"/>
                <w:szCs w:val="22"/>
              </w:rPr>
              <w:t>5.4: Stakeholder consultation to finalize the MRV framework for five building types</w:t>
            </w:r>
          </w:p>
        </w:tc>
        <w:tc>
          <w:tcPr>
            <w:tcW w:w="2121" w:type="dxa"/>
          </w:tcPr>
          <w:p w14:paraId="39842A17" w14:textId="0AAA5A88" w:rsidR="00180358" w:rsidRDefault="00180358" w:rsidP="00180358">
            <w:pPr>
              <w:spacing w:before="120" w:after="120"/>
              <w:rPr>
                <w:sz w:val="18"/>
                <w:szCs w:val="18"/>
              </w:rPr>
            </w:pPr>
            <w:r w:rsidRPr="00AD5E87">
              <w:rPr>
                <w:sz w:val="18"/>
                <w:szCs w:val="18"/>
              </w:rPr>
              <w:t>Organize of stakeholder consultation workshop</w:t>
            </w:r>
          </w:p>
          <w:p w14:paraId="445FD1F9" w14:textId="77777777" w:rsidR="00180358" w:rsidRPr="00AD5E87" w:rsidRDefault="00180358" w:rsidP="00180358">
            <w:pPr>
              <w:spacing w:before="120" w:after="120"/>
              <w:rPr>
                <w:b/>
                <w:bCs/>
                <w:sz w:val="18"/>
                <w:szCs w:val="18"/>
              </w:rPr>
            </w:pPr>
          </w:p>
          <w:p w14:paraId="6293EFEF" w14:textId="39C0EE56" w:rsidR="00180358" w:rsidRPr="00AD5E87" w:rsidRDefault="00180358" w:rsidP="00180358">
            <w:pPr>
              <w:spacing w:before="120" w:after="120"/>
              <w:rPr>
                <w:sz w:val="18"/>
                <w:szCs w:val="18"/>
              </w:rPr>
            </w:pPr>
            <w:r w:rsidRPr="00AD5E87">
              <w:rPr>
                <w:sz w:val="18"/>
                <w:szCs w:val="18"/>
              </w:rPr>
              <w:t>Number of participants</w:t>
            </w:r>
          </w:p>
        </w:tc>
        <w:tc>
          <w:tcPr>
            <w:tcW w:w="1569" w:type="dxa"/>
          </w:tcPr>
          <w:p w14:paraId="780CB20F" w14:textId="376D70A6" w:rsidR="00180358" w:rsidRDefault="00180358" w:rsidP="00180358">
            <w:pPr>
              <w:spacing w:before="120" w:after="120"/>
              <w:rPr>
                <w:rFonts w:ascii="Calibri" w:hAnsi="Calibri" w:cs="Calibri"/>
                <w:sz w:val="18"/>
                <w:szCs w:val="18"/>
              </w:rPr>
            </w:pPr>
            <w:r w:rsidRPr="000A208B">
              <w:rPr>
                <w:rFonts w:ascii="Calibri" w:hAnsi="Calibri" w:cs="Calibri"/>
                <w:sz w:val="18"/>
                <w:szCs w:val="18"/>
              </w:rPr>
              <w:t xml:space="preserve">Summarize report of the </w:t>
            </w:r>
            <w:r>
              <w:rPr>
                <w:rFonts w:ascii="Calibri" w:hAnsi="Calibri" w:cs="Calibri"/>
                <w:sz w:val="18"/>
                <w:szCs w:val="18"/>
              </w:rPr>
              <w:t xml:space="preserve">stakeholder consultation </w:t>
            </w:r>
            <w:r w:rsidRPr="000A208B">
              <w:rPr>
                <w:rFonts w:ascii="Calibri" w:hAnsi="Calibri" w:cs="Calibri"/>
                <w:sz w:val="18"/>
                <w:szCs w:val="18"/>
              </w:rPr>
              <w:t>workshop</w:t>
            </w:r>
          </w:p>
          <w:p w14:paraId="60689C62" w14:textId="1A17F3EB" w:rsidR="00180358" w:rsidRPr="00AD5E87" w:rsidRDefault="00180358" w:rsidP="00180358">
            <w:pPr>
              <w:spacing w:before="120" w:after="120"/>
              <w:rPr>
                <w:sz w:val="18"/>
                <w:szCs w:val="18"/>
              </w:rPr>
            </w:pPr>
            <w:r>
              <w:rPr>
                <w:rFonts w:ascii="Calibri" w:hAnsi="Calibri" w:cs="Calibri"/>
                <w:sz w:val="18"/>
                <w:szCs w:val="18"/>
              </w:rPr>
              <w:t>20 participants</w:t>
            </w:r>
          </w:p>
        </w:tc>
        <w:tc>
          <w:tcPr>
            <w:tcW w:w="1890" w:type="dxa"/>
          </w:tcPr>
          <w:p w14:paraId="28443F68" w14:textId="3C93EEEC" w:rsidR="00180358" w:rsidRPr="00AD5E87" w:rsidRDefault="00180358" w:rsidP="00180358">
            <w:pPr>
              <w:spacing w:before="120" w:after="120"/>
              <w:rPr>
                <w:sz w:val="18"/>
                <w:szCs w:val="18"/>
              </w:rPr>
            </w:pPr>
            <w:r w:rsidRPr="00AD5E87">
              <w:rPr>
                <w:sz w:val="18"/>
                <w:szCs w:val="18"/>
              </w:rPr>
              <w:t>Report summarizing  from discussion and workshop evaluation results from the target stakeholders</w:t>
            </w:r>
          </w:p>
        </w:tc>
        <w:tc>
          <w:tcPr>
            <w:tcW w:w="1939" w:type="dxa"/>
          </w:tcPr>
          <w:p w14:paraId="5D415085" w14:textId="1241A7F5" w:rsidR="00180358" w:rsidRPr="00AD5E87" w:rsidRDefault="00180358" w:rsidP="00180358">
            <w:pPr>
              <w:spacing w:before="120" w:after="120"/>
              <w:rPr>
                <w:sz w:val="18"/>
                <w:szCs w:val="18"/>
              </w:rPr>
            </w:pPr>
            <w:r w:rsidRPr="00AD5E87">
              <w:rPr>
                <w:sz w:val="18"/>
                <w:szCs w:val="18"/>
              </w:rPr>
              <w:t>Challenges: Number of participants from the target stakeholder, due to the uncertainties relating to Covid-19 pandemic.</w:t>
            </w:r>
          </w:p>
        </w:tc>
      </w:tr>
      <w:tr w:rsidR="00180358" w:rsidRPr="00AD5E87" w14:paraId="45FDCA54" w14:textId="77777777" w:rsidTr="00A96C02">
        <w:tc>
          <w:tcPr>
            <w:tcW w:w="2065" w:type="dxa"/>
            <w:shd w:val="clear" w:color="auto" w:fill="FFF2CC" w:themeFill="accent4" w:themeFillTint="33"/>
          </w:tcPr>
          <w:p w14:paraId="39941B9A" w14:textId="789F0352" w:rsidR="00180358" w:rsidRPr="002318C8" w:rsidRDefault="00180358" w:rsidP="00180358">
            <w:pPr>
              <w:spacing w:before="120" w:after="120"/>
              <w:rPr>
                <w:sz w:val="18"/>
                <w:szCs w:val="18"/>
              </w:rPr>
            </w:pPr>
            <w:r w:rsidRPr="002318C8">
              <w:rPr>
                <w:rFonts w:ascii="Calibri-Bold" w:hAnsi="Calibri-Bold" w:cs="Calibri-Bold"/>
                <w:sz w:val="18"/>
                <w:szCs w:val="18"/>
              </w:rPr>
              <w:t>Output 6: Monitoring and communication materials</w:t>
            </w:r>
          </w:p>
        </w:tc>
        <w:tc>
          <w:tcPr>
            <w:tcW w:w="2121" w:type="dxa"/>
            <w:shd w:val="clear" w:color="auto" w:fill="FFF2CC" w:themeFill="accent4" w:themeFillTint="33"/>
          </w:tcPr>
          <w:p w14:paraId="01F3C016" w14:textId="3884A491" w:rsidR="00180358" w:rsidRPr="002318C8" w:rsidRDefault="00180358" w:rsidP="00180358">
            <w:pPr>
              <w:spacing w:before="120" w:after="120"/>
              <w:rPr>
                <w:sz w:val="18"/>
                <w:szCs w:val="18"/>
              </w:rPr>
            </w:pPr>
            <w:r w:rsidRPr="002318C8">
              <w:rPr>
                <w:sz w:val="18"/>
                <w:szCs w:val="18"/>
              </w:rPr>
              <w:t>Number of handbooks distributed</w:t>
            </w:r>
          </w:p>
        </w:tc>
        <w:tc>
          <w:tcPr>
            <w:tcW w:w="1569" w:type="dxa"/>
            <w:shd w:val="clear" w:color="auto" w:fill="FFF2CC" w:themeFill="accent4" w:themeFillTint="33"/>
          </w:tcPr>
          <w:p w14:paraId="7F1CB6FF" w14:textId="46D2CF17" w:rsidR="00180358" w:rsidRPr="002318C8" w:rsidRDefault="00180358" w:rsidP="00180358">
            <w:pPr>
              <w:spacing w:before="120" w:after="120"/>
              <w:rPr>
                <w:sz w:val="18"/>
                <w:szCs w:val="18"/>
              </w:rPr>
            </w:pPr>
            <w:r w:rsidRPr="002318C8">
              <w:rPr>
                <w:rFonts w:ascii="Calibri" w:hAnsi="Calibri" w:cs="Calibri"/>
                <w:sz w:val="18"/>
                <w:szCs w:val="18"/>
              </w:rPr>
              <w:t>Three handbooks. Published</w:t>
            </w:r>
          </w:p>
        </w:tc>
        <w:tc>
          <w:tcPr>
            <w:tcW w:w="1890" w:type="dxa"/>
            <w:shd w:val="clear" w:color="auto" w:fill="FFF2CC" w:themeFill="accent4" w:themeFillTint="33"/>
          </w:tcPr>
          <w:p w14:paraId="0BA55EE3" w14:textId="39C60708" w:rsidR="00180358" w:rsidRPr="002318C8" w:rsidRDefault="00180358" w:rsidP="00180358">
            <w:pPr>
              <w:spacing w:before="120" w:after="120"/>
              <w:rPr>
                <w:sz w:val="18"/>
                <w:szCs w:val="18"/>
              </w:rPr>
            </w:pPr>
            <w:r w:rsidRPr="002318C8">
              <w:rPr>
                <w:sz w:val="18"/>
                <w:szCs w:val="18"/>
              </w:rPr>
              <w:t>The handbooks will be translated into Thai language for distribution by the national authorities</w:t>
            </w:r>
          </w:p>
        </w:tc>
        <w:tc>
          <w:tcPr>
            <w:tcW w:w="1939" w:type="dxa"/>
            <w:shd w:val="clear" w:color="auto" w:fill="FFF2CC" w:themeFill="accent4" w:themeFillTint="33"/>
          </w:tcPr>
          <w:p w14:paraId="6235D373" w14:textId="2A5AB91C" w:rsidR="00180358" w:rsidRPr="00AD5E87" w:rsidRDefault="00180358" w:rsidP="00180358">
            <w:pPr>
              <w:spacing w:before="120" w:after="120"/>
              <w:rPr>
                <w:b/>
                <w:bCs/>
                <w:sz w:val="18"/>
                <w:szCs w:val="18"/>
              </w:rPr>
            </w:pPr>
          </w:p>
        </w:tc>
      </w:tr>
      <w:tr w:rsidR="00180358" w14:paraId="44E8DC11" w14:textId="77777777" w:rsidTr="00A96C02">
        <w:tc>
          <w:tcPr>
            <w:tcW w:w="2065" w:type="dxa"/>
          </w:tcPr>
          <w:p w14:paraId="082DD5C1" w14:textId="57E27201" w:rsidR="00180358" w:rsidRPr="00CD3963" w:rsidRDefault="00180358" w:rsidP="00180358">
            <w:pPr>
              <w:spacing w:before="120" w:after="120"/>
              <w:rPr>
                <w:rFonts w:ascii="Calibri-Bold" w:hAnsi="Calibri-Bold" w:cs="Browallia New"/>
                <w:sz w:val="18"/>
                <w:szCs w:val="22"/>
              </w:rPr>
            </w:pPr>
            <w:r w:rsidRPr="00CD3963">
              <w:rPr>
                <w:rFonts w:ascii="Calibri-Bold" w:hAnsi="Calibri-Bold" w:cs="Browallia New"/>
                <w:sz w:val="18"/>
                <w:szCs w:val="22"/>
              </w:rPr>
              <w:t>6.1: Development of 3 handbooks to increase awareness of the BEC standards and provide guidelines on ensuring compliance. The handbook for local authorities will</w:t>
            </w:r>
            <w:r>
              <w:rPr>
                <w:rFonts w:ascii="Calibri-Bold" w:hAnsi="Calibri-Bold" w:cs="Browallia New"/>
                <w:sz w:val="18"/>
                <w:szCs w:val="22"/>
              </w:rPr>
              <w:t xml:space="preserve"> </w:t>
            </w:r>
            <w:r w:rsidRPr="00CD3963">
              <w:rPr>
                <w:rFonts w:ascii="Calibri-Bold" w:hAnsi="Calibri-Bold" w:cs="Browallia New"/>
                <w:sz w:val="18"/>
                <w:szCs w:val="22"/>
              </w:rPr>
              <w:t>explain the steps to enhance enforcement of BEC standards in all buildings greater than 2000 m2</w:t>
            </w:r>
          </w:p>
        </w:tc>
        <w:tc>
          <w:tcPr>
            <w:tcW w:w="2121" w:type="dxa"/>
          </w:tcPr>
          <w:p w14:paraId="616DFBB8" w14:textId="002D15D7" w:rsidR="00180358" w:rsidRPr="00276604" w:rsidRDefault="008A4E29" w:rsidP="00180358">
            <w:pPr>
              <w:spacing w:before="120" w:after="120"/>
              <w:rPr>
                <w:color w:val="FF0000"/>
                <w:sz w:val="18"/>
                <w:szCs w:val="18"/>
              </w:rPr>
            </w:pPr>
            <w:r>
              <w:rPr>
                <w:sz w:val="18"/>
                <w:szCs w:val="18"/>
              </w:rPr>
              <w:t>Number of h</w:t>
            </w:r>
            <w:r w:rsidR="00180358" w:rsidRPr="0063510B">
              <w:rPr>
                <w:sz w:val="18"/>
                <w:szCs w:val="18"/>
              </w:rPr>
              <w:t>andbooks development as a result of CTCN TA</w:t>
            </w:r>
            <w:r w:rsidR="00180358" w:rsidRPr="00276604">
              <w:rPr>
                <w:color w:val="FF0000"/>
                <w:sz w:val="18"/>
                <w:szCs w:val="18"/>
              </w:rPr>
              <w:t xml:space="preserve"> </w:t>
            </w:r>
          </w:p>
        </w:tc>
        <w:tc>
          <w:tcPr>
            <w:tcW w:w="1569" w:type="dxa"/>
          </w:tcPr>
          <w:p w14:paraId="535E9AEF" w14:textId="404FBA4C" w:rsidR="00180358" w:rsidRPr="00E73B95" w:rsidRDefault="00180358" w:rsidP="00180358">
            <w:pPr>
              <w:spacing w:before="120" w:after="120"/>
              <w:rPr>
                <w:sz w:val="18"/>
                <w:szCs w:val="18"/>
              </w:rPr>
            </w:pPr>
            <w:r w:rsidRPr="00E73B95">
              <w:rPr>
                <w:rFonts w:ascii="Calibri" w:hAnsi="Calibri" w:cs="Calibri"/>
                <w:sz w:val="18"/>
                <w:szCs w:val="18"/>
              </w:rPr>
              <w:t>Three handbooks</w:t>
            </w:r>
            <w:r>
              <w:rPr>
                <w:rFonts w:ascii="Calibri" w:hAnsi="Calibri" w:cs="Calibri"/>
                <w:sz w:val="18"/>
                <w:szCs w:val="18"/>
              </w:rPr>
              <w:t>.</w:t>
            </w:r>
          </w:p>
        </w:tc>
        <w:tc>
          <w:tcPr>
            <w:tcW w:w="1890" w:type="dxa"/>
          </w:tcPr>
          <w:p w14:paraId="6F6A9B89" w14:textId="54C8D695" w:rsidR="00180358" w:rsidRPr="00E73B95" w:rsidRDefault="00180358" w:rsidP="00180358">
            <w:pPr>
              <w:spacing w:before="120" w:after="120"/>
              <w:rPr>
                <w:sz w:val="18"/>
                <w:szCs w:val="18"/>
              </w:rPr>
            </w:pPr>
            <w:r>
              <w:rPr>
                <w:sz w:val="18"/>
                <w:szCs w:val="18"/>
              </w:rPr>
              <w:t>Summarized of results and key findings from the CTCN TA output 1-5 will be used to develop the handbooks</w:t>
            </w:r>
          </w:p>
        </w:tc>
        <w:tc>
          <w:tcPr>
            <w:tcW w:w="1939" w:type="dxa"/>
          </w:tcPr>
          <w:p w14:paraId="67DDD95E" w14:textId="77777777" w:rsidR="00180358" w:rsidRPr="00E73B95" w:rsidRDefault="00180358" w:rsidP="00180358">
            <w:pPr>
              <w:spacing w:before="120" w:after="120"/>
              <w:rPr>
                <w:sz w:val="18"/>
                <w:szCs w:val="18"/>
              </w:rPr>
            </w:pPr>
          </w:p>
        </w:tc>
      </w:tr>
      <w:tr w:rsidR="00180358" w14:paraId="2FEB18A3" w14:textId="77777777" w:rsidTr="00A96C02">
        <w:tc>
          <w:tcPr>
            <w:tcW w:w="2065" w:type="dxa"/>
          </w:tcPr>
          <w:p w14:paraId="0F040487" w14:textId="5B589ABA" w:rsidR="00180358" w:rsidRPr="00CD3963" w:rsidRDefault="00180358" w:rsidP="00180358">
            <w:pPr>
              <w:spacing w:before="120" w:after="120"/>
              <w:rPr>
                <w:rFonts w:ascii="Calibri-Bold" w:hAnsi="Calibri-Bold" w:cs="Browallia New"/>
                <w:sz w:val="18"/>
                <w:szCs w:val="22"/>
              </w:rPr>
            </w:pPr>
            <w:r w:rsidRPr="00CD3963">
              <w:rPr>
                <w:rFonts w:ascii="Calibri-Bold" w:hAnsi="Calibri-Bold" w:cs="Browallia New"/>
                <w:sz w:val="18"/>
                <w:szCs w:val="22"/>
              </w:rPr>
              <w:t>6.2: Development of a technical assistance impact description document</w:t>
            </w:r>
          </w:p>
        </w:tc>
        <w:tc>
          <w:tcPr>
            <w:tcW w:w="2121" w:type="dxa"/>
          </w:tcPr>
          <w:p w14:paraId="282E757A" w14:textId="77777777" w:rsidR="00180358" w:rsidRPr="00E73B95" w:rsidRDefault="00180358" w:rsidP="00180358">
            <w:pPr>
              <w:spacing w:before="120" w:after="120"/>
              <w:rPr>
                <w:sz w:val="18"/>
                <w:szCs w:val="18"/>
              </w:rPr>
            </w:pPr>
          </w:p>
        </w:tc>
        <w:tc>
          <w:tcPr>
            <w:tcW w:w="1569" w:type="dxa"/>
          </w:tcPr>
          <w:p w14:paraId="195D9946" w14:textId="13F74406" w:rsidR="00180358" w:rsidRPr="00D833BF" w:rsidRDefault="00180358" w:rsidP="00180358">
            <w:pPr>
              <w:spacing w:before="120" w:after="120"/>
              <w:rPr>
                <w:rFonts w:ascii="Calibri-Bold" w:hAnsi="Calibri-Bold" w:cs="Browallia New"/>
                <w:sz w:val="18"/>
                <w:szCs w:val="22"/>
              </w:rPr>
            </w:pPr>
            <w:r w:rsidRPr="00D833BF">
              <w:rPr>
                <w:rFonts w:ascii="Calibri-Bold" w:hAnsi="Calibri-Bold" w:cs="Browallia New"/>
                <w:sz w:val="18"/>
                <w:szCs w:val="22"/>
              </w:rPr>
              <w:t>Technical assistance impact description document</w:t>
            </w:r>
          </w:p>
        </w:tc>
        <w:tc>
          <w:tcPr>
            <w:tcW w:w="1890" w:type="dxa"/>
          </w:tcPr>
          <w:p w14:paraId="36CDBEA3" w14:textId="4C673268" w:rsidR="00180358" w:rsidRPr="00E73B95" w:rsidRDefault="00180358" w:rsidP="00180358">
            <w:pPr>
              <w:spacing w:before="120" w:after="120"/>
              <w:rPr>
                <w:sz w:val="18"/>
                <w:szCs w:val="18"/>
              </w:rPr>
            </w:pPr>
            <w:r>
              <w:rPr>
                <w:sz w:val="18"/>
                <w:szCs w:val="18"/>
              </w:rPr>
              <w:t>CTCN reporting format development under the monitoring and Evaluation system guidance</w:t>
            </w:r>
          </w:p>
        </w:tc>
        <w:tc>
          <w:tcPr>
            <w:tcW w:w="1939" w:type="dxa"/>
          </w:tcPr>
          <w:p w14:paraId="0E175380" w14:textId="77777777" w:rsidR="00180358" w:rsidRPr="00E73B95" w:rsidRDefault="00180358" w:rsidP="00180358">
            <w:pPr>
              <w:spacing w:before="120" w:after="120"/>
              <w:rPr>
                <w:sz w:val="18"/>
                <w:szCs w:val="18"/>
              </w:rPr>
            </w:pPr>
          </w:p>
        </w:tc>
      </w:tr>
      <w:tr w:rsidR="00180358" w14:paraId="5845B0CB" w14:textId="77777777" w:rsidTr="00A96C02">
        <w:tc>
          <w:tcPr>
            <w:tcW w:w="2065" w:type="dxa"/>
          </w:tcPr>
          <w:p w14:paraId="2EE4E8F1" w14:textId="2226B0DD" w:rsidR="00180358" w:rsidRPr="00CD3963" w:rsidRDefault="00180358" w:rsidP="00180358">
            <w:pPr>
              <w:spacing w:before="120" w:after="120"/>
              <w:rPr>
                <w:rFonts w:ascii="Calibri-Bold" w:hAnsi="Calibri-Bold" w:cs="Browallia New"/>
                <w:sz w:val="18"/>
                <w:szCs w:val="22"/>
              </w:rPr>
            </w:pPr>
            <w:r w:rsidRPr="00CD3963">
              <w:rPr>
                <w:rFonts w:ascii="Calibri-Bold" w:hAnsi="Calibri-Bold" w:cs="Browallia New"/>
                <w:sz w:val="18"/>
                <w:szCs w:val="22"/>
              </w:rPr>
              <w:t>6.3: Development of a monitoring and evaluation plan</w:t>
            </w:r>
          </w:p>
        </w:tc>
        <w:tc>
          <w:tcPr>
            <w:tcW w:w="2121" w:type="dxa"/>
          </w:tcPr>
          <w:p w14:paraId="1EC93CD8" w14:textId="77777777" w:rsidR="00180358" w:rsidRPr="00E73B95" w:rsidRDefault="00180358" w:rsidP="00180358">
            <w:pPr>
              <w:spacing w:before="120" w:after="120"/>
              <w:rPr>
                <w:sz w:val="18"/>
                <w:szCs w:val="18"/>
              </w:rPr>
            </w:pPr>
          </w:p>
        </w:tc>
        <w:tc>
          <w:tcPr>
            <w:tcW w:w="1569" w:type="dxa"/>
          </w:tcPr>
          <w:p w14:paraId="292FF566" w14:textId="699AFDE9" w:rsidR="00180358" w:rsidRPr="00D833BF" w:rsidRDefault="00180358" w:rsidP="00180358">
            <w:pPr>
              <w:spacing w:before="120" w:after="120"/>
              <w:rPr>
                <w:rFonts w:ascii="Calibri-Bold" w:hAnsi="Calibri-Bold" w:cs="Browallia New"/>
                <w:sz w:val="18"/>
                <w:szCs w:val="22"/>
              </w:rPr>
            </w:pPr>
            <w:r w:rsidRPr="00D833BF">
              <w:rPr>
                <w:rFonts w:ascii="Calibri-Bold" w:hAnsi="Calibri-Bold" w:cs="Browallia New"/>
                <w:sz w:val="18"/>
                <w:szCs w:val="22"/>
              </w:rPr>
              <w:t>Monitoring and evaluation plan</w:t>
            </w:r>
          </w:p>
        </w:tc>
        <w:tc>
          <w:tcPr>
            <w:tcW w:w="1890" w:type="dxa"/>
          </w:tcPr>
          <w:p w14:paraId="2FE6161C" w14:textId="077DE466" w:rsidR="00180358" w:rsidRPr="00E73B95" w:rsidRDefault="00180358" w:rsidP="00180358">
            <w:pPr>
              <w:spacing w:before="120" w:after="120"/>
              <w:rPr>
                <w:sz w:val="18"/>
                <w:szCs w:val="18"/>
              </w:rPr>
            </w:pPr>
            <w:r>
              <w:rPr>
                <w:sz w:val="18"/>
                <w:szCs w:val="18"/>
              </w:rPr>
              <w:t>CTCN reporting format development under the monitoring and Evaluation system guidance</w:t>
            </w:r>
          </w:p>
        </w:tc>
        <w:tc>
          <w:tcPr>
            <w:tcW w:w="1939" w:type="dxa"/>
          </w:tcPr>
          <w:p w14:paraId="28EAF1A9" w14:textId="77777777" w:rsidR="00180358" w:rsidRPr="00E73B95" w:rsidRDefault="00180358" w:rsidP="00180358">
            <w:pPr>
              <w:spacing w:before="120" w:after="120"/>
              <w:rPr>
                <w:sz w:val="18"/>
                <w:szCs w:val="18"/>
              </w:rPr>
            </w:pPr>
          </w:p>
        </w:tc>
      </w:tr>
      <w:tr w:rsidR="00180358" w14:paraId="39767FDF" w14:textId="77777777" w:rsidTr="00A96C02">
        <w:tc>
          <w:tcPr>
            <w:tcW w:w="2065" w:type="dxa"/>
          </w:tcPr>
          <w:p w14:paraId="4B75386D" w14:textId="79DA13DA" w:rsidR="00180358" w:rsidRPr="00CD3963" w:rsidRDefault="00180358" w:rsidP="00180358">
            <w:pPr>
              <w:spacing w:before="120" w:after="120"/>
              <w:rPr>
                <w:rFonts w:ascii="Calibri-Bold" w:hAnsi="Calibri-Bold" w:cs="Browallia New"/>
                <w:sz w:val="18"/>
                <w:szCs w:val="22"/>
              </w:rPr>
            </w:pPr>
            <w:r w:rsidRPr="00CD3963">
              <w:rPr>
                <w:rFonts w:ascii="Calibri-Bold" w:hAnsi="Calibri-Bold" w:cs="Browallia New"/>
                <w:sz w:val="18"/>
                <w:szCs w:val="22"/>
              </w:rPr>
              <w:t xml:space="preserve">6.4: Development of a CTCN technical </w:t>
            </w:r>
            <w:r w:rsidRPr="00CD3963">
              <w:rPr>
                <w:rFonts w:ascii="Calibri-Bold" w:hAnsi="Calibri-Bold" w:cs="Browallia New"/>
                <w:sz w:val="18"/>
                <w:szCs w:val="22"/>
              </w:rPr>
              <w:lastRenderedPageBreak/>
              <w:t>assistance closure report.</w:t>
            </w:r>
          </w:p>
        </w:tc>
        <w:tc>
          <w:tcPr>
            <w:tcW w:w="2121" w:type="dxa"/>
          </w:tcPr>
          <w:p w14:paraId="6B028809" w14:textId="77777777" w:rsidR="00180358" w:rsidRPr="0063314C" w:rsidRDefault="00180358" w:rsidP="00180358">
            <w:pPr>
              <w:spacing w:before="120" w:after="120"/>
              <w:rPr>
                <w:sz w:val="18"/>
                <w:szCs w:val="18"/>
              </w:rPr>
            </w:pPr>
          </w:p>
        </w:tc>
        <w:tc>
          <w:tcPr>
            <w:tcW w:w="1569" w:type="dxa"/>
          </w:tcPr>
          <w:p w14:paraId="5B29A453" w14:textId="2DDFF626" w:rsidR="00180358" w:rsidRPr="00D833BF" w:rsidRDefault="00180358" w:rsidP="00180358">
            <w:pPr>
              <w:spacing w:before="120" w:after="120"/>
              <w:rPr>
                <w:rFonts w:ascii="Calibri-Bold" w:hAnsi="Calibri-Bold" w:cs="Browallia New"/>
                <w:sz w:val="18"/>
                <w:szCs w:val="22"/>
              </w:rPr>
            </w:pPr>
            <w:r w:rsidRPr="00D833BF">
              <w:rPr>
                <w:rFonts w:ascii="Calibri-Bold" w:hAnsi="Calibri-Bold" w:cs="Browallia New"/>
                <w:sz w:val="18"/>
                <w:szCs w:val="22"/>
              </w:rPr>
              <w:t xml:space="preserve">CTCN technical assistance closure </w:t>
            </w:r>
            <w:r w:rsidRPr="00D833BF">
              <w:rPr>
                <w:rFonts w:ascii="Calibri-Bold" w:hAnsi="Calibri-Bold" w:cs="Browallia New"/>
                <w:sz w:val="18"/>
                <w:szCs w:val="22"/>
              </w:rPr>
              <w:lastRenderedPageBreak/>
              <w:t>and Data Collection report</w:t>
            </w:r>
          </w:p>
        </w:tc>
        <w:tc>
          <w:tcPr>
            <w:tcW w:w="1890" w:type="dxa"/>
          </w:tcPr>
          <w:p w14:paraId="6791E316" w14:textId="756A28C2" w:rsidR="00180358" w:rsidRPr="00E73B95" w:rsidRDefault="00180358" w:rsidP="00180358">
            <w:pPr>
              <w:spacing w:before="120" w:after="120"/>
              <w:rPr>
                <w:sz w:val="18"/>
                <w:szCs w:val="18"/>
              </w:rPr>
            </w:pPr>
            <w:r>
              <w:rPr>
                <w:sz w:val="18"/>
                <w:szCs w:val="18"/>
              </w:rPr>
              <w:lastRenderedPageBreak/>
              <w:t xml:space="preserve">CTCN reporting format development under the monitoring and </w:t>
            </w:r>
            <w:r>
              <w:rPr>
                <w:sz w:val="18"/>
                <w:szCs w:val="18"/>
              </w:rPr>
              <w:lastRenderedPageBreak/>
              <w:t>Evaluation system guidance</w:t>
            </w:r>
          </w:p>
        </w:tc>
        <w:tc>
          <w:tcPr>
            <w:tcW w:w="1939" w:type="dxa"/>
          </w:tcPr>
          <w:p w14:paraId="62C1A226" w14:textId="77777777" w:rsidR="00180358" w:rsidRPr="00E73B95" w:rsidRDefault="00180358" w:rsidP="00180358">
            <w:pPr>
              <w:spacing w:before="120" w:after="120"/>
              <w:rPr>
                <w:sz w:val="18"/>
                <w:szCs w:val="18"/>
              </w:rPr>
            </w:pPr>
          </w:p>
        </w:tc>
      </w:tr>
    </w:tbl>
    <w:p w14:paraId="5658C1EC" w14:textId="33639E23" w:rsidR="00844126" w:rsidRDefault="00844126"/>
    <w:p w14:paraId="0FB67DF5" w14:textId="144422C1" w:rsidR="00CB4ACD" w:rsidRDefault="00CB4ACD">
      <w:r>
        <w:rPr>
          <w:szCs w:val="22"/>
        </w:rPr>
        <w:t>Note: The information in the table below will be used by the CTCN for public communication of the achieved and expected results of the TA through the CTCN website www.ctc-n.org and other communication channels. See for example: https://www.ctc-n.org/sites/www.ctc-n.org/files/benin_a_ag_forestry.final_.pdf</w:t>
      </w:r>
    </w:p>
    <w:p w14:paraId="3F5CA312" w14:textId="7683A526" w:rsidR="00844126" w:rsidRDefault="00844126">
      <w:r>
        <w:br w:type="page"/>
      </w:r>
    </w:p>
    <w:tbl>
      <w:tblPr>
        <w:tblStyle w:val="TableGrid"/>
        <w:tblW w:w="9209" w:type="dxa"/>
        <w:tblLook w:val="04A0" w:firstRow="1" w:lastRow="0" w:firstColumn="1" w:lastColumn="0" w:noHBand="0" w:noVBand="1"/>
      </w:tblPr>
      <w:tblGrid>
        <w:gridCol w:w="3539"/>
        <w:gridCol w:w="5670"/>
      </w:tblGrid>
      <w:tr w:rsidR="00844126" w:rsidRPr="00844126" w14:paraId="726977FF" w14:textId="77777777" w:rsidTr="00CB4ACD">
        <w:tc>
          <w:tcPr>
            <w:tcW w:w="9209" w:type="dxa"/>
            <w:gridSpan w:val="2"/>
          </w:tcPr>
          <w:p w14:paraId="46CAF017" w14:textId="3AE19573" w:rsidR="00844126" w:rsidRPr="00844126" w:rsidRDefault="00844126" w:rsidP="00844126">
            <w:pPr>
              <w:spacing w:before="240" w:after="240"/>
              <w:jc w:val="center"/>
              <w:rPr>
                <w:b/>
                <w:bCs/>
                <w:sz w:val="32"/>
                <w:szCs w:val="40"/>
              </w:rPr>
            </w:pPr>
            <w:r w:rsidRPr="00844126">
              <w:rPr>
                <w:b/>
                <w:bCs/>
                <w:sz w:val="32"/>
                <w:szCs w:val="40"/>
              </w:rPr>
              <w:lastRenderedPageBreak/>
              <w:t>Impact Statement</w:t>
            </w:r>
          </w:p>
        </w:tc>
      </w:tr>
      <w:tr w:rsidR="00844126" w14:paraId="77CDECF6" w14:textId="77777777" w:rsidTr="00CB4ACD">
        <w:tc>
          <w:tcPr>
            <w:tcW w:w="3539" w:type="dxa"/>
          </w:tcPr>
          <w:p w14:paraId="532D6314" w14:textId="57488A45" w:rsidR="00844126" w:rsidRDefault="00CB4ACD" w:rsidP="00D30694">
            <w:pPr>
              <w:spacing w:before="120" w:after="120"/>
            </w:pPr>
            <w:r>
              <w:t>Challenge</w:t>
            </w:r>
          </w:p>
        </w:tc>
        <w:tc>
          <w:tcPr>
            <w:tcW w:w="5670" w:type="dxa"/>
            <w:shd w:val="clear" w:color="auto" w:fill="D9E2F3" w:themeFill="accent1" w:themeFillTint="33"/>
          </w:tcPr>
          <w:p w14:paraId="0F3ED068" w14:textId="3F5D15F3" w:rsidR="005A274C" w:rsidRDefault="005A274C" w:rsidP="008A63E7">
            <w:pPr>
              <w:spacing w:before="120" w:after="120"/>
              <w:jc w:val="thaiDistribute"/>
            </w:pPr>
            <w:r w:rsidRPr="005A274C">
              <w:rPr>
                <w:sz w:val="20"/>
                <w:szCs w:val="20"/>
                <w:lang w:val="en-US"/>
              </w:rPr>
              <w:t>The overall objective is to support Thailand in achieving national targets for energy efficiency in the building sector as defined in Energy Efficiency Plan of 201</w:t>
            </w:r>
            <w:r w:rsidR="00453972">
              <w:rPr>
                <w:sz w:val="20"/>
                <w:szCs w:val="20"/>
                <w:lang w:val="en-US"/>
              </w:rPr>
              <w:t>8</w:t>
            </w:r>
            <w:r w:rsidRPr="005A274C">
              <w:rPr>
                <w:sz w:val="20"/>
                <w:szCs w:val="20"/>
                <w:lang w:val="en-US"/>
              </w:rPr>
              <w:t>, in NAMAs, and in Thailand’s NDC.  The NDC Road Map aims to reduce 113 million tonnes GHG emissions through energy efficiency (EE) and renewable energy (RE) with around 26.1 million tonnes in the building sector through compliance with the Building Energy Code (BEC), sustainable building materials and effective construction practices</w:t>
            </w:r>
          </w:p>
        </w:tc>
      </w:tr>
      <w:tr w:rsidR="00844126" w14:paraId="0BBD4F17" w14:textId="77777777" w:rsidTr="00CB4ACD">
        <w:tc>
          <w:tcPr>
            <w:tcW w:w="3539" w:type="dxa"/>
          </w:tcPr>
          <w:p w14:paraId="320888A3" w14:textId="5CEC081F" w:rsidR="00844126" w:rsidRDefault="00CB4ACD" w:rsidP="00D30694">
            <w:pPr>
              <w:spacing w:before="120" w:after="120"/>
            </w:pPr>
            <w:r w:rsidRPr="00CB4ACD">
              <w:rPr>
                <w:rFonts w:ascii="Calibri" w:hAnsi="Calibri" w:cs="Calibri"/>
                <w:color w:val="000000"/>
                <w:sz w:val="20"/>
                <w:szCs w:val="20"/>
              </w:rPr>
              <w:t>CTCN assistance</w:t>
            </w:r>
          </w:p>
        </w:tc>
        <w:tc>
          <w:tcPr>
            <w:tcW w:w="5670" w:type="dxa"/>
            <w:shd w:val="clear" w:color="auto" w:fill="D9E2F3" w:themeFill="accent1" w:themeFillTint="33"/>
          </w:tcPr>
          <w:p w14:paraId="6C292B99" w14:textId="05521E99" w:rsidR="00050F36" w:rsidRPr="00050F36" w:rsidRDefault="00050F36" w:rsidP="00D30694">
            <w:pPr>
              <w:pStyle w:val="Default"/>
              <w:spacing w:before="120" w:after="120"/>
              <w:rPr>
                <w:rFonts w:asciiTheme="minorHAnsi" w:hAnsiTheme="minorHAnsi" w:cstheme="minorHAnsi"/>
                <w:i/>
                <w:iCs/>
                <w:sz w:val="20"/>
                <w:szCs w:val="20"/>
              </w:rPr>
            </w:pPr>
            <w:r w:rsidRPr="00050F36">
              <w:rPr>
                <w:rFonts w:asciiTheme="minorHAnsi" w:hAnsiTheme="minorHAnsi" w:cstheme="minorHAnsi"/>
                <w:i/>
                <w:iCs/>
                <w:sz w:val="20"/>
                <w:szCs w:val="20"/>
              </w:rPr>
              <w:t>Technical Assistance for:</w:t>
            </w:r>
          </w:p>
          <w:p w14:paraId="1CA5ED04" w14:textId="1901491B" w:rsidR="00050F36" w:rsidRPr="00050F36" w:rsidRDefault="00050F36" w:rsidP="00050F36">
            <w:pPr>
              <w:pStyle w:val="Default"/>
              <w:numPr>
                <w:ilvl w:val="0"/>
                <w:numId w:val="9"/>
              </w:numPr>
              <w:spacing w:before="120" w:after="120"/>
              <w:rPr>
                <w:rFonts w:asciiTheme="minorHAnsi" w:hAnsiTheme="minorHAnsi" w:cstheme="minorHAnsi"/>
                <w:sz w:val="20"/>
                <w:szCs w:val="20"/>
              </w:rPr>
            </w:pPr>
            <w:r w:rsidRPr="00050F36">
              <w:rPr>
                <w:rFonts w:asciiTheme="minorHAnsi" w:hAnsiTheme="minorHAnsi" w:cstheme="minorHAnsi"/>
                <w:sz w:val="20"/>
                <w:szCs w:val="20"/>
              </w:rPr>
              <w:t>Establishment of Energy and GHG baselines and consumption benchmarks for buildings</w:t>
            </w:r>
            <w:r w:rsidR="00AD232C">
              <w:rPr>
                <w:rFonts w:asciiTheme="minorHAnsi" w:hAnsiTheme="minorHAnsi" w:cstheme="minorHAnsi"/>
                <w:sz w:val="20"/>
                <w:szCs w:val="20"/>
              </w:rPr>
              <w:t xml:space="preserve"> sector</w:t>
            </w:r>
          </w:p>
          <w:p w14:paraId="16CA4A6C" w14:textId="2C18622A" w:rsidR="00050F36" w:rsidRPr="00050F36" w:rsidRDefault="00050F36" w:rsidP="008A63E7">
            <w:pPr>
              <w:pStyle w:val="Default"/>
              <w:numPr>
                <w:ilvl w:val="0"/>
                <w:numId w:val="9"/>
              </w:numPr>
              <w:spacing w:before="120" w:after="120"/>
              <w:rPr>
                <w:rFonts w:asciiTheme="minorHAnsi" w:hAnsiTheme="minorHAnsi" w:cstheme="minorHAnsi"/>
                <w:sz w:val="20"/>
                <w:szCs w:val="20"/>
              </w:rPr>
            </w:pPr>
            <w:r w:rsidRPr="00050F36">
              <w:rPr>
                <w:rFonts w:asciiTheme="minorHAnsi" w:hAnsiTheme="minorHAnsi" w:cstheme="minorHAnsi"/>
                <w:sz w:val="20"/>
                <w:szCs w:val="20"/>
              </w:rPr>
              <w:t>Techno</w:t>
            </w:r>
            <w:r w:rsidR="00AD232C">
              <w:rPr>
                <w:rFonts w:asciiTheme="minorHAnsi" w:hAnsiTheme="minorHAnsi" w:cstheme="minorHAnsi"/>
                <w:sz w:val="20"/>
                <w:szCs w:val="20"/>
              </w:rPr>
              <w:t xml:space="preserve">-economic </w:t>
            </w:r>
            <w:r w:rsidRPr="00050F36">
              <w:rPr>
                <w:rFonts w:asciiTheme="minorHAnsi" w:hAnsiTheme="minorHAnsi" w:cstheme="minorHAnsi"/>
                <w:sz w:val="20"/>
                <w:szCs w:val="20"/>
              </w:rPr>
              <w:t>assessment</w:t>
            </w:r>
            <w:r>
              <w:rPr>
                <w:rFonts w:asciiTheme="minorHAnsi" w:hAnsiTheme="minorHAnsi" w:cstheme="minorHAnsi"/>
                <w:sz w:val="20"/>
                <w:szCs w:val="20"/>
              </w:rPr>
              <w:t xml:space="preserve"> </w:t>
            </w:r>
            <w:r w:rsidR="00AD232C">
              <w:rPr>
                <w:rFonts w:asciiTheme="minorHAnsi" w:hAnsiTheme="minorHAnsi" w:cstheme="minorHAnsi"/>
                <w:sz w:val="20"/>
                <w:szCs w:val="20"/>
              </w:rPr>
              <w:t xml:space="preserve">of technologies </w:t>
            </w:r>
            <w:r w:rsidRPr="006650A6">
              <w:rPr>
                <w:sz w:val="20"/>
                <w:szCs w:val="20"/>
              </w:rPr>
              <w:t xml:space="preserve">for </w:t>
            </w:r>
            <w:r w:rsidR="002D25CF">
              <w:rPr>
                <w:sz w:val="20"/>
                <w:szCs w:val="20"/>
              </w:rPr>
              <w:t>6</w:t>
            </w:r>
            <w:r w:rsidRPr="006650A6">
              <w:rPr>
                <w:sz w:val="20"/>
                <w:szCs w:val="20"/>
              </w:rPr>
              <w:t xml:space="preserve"> different building energy components under BEC </w:t>
            </w:r>
            <w:r w:rsidR="00AD232C">
              <w:rPr>
                <w:sz w:val="20"/>
                <w:szCs w:val="20"/>
              </w:rPr>
              <w:t>compliance</w:t>
            </w:r>
            <w:r w:rsidRPr="006650A6">
              <w:rPr>
                <w:sz w:val="20"/>
                <w:szCs w:val="20"/>
              </w:rPr>
              <w:t>- building envelope, lightning system, air conditioning, system, hot water generation system, renewable energy utilization and whole building performance</w:t>
            </w:r>
          </w:p>
          <w:p w14:paraId="0C6EA504" w14:textId="7D70F04B" w:rsidR="002D25CF" w:rsidRPr="00050F36" w:rsidRDefault="00AD232C" w:rsidP="00050F36">
            <w:pPr>
              <w:pStyle w:val="Default"/>
              <w:numPr>
                <w:ilvl w:val="0"/>
                <w:numId w:val="9"/>
              </w:numPr>
              <w:spacing w:before="120" w:after="120"/>
              <w:rPr>
                <w:rFonts w:asciiTheme="minorHAnsi" w:hAnsiTheme="minorHAnsi" w:cstheme="minorHAnsi"/>
                <w:sz w:val="20"/>
                <w:szCs w:val="20"/>
              </w:rPr>
            </w:pPr>
            <w:r>
              <w:rPr>
                <w:rFonts w:asciiTheme="minorHAnsi" w:hAnsiTheme="minorHAnsi" w:cstheme="minorHAnsi"/>
                <w:sz w:val="20"/>
                <w:szCs w:val="20"/>
              </w:rPr>
              <w:t xml:space="preserve">Development of </w:t>
            </w:r>
            <w:r w:rsidR="002D25CF">
              <w:rPr>
                <w:rFonts w:asciiTheme="minorHAnsi" w:hAnsiTheme="minorHAnsi" w:cstheme="minorHAnsi"/>
                <w:sz w:val="20"/>
                <w:szCs w:val="20"/>
              </w:rPr>
              <w:t>MRV Framework for existing and new buildings</w:t>
            </w:r>
          </w:p>
        </w:tc>
      </w:tr>
      <w:tr w:rsidR="00844126" w14:paraId="0FAF1FD6" w14:textId="77777777" w:rsidTr="00CB4ACD">
        <w:tc>
          <w:tcPr>
            <w:tcW w:w="3539" w:type="dxa"/>
          </w:tcPr>
          <w:p w14:paraId="788FE784" w14:textId="0B2321C9" w:rsidR="00844126" w:rsidRDefault="00CB4ACD" w:rsidP="00D30694">
            <w:pPr>
              <w:spacing w:before="120" w:after="120"/>
            </w:pPr>
            <w:r w:rsidRPr="00CB4ACD">
              <w:rPr>
                <w:rFonts w:ascii="Calibri" w:hAnsi="Calibri" w:cs="Calibri"/>
                <w:color w:val="000000"/>
                <w:sz w:val="20"/>
                <w:szCs w:val="20"/>
              </w:rPr>
              <w:t>Anticipated impact</w:t>
            </w:r>
          </w:p>
        </w:tc>
        <w:tc>
          <w:tcPr>
            <w:tcW w:w="5670" w:type="dxa"/>
            <w:shd w:val="clear" w:color="auto" w:fill="D9E2F3" w:themeFill="accent1" w:themeFillTint="33"/>
          </w:tcPr>
          <w:p w14:paraId="0DCF4018" w14:textId="4985B493" w:rsidR="001C4FF9" w:rsidRPr="00EE7001" w:rsidRDefault="00A4563A" w:rsidP="00F368DF">
            <w:pPr>
              <w:pStyle w:val="Default"/>
              <w:numPr>
                <w:ilvl w:val="0"/>
                <w:numId w:val="10"/>
              </w:numPr>
              <w:spacing w:before="120"/>
              <w:jc w:val="thaiDistribute"/>
              <w:rPr>
                <w:rFonts w:asciiTheme="minorHAnsi" w:hAnsiTheme="minorHAnsi" w:cstheme="minorHAnsi"/>
                <w:color w:val="auto"/>
                <w:sz w:val="20"/>
                <w:szCs w:val="20"/>
              </w:rPr>
            </w:pPr>
            <w:r>
              <w:rPr>
                <w:rFonts w:asciiTheme="minorHAnsi" w:hAnsiTheme="minorHAnsi" w:cstheme="minorHAnsi"/>
                <w:color w:val="auto"/>
                <w:sz w:val="20"/>
                <w:szCs w:val="20"/>
              </w:rPr>
              <w:t xml:space="preserve">Effective MRV framework, baselines and benchmark data will promote greater compliance with the BEC, reducing carbon footprints in the building sector </w:t>
            </w:r>
          </w:p>
          <w:p w14:paraId="43B19BB4" w14:textId="3F8EB5D6" w:rsidR="002D25CF" w:rsidRDefault="00A4563A" w:rsidP="00F368DF">
            <w:pPr>
              <w:pStyle w:val="ListParagraph"/>
              <w:numPr>
                <w:ilvl w:val="0"/>
                <w:numId w:val="10"/>
              </w:numPr>
              <w:autoSpaceDE w:val="0"/>
              <w:autoSpaceDN w:val="0"/>
              <w:adjustRightInd w:val="0"/>
              <w:spacing w:before="120" w:after="120"/>
              <w:jc w:val="thaiDistribute"/>
            </w:pPr>
            <w:r>
              <w:rPr>
                <w:rFonts w:eastAsiaTheme="minorEastAsia" w:cstheme="minorHAnsi"/>
                <w:sz w:val="20"/>
                <w:szCs w:val="20"/>
                <w:lang w:eastAsia="en-AU"/>
              </w:rPr>
              <w:t xml:space="preserve">Contribution </w:t>
            </w:r>
            <w:r w:rsidR="00AD232C">
              <w:rPr>
                <w:rFonts w:eastAsiaTheme="minorEastAsia" w:cstheme="minorHAnsi"/>
                <w:sz w:val="20"/>
                <w:szCs w:val="20"/>
                <w:lang w:eastAsia="en-AU"/>
              </w:rPr>
              <w:t>toward reaching the country’s emission target as specified in the EEP2018</w:t>
            </w:r>
          </w:p>
        </w:tc>
      </w:tr>
      <w:tr w:rsidR="00844126" w14:paraId="086DF845" w14:textId="77777777" w:rsidTr="00CB4ACD">
        <w:tc>
          <w:tcPr>
            <w:tcW w:w="3539" w:type="dxa"/>
          </w:tcPr>
          <w:p w14:paraId="4C65073E" w14:textId="32422A64" w:rsidR="00844126" w:rsidRDefault="00CB4ACD" w:rsidP="00D30694">
            <w:pPr>
              <w:spacing w:before="120" w:after="120"/>
            </w:pPr>
            <w:r w:rsidRPr="00CB4ACD">
              <w:rPr>
                <w:rFonts w:ascii="Calibri" w:hAnsi="Calibri" w:cs="Calibri"/>
                <w:color w:val="000000"/>
                <w:sz w:val="20"/>
                <w:szCs w:val="20"/>
              </w:rPr>
              <w:t>Anticipated co-benefits from the TA</w:t>
            </w:r>
          </w:p>
        </w:tc>
        <w:tc>
          <w:tcPr>
            <w:tcW w:w="5670" w:type="dxa"/>
            <w:shd w:val="clear" w:color="auto" w:fill="D9E2F3" w:themeFill="accent1" w:themeFillTint="33"/>
          </w:tcPr>
          <w:p w14:paraId="0E467FAE" w14:textId="1DDA96D4" w:rsidR="008719D5" w:rsidRDefault="008719D5" w:rsidP="00D30694">
            <w:pPr>
              <w:pStyle w:val="Default"/>
              <w:spacing w:before="120" w:after="120"/>
              <w:rPr>
                <w:i/>
                <w:iCs/>
                <w:sz w:val="20"/>
                <w:szCs w:val="20"/>
              </w:rPr>
            </w:pPr>
            <w:r>
              <w:rPr>
                <w:i/>
                <w:iCs/>
                <w:sz w:val="20"/>
                <w:szCs w:val="20"/>
              </w:rPr>
              <w:t>The anticipated co-benefits include:</w:t>
            </w:r>
          </w:p>
          <w:p w14:paraId="022FD680" w14:textId="77777777" w:rsidR="008719D5" w:rsidRPr="008719D5" w:rsidRDefault="008719D5" w:rsidP="00F368DF">
            <w:pPr>
              <w:pStyle w:val="ListParagraph"/>
              <w:numPr>
                <w:ilvl w:val="0"/>
                <w:numId w:val="11"/>
              </w:numPr>
              <w:autoSpaceDE w:val="0"/>
              <w:autoSpaceDN w:val="0"/>
              <w:adjustRightInd w:val="0"/>
              <w:spacing w:after="120"/>
              <w:contextualSpacing w:val="0"/>
              <w:rPr>
                <w:rFonts w:ascii="Calibri" w:hAnsi="Calibri" w:cs="Calibri"/>
                <w:sz w:val="20"/>
                <w:szCs w:val="20"/>
              </w:rPr>
            </w:pPr>
            <w:r w:rsidRPr="008719D5">
              <w:rPr>
                <w:rFonts w:ascii="Calibri" w:hAnsi="Calibri" w:cs="Calibri"/>
                <w:sz w:val="20"/>
                <w:szCs w:val="20"/>
              </w:rPr>
              <w:t>The gathering of baseline data and standards and proposals for local bylaws to facilitate better monitoring and enforcement of the BEC</w:t>
            </w:r>
          </w:p>
          <w:p w14:paraId="66AFF807" w14:textId="4D17FB1D" w:rsidR="008719D5" w:rsidRPr="008719D5" w:rsidRDefault="008719D5" w:rsidP="00F368DF">
            <w:pPr>
              <w:pStyle w:val="ListParagraph"/>
              <w:numPr>
                <w:ilvl w:val="0"/>
                <w:numId w:val="11"/>
              </w:numPr>
              <w:autoSpaceDE w:val="0"/>
              <w:autoSpaceDN w:val="0"/>
              <w:adjustRightInd w:val="0"/>
              <w:spacing w:after="120"/>
              <w:contextualSpacing w:val="0"/>
              <w:rPr>
                <w:rFonts w:ascii="Calibri" w:hAnsi="Calibri" w:cs="Calibri"/>
                <w:sz w:val="20"/>
                <w:szCs w:val="20"/>
              </w:rPr>
            </w:pPr>
            <w:r w:rsidRPr="008719D5">
              <w:rPr>
                <w:rFonts w:ascii="Calibri" w:hAnsi="Calibri" w:cs="Calibri"/>
                <w:sz w:val="20"/>
                <w:szCs w:val="20"/>
              </w:rPr>
              <w:t>The development of MRV systems to assess and report on the climate impact of BEC implementation</w:t>
            </w:r>
          </w:p>
          <w:p w14:paraId="0E727847" w14:textId="0AA96CCF" w:rsidR="008719D5" w:rsidRPr="008719D5" w:rsidRDefault="008719D5" w:rsidP="001D1972">
            <w:pPr>
              <w:pStyle w:val="ListParagraph"/>
              <w:numPr>
                <w:ilvl w:val="0"/>
                <w:numId w:val="11"/>
              </w:numPr>
              <w:autoSpaceDE w:val="0"/>
              <w:autoSpaceDN w:val="0"/>
              <w:adjustRightInd w:val="0"/>
              <w:spacing w:after="120"/>
              <w:contextualSpacing w:val="0"/>
              <w:rPr>
                <w:rFonts w:ascii="Calibri" w:hAnsi="Calibri" w:cs="Calibri"/>
                <w:sz w:val="20"/>
                <w:szCs w:val="20"/>
              </w:rPr>
            </w:pPr>
            <w:r w:rsidRPr="008719D5">
              <w:rPr>
                <w:rFonts w:ascii="Calibri" w:hAnsi="Calibri" w:cs="Calibri"/>
                <w:sz w:val="20"/>
                <w:szCs w:val="20"/>
              </w:rPr>
              <w:t>Capacity building among developers, architects, and construction industry to select and implement technologies to conform to BEC requirements;</w:t>
            </w:r>
          </w:p>
          <w:p w14:paraId="5AD3BFB2" w14:textId="5A96221E" w:rsidR="008719D5" w:rsidRDefault="008719D5" w:rsidP="001D1972">
            <w:pPr>
              <w:pStyle w:val="ListParagraph"/>
              <w:numPr>
                <w:ilvl w:val="0"/>
                <w:numId w:val="11"/>
              </w:numPr>
              <w:autoSpaceDE w:val="0"/>
              <w:autoSpaceDN w:val="0"/>
              <w:adjustRightInd w:val="0"/>
              <w:spacing w:after="120"/>
            </w:pPr>
            <w:r w:rsidRPr="008719D5">
              <w:rPr>
                <w:rFonts w:ascii="Calibri" w:hAnsi="Calibri" w:cs="Calibri"/>
                <w:sz w:val="20"/>
                <w:szCs w:val="20"/>
              </w:rPr>
              <w:t xml:space="preserve">An enhanced enabling environment for investments </w:t>
            </w:r>
            <w:r w:rsidR="00453972">
              <w:rPr>
                <w:rFonts w:ascii="Calibri" w:hAnsi="Calibri" w:cs="Calibri"/>
                <w:sz w:val="20"/>
                <w:szCs w:val="20"/>
              </w:rPr>
              <w:t>for private sector in compliance to BEC</w:t>
            </w:r>
          </w:p>
        </w:tc>
      </w:tr>
      <w:tr w:rsidR="00844126" w14:paraId="69CC4B36" w14:textId="77777777" w:rsidTr="00CB4ACD">
        <w:tc>
          <w:tcPr>
            <w:tcW w:w="3539" w:type="dxa"/>
          </w:tcPr>
          <w:p w14:paraId="7DDA120E" w14:textId="561F6990" w:rsidR="00844126" w:rsidRDefault="00CB4ACD" w:rsidP="00D30694">
            <w:pPr>
              <w:spacing w:before="120" w:after="120"/>
            </w:pPr>
            <w:r w:rsidRPr="00CB4ACD">
              <w:rPr>
                <w:rFonts w:ascii="Calibri" w:hAnsi="Calibri" w:cs="Calibri"/>
                <w:color w:val="000000"/>
                <w:sz w:val="20"/>
                <w:szCs w:val="20"/>
              </w:rPr>
              <w:t>Gender aspects of the TA</w:t>
            </w:r>
          </w:p>
        </w:tc>
        <w:tc>
          <w:tcPr>
            <w:tcW w:w="5670" w:type="dxa"/>
            <w:shd w:val="clear" w:color="auto" w:fill="D9E2F3" w:themeFill="accent1" w:themeFillTint="33"/>
          </w:tcPr>
          <w:p w14:paraId="25AF066A" w14:textId="77777777" w:rsidR="00844126" w:rsidRPr="00453972" w:rsidRDefault="009D5113" w:rsidP="008A63E7">
            <w:pPr>
              <w:pStyle w:val="Default"/>
              <w:spacing w:before="120" w:after="120"/>
              <w:jc w:val="thaiDistribute"/>
              <w:rPr>
                <w:rFonts w:ascii="Calibri" w:eastAsiaTheme="minorHAnsi" w:hAnsi="Calibri" w:cs="Calibri"/>
                <w:color w:val="auto"/>
                <w:sz w:val="20"/>
                <w:szCs w:val="20"/>
                <w:lang w:eastAsia="en-US"/>
              </w:rPr>
            </w:pPr>
            <w:r w:rsidRPr="00453972">
              <w:rPr>
                <w:rFonts w:ascii="Calibri" w:eastAsiaTheme="minorHAnsi" w:hAnsi="Calibri" w:cs="Calibri"/>
                <w:color w:val="auto"/>
                <w:sz w:val="20"/>
                <w:szCs w:val="20"/>
                <w:lang w:eastAsia="en-US"/>
              </w:rPr>
              <w:t>A gender expert has been included in the IIEC project team who will provide input for the development of handbooks and dissemination of the results of the project to a wider audience.</w:t>
            </w:r>
            <w:r w:rsidR="00172F83" w:rsidRPr="00453972">
              <w:rPr>
                <w:rFonts w:ascii="Calibri" w:eastAsiaTheme="minorHAnsi" w:hAnsi="Calibri" w:cs="Calibri"/>
                <w:color w:val="auto"/>
                <w:sz w:val="20"/>
                <w:szCs w:val="20"/>
                <w:lang w:eastAsia="en-US"/>
              </w:rPr>
              <w:t xml:space="preserve"> </w:t>
            </w:r>
          </w:p>
          <w:p w14:paraId="31F39C9F" w14:textId="384BA062" w:rsidR="00453972" w:rsidRPr="009D5113" w:rsidRDefault="00CA0595" w:rsidP="008A63E7">
            <w:pPr>
              <w:pStyle w:val="Default"/>
              <w:spacing w:before="120" w:after="120"/>
              <w:jc w:val="thaiDistribute"/>
            </w:pPr>
            <w:r w:rsidRPr="00CA0595">
              <w:rPr>
                <w:rFonts w:ascii="Calibri" w:eastAsiaTheme="minorHAnsi" w:hAnsi="Calibri" w:cs="Calibri"/>
                <w:color w:val="auto"/>
                <w:sz w:val="20"/>
                <w:szCs w:val="20"/>
                <w:lang w:eastAsia="en-US"/>
              </w:rPr>
              <w:t>A gender aspect could be included in the stakeholder participants from various stakeholder while implementing the TA activities.</w:t>
            </w:r>
            <w:r w:rsidR="00453972" w:rsidRPr="00453972">
              <w:rPr>
                <w:rFonts w:ascii="Calibri" w:eastAsiaTheme="minorHAnsi" w:hAnsi="Calibri" w:cs="Calibri"/>
                <w:color w:val="auto"/>
                <w:sz w:val="20"/>
                <w:szCs w:val="20"/>
                <w:lang w:eastAsia="en-US"/>
              </w:rPr>
              <w:t>.</w:t>
            </w:r>
          </w:p>
        </w:tc>
      </w:tr>
      <w:tr w:rsidR="00844126" w14:paraId="25DD24AE" w14:textId="77777777" w:rsidTr="00CB4ACD">
        <w:tc>
          <w:tcPr>
            <w:tcW w:w="3539" w:type="dxa"/>
          </w:tcPr>
          <w:p w14:paraId="5D6E5372" w14:textId="3D543F29" w:rsidR="00844126" w:rsidRDefault="00CB4ACD" w:rsidP="00D30694">
            <w:pPr>
              <w:spacing w:before="120" w:after="120"/>
            </w:pPr>
            <w:r w:rsidRPr="00CB4ACD">
              <w:rPr>
                <w:rFonts w:ascii="Calibri" w:hAnsi="Calibri" w:cs="Calibri"/>
                <w:color w:val="000000"/>
                <w:sz w:val="20"/>
                <w:szCs w:val="20"/>
              </w:rPr>
              <w:t>Anticipated contribution to NDC</w:t>
            </w:r>
          </w:p>
        </w:tc>
        <w:tc>
          <w:tcPr>
            <w:tcW w:w="5670" w:type="dxa"/>
            <w:shd w:val="clear" w:color="auto" w:fill="D9E2F3" w:themeFill="accent1" w:themeFillTint="33"/>
          </w:tcPr>
          <w:p w14:paraId="630F92A3" w14:textId="3E5EDA5E" w:rsidR="006E43E5" w:rsidRDefault="00D76A50" w:rsidP="006E43E5">
            <w:pPr>
              <w:pStyle w:val="Default"/>
              <w:numPr>
                <w:ilvl w:val="0"/>
                <w:numId w:val="12"/>
              </w:numPr>
              <w:spacing w:before="120" w:after="120"/>
              <w:rPr>
                <w:rFonts w:asciiTheme="minorHAnsi" w:hAnsiTheme="minorHAnsi" w:cstheme="minorHAnsi"/>
                <w:sz w:val="20"/>
                <w:szCs w:val="20"/>
              </w:rPr>
            </w:pPr>
            <w:r>
              <w:rPr>
                <w:rFonts w:asciiTheme="minorHAnsi" w:hAnsiTheme="minorHAnsi" w:cstheme="minorHAnsi"/>
                <w:sz w:val="20"/>
                <w:szCs w:val="20"/>
              </w:rPr>
              <w:t xml:space="preserve">Baseline and </w:t>
            </w:r>
            <w:r w:rsidR="006E43E5" w:rsidRPr="006E43E5">
              <w:rPr>
                <w:rFonts w:asciiTheme="minorHAnsi" w:hAnsiTheme="minorHAnsi" w:cstheme="minorHAnsi"/>
                <w:sz w:val="20"/>
                <w:szCs w:val="20"/>
              </w:rPr>
              <w:t xml:space="preserve">Methodology for calculating GHG </w:t>
            </w:r>
            <w:r w:rsidR="006E43E5">
              <w:rPr>
                <w:rFonts w:asciiTheme="minorHAnsi" w:hAnsiTheme="minorHAnsi" w:cstheme="minorHAnsi"/>
                <w:sz w:val="20"/>
                <w:szCs w:val="20"/>
              </w:rPr>
              <w:t>emission reduction in selected building types</w:t>
            </w:r>
          </w:p>
          <w:p w14:paraId="4BDBA217" w14:textId="77777777" w:rsidR="006E43E5" w:rsidRDefault="006E43E5" w:rsidP="006E43E5">
            <w:pPr>
              <w:pStyle w:val="Default"/>
              <w:numPr>
                <w:ilvl w:val="0"/>
                <w:numId w:val="12"/>
              </w:numPr>
              <w:spacing w:before="120" w:after="120"/>
              <w:rPr>
                <w:rFonts w:asciiTheme="minorHAnsi" w:hAnsiTheme="minorHAnsi" w:cstheme="minorHAnsi"/>
                <w:sz w:val="20"/>
                <w:szCs w:val="20"/>
              </w:rPr>
            </w:pPr>
            <w:r>
              <w:rPr>
                <w:rFonts w:asciiTheme="minorHAnsi" w:hAnsiTheme="minorHAnsi" w:cstheme="minorHAnsi"/>
                <w:sz w:val="20"/>
                <w:szCs w:val="20"/>
              </w:rPr>
              <w:lastRenderedPageBreak/>
              <w:t>Priority listing of applicable energy efficiency and renewable technologies for different building energy components under BEC</w:t>
            </w:r>
          </w:p>
          <w:p w14:paraId="6C842DC7" w14:textId="25068448" w:rsidR="006E43E5" w:rsidRPr="006E43E5" w:rsidRDefault="006E43E5" w:rsidP="006E43E5">
            <w:pPr>
              <w:pStyle w:val="Default"/>
              <w:numPr>
                <w:ilvl w:val="0"/>
                <w:numId w:val="12"/>
              </w:numPr>
              <w:spacing w:before="120" w:after="120"/>
              <w:rPr>
                <w:rFonts w:asciiTheme="minorHAnsi" w:hAnsiTheme="minorHAnsi" w:cstheme="minorHAnsi"/>
                <w:sz w:val="20"/>
                <w:szCs w:val="20"/>
              </w:rPr>
            </w:pPr>
            <w:r>
              <w:rPr>
                <w:rFonts w:asciiTheme="minorHAnsi" w:hAnsiTheme="minorHAnsi" w:cstheme="minorHAnsi"/>
                <w:sz w:val="20"/>
                <w:szCs w:val="20"/>
              </w:rPr>
              <w:t>Established MRV Framework to access and report on climate impacts of BEC implementation</w:t>
            </w:r>
          </w:p>
        </w:tc>
      </w:tr>
      <w:tr w:rsidR="00CB4ACD" w14:paraId="15421C49" w14:textId="77777777" w:rsidTr="00CB4ACD">
        <w:tc>
          <w:tcPr>
            <w:tcW w:w="3539" w:type="dxa"/>
          </w:tcPr>
          <w:p w14:paraId="356F386B" w14:textId="378897E0" w:rsidR="00CB4ACD" w:rsidRPr="00CB4ACD" w:rsidRDefault="00CB4ACD" w:rsidP="00D30694">
            <w:pPr>
              <w:spacing w:before="120" w:after="120"/>
              <w:rPr>
                <w:rFonts w:ascii="Calibri" w:hAnsi="Calibri" w:cs="Calibri"/>
                <w:color w:val="000000"/>
                <w:sz w:val="20"/>
                <w:szCs w:val="20"/>
              </w:rPr>
            </w:pPr>
            <w:r w:rsidRPr="00CB4ACD">
              <w:rPr>
                <w:rFonts w:ascii="Calibri" w:hAnsi="Calibri" w:cs="Calibri"/>
                <w:color w:val="000000"/>
                <w:sz w:val="20"/>
                <w:szCs w:val="20"/>
              </w:rPr>
              <w:lastRenderedPageBreak/>
              <w:t>The narrative story</w:t>
            </w:r>
          </w:p>
        </w:tc>
        <w:tc>
          <w:tcPr>
            <w:tcW w:w="5670" w:type="dxa"/>
            <w:shd w:val="clear" w:color="auto" w:fill="D9E2F3" w:themeFill="accent1" w:themeFillTint="33"/>
          </w:tcPr>
          <w:p w14:paraId="28433ADC" w14:textId="2B6B535E" w:rsidR="004653E0" w:rsidRDefault="004653E0" w:rsidP="008A63E7">
            <w:pPr>
              <w:autoSpaceDE w:val="0"/>
              <w:autoSpaceDN w:val="0"/>
              <w:adjustRightInd w:val="0"/>
              <w:spacing w:before="120" w:after="120"/>
              <w:jc w:val="thaiDistribute"/>
              <w:rPr>
                <w:rFonts w:cstheme="minorHAnsi"/>
                <w:sz w:val="20"/>
                <w:szCs w:val="20"/>
              </w:rPr>
            </w:pPr>
            <w:r w:rsidRPr="004653E0">
              <w:rPr>
                <w:sz w:val="20"/>
                <w:szCs w:val="20"/>
                <w:lang w:val="en-US"/>
              </w:rPr>
              <w:t>The NDC Road Map aims to reduce 113 million tonnes GHG emissions through energy efficiency (EE) and renewable energy (RE) with around 26.1 million tonnes in the building sector through compliance with the Building Energy Code (BEC), sustainable building materials and effective construction practices</w:t>
            </w:r>
            <w:r>
              <w:rPr>
                <w:szCs w:val="22"/>
                <w:lang w:val="en-US"/>
              </w:rPr>
              <w:t>.</w:t>
            </w:r>
          </w:p>
          <w:p w14:paraId="06D43000" w14:textId="4DE61E05" w:rsidR="004653E0" w:rsidRPr="004653E0" w:rsidRDefault="00856315" w:rsidP="008A63E7">
            <w:pPr>
              <w:autoSpaceDE w:val="0"/>
              <w:autoSpaceDN w:val="0"/>
              <w:adjustRightInd w:val="0"/>
              <w:spacing w:before="120" w:after="120"/>
              <w:jc w:val="thaiDistribute"/>
              <w:rPr>
                <w:rFonts w:cstheme="minorHAnsi"/>
                <w:sz w:val="20"/>
                <w:szCs w:val="20"/>
              </w:rPr>
            </w:pPr>
            <w:r w:rsidRPr="00856315">
              <w:rPr>
                <w:sz w:val="20"/>
                <w:szCs w:val="20"/>
                <w:lang w:val="en-US"/>
              </w:rPr>
              <w:t>The BEC serves as the cornerstone in meeting Thailand’s GHG emission reduction targets in the building sector and it sets out the mandatory energy standards for new buildings while the standards for existing buildings are only voluntary.  There are several challenges to the adoption of the BEC standards by the respective stakeholders primarily due to the lack of information relating to energy efficient and cost-effective technologies and the lack of resources in the government agencies for enforcement.  The implementation of EE measures following energy audits have been slow due to lack of benchmarks and technology options; and this needs to be addressed if implementation were to be increased</w:t>
            </w:r>
            <w:r>
              <w:rPr>
                <w:szCs w:val="22"/>
                <w:lang w:val="en-US"/>
              </w:rPr>
              <w:t xml:space="preserve">. </w:t>
            </w:r>
            <w:r w:rsidRPr="00856315">
              <w:rPr>
                <w:sz w:val="20"/>
                <w:szCs w:val="20"/>
                <w:lang w:val="en-US"/>
              </w:rPr>
              <w:t>The scope focuses on five building types, namely, offices, hotels, department stores, medical centers and condominiums of floor area equivalent to or exceeding 2,000 sq</w:t>
            </w:r>
            <w:r>
              <w:rPr>
                <w:sz w:val="20"/>
                <w:szCs w:val="20"/>
                <w:lang w:val="en-US"/>
              </w:rPr>
              <w:t>m</w:t>
            </w:r>
            <w:r w:rsidRPr="00856315">
              <w:rPr>
                <w:sz w:val="20"/>
                <w:szCs w:val="20"/>
                <w:lang w:val="en-US"/>
              </w:rPr>
              <w:t>, and consistent with the performance indicators outlined in the BEC</w:t>
            </w:r>
            <w:r>
              <w:rPr>
                <w:sz w:val="20"/>
                <w:szCs w:val="20"/>
                <w:lang w:val="en-US"/>
              </w:rPr>
              <w:t xml:space="preserve">.  </w:t>
            </w:r>
          </w:p>
        </w:tc>
      </w:tr>
      <w:tr w:rsidR="006E43E5" w:rsidRPr="006E43E5" w14:paraId="17142889" w14:textId="77777777" w:rsidTr="00CB4ACD">
        <w:tc>
          <w:tcPr>
            <w:tcW w:w="3539" w:type="dxa"/>
          </w:tcPr>
          <w:p w14:paraId="2F1DD0F8" w14:textId="74326FF3" w:rsidR="00CB4ACD" w:rsidRPr="00624162" w:rsidRDefault="00CB4ACD" w:rsidP="00D30694">
            <w:pPr>
              <w:pStyle w:val="Default"/>
              <w:spacing w:before="120" w:after="120"/>
              <w:rPr>
                <w:rFonts w:ascii="Calibri" w:hAnsi="Calibri" w:cs="Calibri"/>
                <w:color w:val="auto"/>
                <w:sz w:val="20"/>
                <w:szCs w:val="20"/>
              </w:rPr>
            </w:pPr>
            <w:r w:rsidRPr="00624162">
              <w:rPr>
                <w:color w:val="auto"/>
                <w:sz w:val="20"/>
                <w:szCs w:val="20"/>
              </w:rPr>
              <w:t xml:space="preserve">Contribution to SDGs </w:t>
            </w:r>
          </w:p>
        </w:tc>
        <w:tc>
          <w:tcPr>
            <w:tcW w:w="5670" w:type="dxa"/>
            <w:shd w:val="clear" w:color="auto" w:fill="D9E2F3" w:themeFill="accent1" w:themeFillTint="33"/>
          </w:tcPr>
          <w:p w14:paraId="767D1692" w14:textId="38737469" w:rsidR="000A5AFC" w:rsidRDefault="00624162" w:rsidP="00BF3972">
            <w:pPr>
              <w:pStyle w:val="Default"/>
              <w:spacing w:before="120" w:after="120"/>
              <w:jc w:val="thaiDistribute"/>
              <w:rPr>
                <w:rFonts w:asciiTheme="minorHAnsi" w:eastAsiaTheme="minorHAnsi" w:hAnsiTheme="minorHAnsi" w:cstheme="minorBidi"/>
                <w:color w:val="auto"/>
                <w:sz w:val="20"/>
                <w:szCs w:val="20"/>
                <w:lang w:val="en-US" w:eastAsia="en-US"/>
              </w:rPr>
            </w:pPr>
            <w:r w:rsidRPr="00BF3972">
              <w:rPr>
                <w:rFonts w:asciiTheme="minorHAnsi" w:eastAsiaTheme="minorHAnsi" w:hAnsiTheme="minorHAnsi" w:cstheme="minorBidi"/>
                <w:color w:val="auto"/>
                <w:sz w:val="20"/>
                <w:szCs w:val="20"/>
                <w:lang w:val="en-US" w:eastAsia="en-US"/>
              </w:rPr>
              <w:t xml:space="preserve">The proposed CTCN TA support directly contributes to the UN Sustainable Development Goal 7: Affordable and clean energy, with </w:t>
            </w:r>
            <w:r w:rsidR="000A5AFC">
              <w:rPr>
                <w:rFonts w:asciiTheme="minorHAnsi" w:eastAsiaTheme="minorHAnsi" w:hAnsiTheme="minorHAnsi" w:cstheme="minorBidi"/>
                <w:color w:val="auto"/>
                <w:sz w:val="20"/>
                <w:szCs w:val="20"/>
                <w:lang w:val="en-US" w:eastAsia="en-US"/>
              </w:rPr>
              <w:t>G</w:t>
            </w:r>
            <w:r w:rsidRPr="00BF3972">
              <w:rPr>
                <w:rFonts w:asciiTheme="minorHAnsi" w:eastAsiaTheme="minorHAnsi" w:hAnsiTheme="minorHAnsi" w:cstheme="minorBidi"/>
                <w:color w:val="auto"/>
                <w:sz w:val="20"/>
                <w:szCs w:val="20"/>
                <w:lang w:val="en-US" w:eastAsia="en-US"/>
              </w:rPr>
              <w:t>oal 7.a</w:t>
            </w:r>
            <w:r w:rsidR="000A5AFC">
              <w:rPr>
                <w:rFonts w:asciiTheme="minorHAnsi" w:eastAsiaTheme="minorHAnsi" w:hAnsiTheme="minorHAnsi" w:cstheme="minorBidi"/>
                <w:color w:val="auto"/>
                <w:sz w:val="20"/>
                <w:szCs w:val="20"/>
                <w:lang w:val="en-US" w:eastAsia="en-US"/>
              </w:rPr>
              <w:t xml:space="preserve"> </w:t>
            </w:r>
            <w:r w:rsidRPr="00BF3972">
              <w:rPr>
                <w:rFonts w:asciiTheme="minorHAnsi" w:eastAsiaTheme="minorHAnsi" w:hAnsiTheme="minorHAnsi" w:cstheme="minorBidi"/>
                <w:color w:val="auto"/>
                <w:sz w:val="20"/>
                <w:szCs w:val="20"/>
                <w:lang w:val="en-US" w:eastAsia="en-US"/>
              </w:rPr>
              <w:t>-</w:t>
            </w:r>
            <w:r w:rsidR="000A5AFC">
              <w:rPr>
                <w:rFonts w:asciiTheme="minorHAnsi" w:eastAsiaTheme="minorHAnsi" w:hAnsiTheme="minorHAnsi" w:cstheme="minorBidi"/>
                <w:color w:val="auto"/>
                <w:sz w:val="20"/>
                <w:szCs w:val="20"/>
                <w:lang w:val="en-US" w:eastAsia="en-US"/>
              </w:rPr>
              <w:t xml:space="preserve"> E</w:t>
            </w:r>
            <w:r w:rsidRPr="00BF3972">
              <w:rPr>
                <w:rFonts w:asciiTheme="minorHAnsi" w:eastAsiaTheme="minorHAnsi" w:hAnsiTheme="minorHAnsi" w:cstheme="minorBidi"/>
                <w:color w:val="auto"/>
                <w:sz w:val="20"/>
                <w:szCs w:val="20"/>
                <w:lang w:val="en-US" w:eastAsia="en-US"/>
              </w:rPr>
              <w:t xml:space="preserve">nhance international cooperation to facilitate access to clean energy research and technology, including energy efficiency and renewable energy technology, and promote investment in energy infrastructure and clean energy technology in the building sector. </w:t>
            </w:r>
          </w:p>
          <w:p w14:paraId="6F32695C" w14:textId="5942211D" w:rsidR="00BF3972" w:rsidRPr="00BF3972" w:rsidRDefault="00624162" w:rsidP="00BF3972">
            <w:pPr>
              <w:pStyle w:val="Default"/>
              <w:spacing w:before="120" w:after="120"/>
              <w:jc w:val="thaiDistribute"/>
              <w:rPr>
                <w:rFonts w:asciiTheme="minorHAnsi" w:eastAsiaTheme="minorHAnsi" w:hAnsiTheme="minorHAnsi" w:cstheme="minorBidi"/>
                <w:color w:val="auto"/>
                <w:sz w:val="20"/>
                <w:szCs w:val="20"/>
                <w:lang w:val="en-US" w:eastAsia="en-US"/>
              </w:rPr>
            </w:pPr>
            <w:r w:rsidRPr="00BF3972">
              <w:rPr>
                <w:rFonts w:asciiTheme="minorHAnsi" w:eastAsiaTheme="minorHAnsi" w:hAnsiTheme="minorHAnsi" w:cstheme="minorBidi"/>
                <w:color w:val="auto"/>
                <w:sz w:val="20"/>
                <w:szCs w:val="20"/>
                <w:lang w:val="en-US" w:eastAsia="en-US"/>
              </w:rPr>
              <w:t xml:space="preserve">Indirectly, contributes to "Goal 13: </w:t>
            </w:r>
            <w:r w:rsidR="000A5AFC">
              <w:rPr>
                <w:rFonts w:asciiTheme="minorHAnsi" w:eastAsiaTheme="minorHAnsi" w:hAnsiTheme="minorHAnsi" w:cstheme="minorBidi"/>
                <w:color w:val="auto"/>
                <w:sz w:val="20"/>
                <w:szCs w:val="20"/>
                <w:lang w:val="en-US" w:eastAsia="en-US"/>
              </w:rPr>
              <w:t>C</w:t>
            </w:r>
            <w:r w:rsidRPr="00BF3972">
              <w:rPr>
                <w:rFonts w:asciiTheme="minorHAnsi" w:eastAsiaTheme="minorHAnsi" w:hAnsiTheme="minorHAnsi" w:cstheme="minorBidi"/>
                <w:color w:val="auto"/>
                <w:sz w:val="20"/>
                <w:szCs w:val="20"/>
                <w:lang w:val="en-US" w:eastAsia="en-US"/>
              </w:rPr>
              <w:t xml:space="preserve">limate </w:t>
            </w:r>
            <w:r w:rsidR="000A5AFC">
              <w:rPr>
                <w:rFonts w:asciiTheme="minorHAnsi" w:eastAsiaTheme="minorHAnsi" w:hAnsiTheme="minorHAnsi" w:cstheme="minorBidi"/>
                <w:color w:val="auto"/>
                <w:sz w:val="20"/>
                <w:szCs w:val="20"/>
                <w:lang w:val="en-US" w:eastAsia="en-US"/>
              </w:rPr>
              <w:t>A</w:t>
            </w:r>
            <w:r w:rsidRPr="00BF3972">
              <w:rPr>
                <w:rFonts w:asciiTheme="minorHAnsi" w:eastAsiaTheme="minorHAnsi" w:hAnsiTheme="minorHAnsi" w:cstheme="minorBidi"/>
                <w:color w:val="auto"/>
                <w:sz w:val="20"/>
                <w:szCs w:val="20"/>
                <w:lang w:val="en-US" w:eastAsia="en-US"/>
              </w:rPr>
              <w:t>ction; 13.3 - Improve education, awareness-raising and human and institutional capacity on climate change mitigation, adaptation, impact</w:t>
            </w:r>
            <w:r w:rsidR="00BF3972" w:rsidRPr="00BF3972">
              <w:rPr>
                <w:rFonts w:asciiTheme="minorHAnsi" w:eastAsiaTheme="minorHAnsi" w:hAnsiTheme="minorHAnsi" w:cstheme="minorBidi"/>
                <w:color w:val="auto"/>
                <w:sz w:val="20"/>
                <w:szCs w:val="20"/>
                <w:lang w:val="en-US" w:eastAsia="en-US"/>
              </w:rPr>
              <w:t xml:space="preserve"> reduction and early warning". </w:t>
            </w:r>
          </w:p>
          <w:p w14:paraId="25E681F4" w14:textId="26A6FC86" w:rsidR="00CB4ACD" w:rsidRPr="00624162" w:rsidRDefault="00624162" w:rsidP="00BF3972">
            <w:pPr>
              <w:pStyle w:val="Default"/>
              <w:spacing w:before="120" w:after="120"/>
              <w:jc w:val="thaiDistribute"/>
              <w:rPr>
                <w:i/>
                <w:iCs/>
                <w:color w:val="auto"/>
                <w:sz w:val="20"/>
                <w:szCs w:val="20"/>
              </w:rPr>
            </w:pPr>
            <w:r w:rsidRPr="00BF3972">
              <w:rPr>
                <w:rFonts w:asciiTheme="minorHAnsi" w:eastAsiaTheme="minorHAnsi" w:hAnsiTheme="minorHAnsi" w:cstheme="minorBidi"/>
                <w:color w:val="auto"/>
                <w:sz w:val="20"/>
                <w:szCs w:val="20"/>
                <w:lang w:val="en-US" w:eastAsia="en-US"/>
              </w:rPr>
              <w:t>Finally, the project, given it explicit output can also be one way to achieve "Goal 9: Industry, Innovation and infrastructure-by 2030 upgrade infrastructure and retrofit industries to make them sustainable, with increased resource-use efficiency and greater adoption of clean and environmentally sound technologies and industrial processes, with all countries".</w:t>
            </w:r>
            <w:r w:rsidR="00D30694" w:rsidRPr="00624162">
              <w:rPr>
                <w:i/>
                <w:iCs/>
                <w:color w:val="auto"/>
                <w:sz w:val="20"/>
                <w:szCs w:val="20"/>
              </w:rPr>
              <w:t xml:space="preserve"> </w:t>
            </w:r>
          </w:p>
        </w:tc>
      </w:tr>
    </w:tbl>
    <w:p w14:paraId="039DA3A2" w14:textId="4A6DE043" w:rsidR="00C544BD" w:rsidRDefault="00C544BD"/>
    <w:p w14:paraId="74413BA2" w14:textId="77777777" w:rsidR="00A531F3" w:rsidRDefault="00A531F3"/>
    <w:sectPr w:rsidR="00A531F3">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8566C" w14:textId="77777777" w:rsidR="00F46063" w:rsidRDefault="00F46063" w:rsidP="006E43E5">
      <w:pPr>
        <w:spacing w:after="0" w:line="240" w:lineRule="auto"/>
      </w:pPr>
      <w:r>
        <w:separator/>
      </w:r>
    </w:p>
  </w:endnote>
  <w:endnote w:type="continuationSeparator" w:id="0">
    <w:p w14:paraId="4E7EDE20" w14:textId="77777777" w:rsidR="00F46063" w:rsidRDefault="00F46063" w:rsidP="006E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rbel">
    <w:altName w:val="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555788"/>
      <w:docPartObj>
        <w:docPartGallery w:val="Page Numbers (Bottom of Page)"/>
        <w:docPartUnique/>
      </w:docPartObj>
    </w:sdtPr>
    <w:sdtEndPr>
      <w:rPr>
        <w:noProof/>
      </w:rPr>
    </w:sdtEndPr>
    <w:sdtContent>
      <w:p w14:paraId="7B06F68A" w14:textId="1375119A" w:rsidR="00BF5BE6" w:rsidRDefault="00BF5BE6">
        <w:pPr>
          <w:pStyle w:val="Footer"/>
          <w:jc w:val="right"/>
        </w:pPr>
        <w:r>
          <w:fldChar w:fldCharType="begin"/>
        </w:r>
        <w:r>
          <w:instrText xml:space="preserve"> PAGE   \* MERGEFORMAT </w:instrText>
        </w:r>
        <w:r>
          <w:fldChar w:fldCharType="separate"/>
        </w:r>
        <w:r w:rsidR="00F368DF">
          <w:rPr>
            <w:noProof/>
          </w:rPr>
          <w:t>7</w:t>
        </w:r>
        <w:r>
          <w:rPr>
            <w:noProof/>
          </w:rPr>
          <w:fldChar w:fldCharType="end"/>
        </w:r>
      </w:p>
    </w:sdtContent>
  </w:sdt>
  <w:p w14:paraId="29424D3C" w14:textId="77777777" w:rsidR="00BF5BE6" w:rsidRDefault="00BF5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9A2D9" w14:textId="77777777" w:rsidR="00F46063" w:rsidRDefault="00F46063" w:rsidP="006E43E5">
      <w:pPr>
        <w:spacing w:after="0" w:line="240" w:lineRule="auto"/>
      </w:pPr>
      <w:r>
        <w:separator/>
      </w:r>
    </w:p>
  </w:footnote>
  <w:footnote w:type="continuationSeparator" w:id="0">
    <w:p w14:paraId="7E6CF9A7" w14:textId="77777777" w:rsidR="00F46063" w:rsidRDefault="00F46063" w:rsidP="006E4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A39975"/>
    <w:multiLevelType w:val="hybridMultilevel"/>
    <w:tmpl w:val="8F0A4C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72293E"/>
    <w:multiLevelType w:val="hybridMultilevel"/>
    <w:tmpl w:val="CAB0413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680C0AC"/>
    <w:multiLevelType w:val="hybridMultilevel"/>
    <w:tmpl w:val="7219417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4D924ED"/>
    <w:multiLevelType w:val="hybridMultilevel"/>
    <w:tmpl w:val="ADEA5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0B4C82"/>
    <w:multiLevelType w:val="hybridMultilevel"/>
    <w:tmpl w:val="78A6D3C8"/>
    <w:lvl w:ilvl="0" w:tplc="3D5453E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9E4159"/>
    <w:multiLevelType w:val="hybridMultilevel"/>
    <w:tmpl w:val="61DCC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394E71"/>
    <w:multiLevelType w:val="hybridMultilevel"/>
    <w:tmpl w:val="7D2B66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8F5A90"/>
    <w:multiLevelType w:val="hybridMultilevel"/>
    <w:tmpl w:val="1DA0F018"/>
    <w:lvl w:ilvl="0" w:tplc="3D5453E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061290"/>
    <w:multiLevelType w:val="hybridMultilevel"/>
    <w:tmpl w:val="9EBC0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712EEC"/>
    <w:multiLevelType w:val="hybridMultilevel"/>
    <w:tmpl w:val="B636A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D853A4"/>
    <w:multiLevelType w:val="hybridMultilevel"/>
    <w:tmpl w:val="0B866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5436B1"/>
    <w:multiLevelType w:val="hybridMultilevel"/>
    <w:tmpl w:val="BF9A0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8"/>
  </w:num>
  <w:num w:numId="5">
    <w:abstractNumId w:val="4"/>
  </w:num>
  <w:num w:numId="6">
    <w:abstractNumId w:val="7"/>
  </w:num>
  <w:num w:numId="7">
    <w:abstractNumId w:val="6"/>
  </w:num>
  <w:num w:numId="8">
    <w:abstractNumId w:val="0"/>
  </w:num>
  <w:num w:numId="9">
    <w:abstractNumId w:val="9"/>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2sjA1NLc0M7AwMjdU0lEKTi0uzszPAykwrAUA4CR4WiwAAAA="/>
  </w:docVars>
  <w:rsids>
    <w:rsidRoot w:val="00C544BD"/>
    <w:rsid w:val="00002AE9"/>
    <w:rsid w:val="00005CA9"/>
    <w:rsid w:val="00024EA5"/>
    <w:rsid w:val="00041484"/>
    <w:rsid w:val="00050F36"/>
    <w:rsid w:val="000511CA"/>
    <w:rsid w:val="00051696"/>
    <w:rsid w:val="00054D95"/>
    <w:rsid w:val="00093B3C"/>
    <w:rsid w:val="000A208B"/>
    <w:rsid w:val="000A4967"/>
    <w:rsid w:val="000A5AFC"/>
    <w:rsid w:val="000C0D7C"/>
    <w:rsid w:val="000C67F3"/>
    <w:rsid w:val="000D426C"/>
    <w:rsid w:val="00110EB0"/>
    <w:rsid w:val="0011322B"/>
    <w:rsid w:val="00147632"/>
    <w:rsid w:val="00151B09"/>
    <w:rsid w:val="00154832"/>
    <w:rsid w:val="00154950"/>
    <w:rsid w:val="0016536E"/>
    <w:rsid w:val="00166836"/>
    <w:rsid w:val="00172762"/>
    <w:rsid w:val="00172F83"/>
    <w:rsid w:val="00180358"/>
    <w:rsid w:val="00184229"/>
    <w:rsid w:val="00195CB4"/>
    <w:rsid w:val="001B1DAC"/>
    <w:rsid w:val="001C4FF9"/>
    <w:rsid w:val="001D1972"/>
    <w:rsid w:val="001D7057"/>
    <w:rsid w:val="001F1306"/>
    <w:rsid w:val="001F187B"/>
    <w:rsid w:val="001F43A2"/>
    <w:rsid w:val="00202439"/>
    <w:rsid w:val="00214D33"/>
    <w:rsid w:val="002217F6"/>
    <w:rsid w:val="0023111D"/>
    <w:rsid w:val="002318C8"/>
    <w:rsid w:val="00237692"/>
    <w:rsid w:val="00272C98"/>
    <w:rsid w:val="00276604"/>
    <w:rsid w:val="002A0710"/>
    <w:rsid w:val="002A2C33"/>
    <w:rsid w:val="002A5FD5"/>
    <w:rsid w:val="002C727D"/>
    <w:rsid w:val="002D25CF"/>
    <w:rsid w:val="002E6AF2"/>
    <w:rsid w:val="002F19E5"/>
    <w:rsid w:val="00301C24"/>
    <w:rsid w:val="00303D3E"/>
    <w:rsid w:val="00334A6B"/>
    <w:rsid w:val="003406B5"/>
    <w:rsid w:val="003476E1"/>
    <w:rsid w:val="00353659"/>
    <w:rsid w:val="003565CC"/>
    <w:rsid w:val="00361E2E"/>
    <w:rsid w:val="00370E18"/>
    <w:rsid w:val="003900AD"/>
    <w:rsid w:val="00392F91"/>
    <w:rsid w:val="003A5B36"/>
    <w:rsid w:val="003C0577"/>
    <w:rsid w:val="003D5636"/>
    <w:rsid w:val="00413DDE"/>
    <w:rsid w:val="0042500E"/>
    <w:rsid w:val="0042786E"/>
    <w:rsid w:val="00433930"/>
    <w:rsid w:val="004423B0"/>
    <w:rsid w:val="00453972"/>
    <w:rsid w:val="004653E0"/>
    <w:rsid w:val="004866E9"/>
    <w:rsid w:val="004B2206"/>
    <w:rsid w:val="004B43BE"/>
    <w:rsid w:val="004B7D2E"/>
    <w:rsid w:val="004C1D76"/>
    <w:rsid w:val="004C3E18"/>
    <w:rsid w:val="004C646E"/>
    <w:rsid w:val="004D1DEC"/>
    <w:rsid w:val="004F38B6"/>
    <w:rsid w:val="00522CE2"/>
    <w:rsid w:val="005366E7"/>
    <w:rsid w:val="005467E5"/>
    <w:rsid w:val="00563C6D"/>
    <w:rsid w:val="00576A61"/>
    <w:rsid w:val="00596AFC"/>
    <w:rsid w:val="005A274C"/>
    <w:rsid w:val="005A7161"/>
    <w:rsid w:val="005B3D1E"/>
    <w:rsid w:val="005D2183"/>
    <w:rsid w:val="005F0597"/>
    <w:rsid w:val="00600CE3"/>
    <w:rsid w:val="006108E9"/>
    <w:rsid w:val="00611D5C"/>
    <w:rsid w:val="00624162"/>
    <w:rsid w:val="0063314C"/>
    <w:rsid w:val="0063510B"/>
    <w:rsid w:val="00637E5C"/>
    <w:rsid w:val="00640B67"/>
    <w:rsid w:val="006410E5"/>
    <w:rsid w:val="00675997"/>
    <w:rsid w:val="00696A76"/>
    <w:rsid w:val="006A0397"/>
    <w:rsid w:val="006A1D50"/>
    <w:rsid w:val="006A7797"/>
    <w:rsid w:val="006D2E62"/>
    <w:rsid w:val="006D3ACF"/>
    <w:rsid w:val="006E233E"/>
    <w:rsid w:val="006E43E5"/>
    <w:rsid w:val="00704AB4"/>
    <w:rsid w:val="00734804"/>
    <w:rsid w:val="00766B89"/>
    <w:rsid w:val="00767915"/>
    <w:rsid w:val="00780EB8"/>
    <w:rsid w:val="007A793E"/>
    <w:rsid w:val="007E0376"/>
    <w:rsid w:val="008015C7"/>
    <w:rsid w:val="00810FB2"/>
    <w:rsid w:val="0081395C"/>
    <w:rsid w:val="00824A7F"/>
    <w:rsid w:val="008257D6"/>
    <w:rsid w:val="00844126"/>
    <w:rsid w:val="00856315"/>
    <w:rsid w:val="008627EA"/>
    <w:rsid w:val="008719D5"/>
    <w:rsid w:val="00876AA4"/>
    <w:rsid w:val="00882CD9"/>
    <w:rsid w:val="0088343C"/>
    <w:rsid w:val="00895962"/>
    <w:rsid w:val="00895B5E"/>
    <w:rsid w:val="008A1313"/>
    <w:rsid w:val="008A1FE1"/>
    <w:rsid w:val="008A4E29"/>
    <w:rsid w:val="008A63E7"/>
    <w:rsid w:val="008B0DC6"/>
    <w:rsid w:val="008C30B9"/>
    <w:rsid w:val="008E16F9"/>
    <w:rsid w:val="00902677"/>
    <w:rsid w:val="00904F6E"/>
    <w:rsid w:val="00920B08"/>
    <w:rsid w:val="009305E5"/>
    <w:rsid w:val="00944C01"/>
    <w:rsid w:val="009845CB"/>
    <w:rsid w:val="00986827"/>
    <w:rsid w:val="009A6BBE"/>
    <w:rsid w:val="009A74DF"/>
    <w:rsid w:val="009B7EB6"/>
    <w:rsid w:val="009D5113"/>
    <w:rsid w:val="00A16466"/>
    <w:rsid w:val="00A30457"/>
    <w:rsid w:val="00A32738"/>
    <w:rsid w:val="00A35130"/>
    <w:rsid w:val="00A41EA8"/>
    <w:rsid w:val="00A4563A"/>
    <w:rsid w:val="00A531F3"/>
    <w:rsid w:val="00A56E9A"/>
    <w:rsid w:val="00A71752"/>
    <w:rsid w:val="00A748C7"/>
    <w:rsid w:val="00A92BD1"/>
    <w:rsid w:val="00A96C02"/>
    <w:rsid w:val="00AA77E1"/>
    <w:rsid w:val="00AC1964"/>
    <w:rsid w:val="00AC6AD5"/>
    <w:rsid w:val="00AD232C"/>
    <w:rsid w:val="00AD5E87"/>
    <w:rsid w:val="00B056BA"/>
    <w:rsid w:val="00B11C55"/>
    <w:rsid w:val="00B15731"/>
    <w:rsid w:val="00B2139D"/>
    <w:rsid w:val="00B2468F"/>
    <w:rsid w:val="00B33B8F"/>
    <w:rsid w:val="00B450CC"/>
    <w:rsid w:val="00B52A15"/>
    <w:rsid w:val="00B5694A"/>
    <w:rsid w:val="00B63DDB"/>
    <w:rsid w:val="00B6533E"/>
    <w:rsid w:val="00B7192B"/>
    <w:rsid w:val="00B77E34"/>
    <w:rsid w:val="00B80E25"/>
    <w:rsid w:val="00B8632E"/>
    <w:rsid w:val="00BA1DBB"/>
    <w:rsid w:val="00BB4F74"/>
    <w:rsid w:val="00BD437B"/>
    <w:rsid w:val="00BE122C"/>
    <w:rsid w:val="00BF3972"/>
    <w:rsid w:val="00BF5BE6"/>
    <w:rsid w:val="00C12371"/>
    <w:rsid w:val="00C13B8E"/>
    <w:rsid w:val="00C21CB5"/>
    <w:rsid w:val="00C237A6"/>
    <w:rsid w:val="00C41FEF"/>
    <w:rsid w:val="00C44F8E"/>
    <w:rsid w:val="00C45BAC"/>
    <w:rsid w:val="00C51DDF"/>
    <w:rsid w:val="00C544BD"/>
    <w:rsid w:val="00C55048"/>
    <w:rsid w:val="00C65601"/>
    <w:rsid w:val="00C67C8D"/>
    <w:rsid w:val="00C7334E"/>
    <w:rsid w:val="00C86CB8"/>
    <w:rsid w:val="00C90BEB"/>
    <w:rsid w:val="00CA0595"/>
    <w:rsid w:val="00CB4ACD"/>
    <w:rsid w:val="00CC7E03"/>
    <w:rsid w:val="00CD3963"/>
    <w:rsid w:val="00CE669E"/>
    <w:rsid w:val="00CE6F17"/>
    <w:rsid w:val="00D00E9D"/>
    <w:rsid w:val="00D0376A"/>
    <w:rsid w:val="00D1598A"/>
    <w:rsid w:val="00D30694"/>
    <w:rsid w:val="00D600B8"/>
    <w:rsid w:val="00D6711C"/>
    <w:rsid w:val="00D745DE"/>
    <w:rsid w:val="00D76A50"/>
    <w:rsid w:val="00D81AF4"/>
    <w:rsid w:val="00D833BF"/>
    <w:rsid w:val="00D8441C"/>
    <w:rsid w:val="00D96C47"/>
    <w:rsid w:val="00DA2B02"/>
    <w:rsid w:val="00DB77A8"/>
    <w:rsid w:val="00DC0161"/>
    <w:rsid w:val="00DC23E6"/>
    <w:rsid w:val="00DD1A3C"/>
    <w:rsid w:val="00DD65CC"/>
    <w:rsid w:val="00DD6721"/>
    <w:rsid w:val="00DE1D3A"/>
    <w:rsid w:val="00E05A9C"/>
    <w:rsid w:val="00E070A9"/>
    <w:rsid w:val="00E14B05"/>
    <w:rsid w:val="00E268A9"/>
    <w:rsid w:val="00E3173D"/>
    <w:rsid w:val="00E568C7"/>
    <w:rsid w:val="00E73B95"/>
    <w:rsid w:val="00E73D8C"/>
    <w:rsid w:val="00EA3218"/>
    <w:rsid w:val="00ED3EB0"/>
    <w:rsid w:val="00EE36E7"/>
    <w:rsid w:val="00EE7001"/>
    <w:rsid w:val="00F368DF"/>
    <w:rsid w:val="00F36E6A"/>
    <w:rsid w:val="00F37772"/>
    <w:rsid w:val="00F46063"/>
    <w:rsid w:val="00F51585"/>
    <w:rsid w:val="00F551D6"/>
    <w:rsid w:val="00FE2F0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89E"/>
  <w15:chartTrackingRefBased/>
  <w15:docId w15:val="{D0EC11E3-4CA8-4BB9-B6D4-12AC4266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44BD"/>
    <w:pPr>
      <w:widowControl w:val="0"/>
      <w:autoSpaceDE w:val="0"/>
      <w:autoSpaceDN w:val="0"/>
      <w:adjustRightInd w:val="0"/>
      <w:spacing w:after="0" w:line="240" w:lineRule="auto"/>
    </w:pPr>
    <w:rPr>
      <w:rFonts w:ascii="Corbel" w:eastAsiaTheme="minorEastAsia" w:hAnsi="Corbel" w:cs="Corbel"/>
      <w:color w:val="000000"/>
      <w:sz w:val="24"/>
      <w:szCs w:val="24"/>
      <w:lang w:eastAsia="en-AU"/>
    </w:rPr>
  </w:style>
  <w:style w:type="table" w:styleId="TableGrid">
    <w:name w:val="Table Grid"/>
    <w:basedOn w:val="TableNormal"/>
    <w:uiPriority w:val="39"/>
    <w:rsid w:val="00C54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001"/>
    <w:pPr>
      <w:ind w:left="720"/>
      <w:contextualSpacing/>
    </w:pPr>
  </w:style>
  <w:style w:type="paragraph" w:styleId="Header">
    <w:name w:val="header"/>
    <w:basedOn w:val="Normal"/>
    <w:link w:val="HeaderChar"/>
    <w:uiPriority w:val="99"/>
    <w:unhideWhenUsed/>
    <w:rsid w:val="006E4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3E5"/>
  </w:style>
  <w:style w:type="paragraph" w:styleId="Footer">
    <w:name w:val="footer"/>
    <w:basedOn w:val="Normal"/>
    <w:link w:val="FooterChar"/>
    <w:uiPriority w:val="99"/>
    <w:unhideWhenUsed/>
    <w:rsid w:val="006E4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3E5"/>
  </w:style>
  <w:style w:type="paragraph" w:styleId="BalloonText">
    <w:name w:val="Balloon Text"/>
    <w:basedOn w:val="Normal"/>
    <w:link w:val="BalloonTextChar"/>
    <w:uiPriority w:val="99"/>
    <w:semiHidden/>
    <w:unhideWhenUsed/>
    <w:rsid w:val="007A793E"/>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A793E"/>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D8284-1C44-4DCA-88A3-598410DF3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Gooneratne</dc:creator>
  <cp:keywords/>
  <dc:description/>
  <cp:lastModifiedBy>Felix Gooneratne</cp:lastModifiedBy>
  <cp:revision>2</cp:revision>
  <dcterms:created xsi:type="dcterms:W3CDTF">2020-09-15T06:55:00Z</dcterms:created>
  <dcterms:modified xsi:type="dcterms:W3CDTF">2020-09-15T06:55:00Z</dcterms:modified>
</cp:coreProperties>
</file>