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D2060" w14:textId="77777777" w:rsidR="00455FC0" w:rsidRDefault="00455FC0" w:rsidP="00455FC0"/>
    <w:tbl>
      <w:tblPr>
        <w:tblStyle w:val="TableGrid2"/>
        <w:tblpPr w:leftFromText="180" w:rightFromText="180" w:vertAnchor="page" w:horzAnchor="margin" w:tblpX="-360" w:tblpY="6233"/>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6030"/>
      </w:tblGrid>
      <w:tr w:rsidR="00455FC0" w:rsidRPr="00DD02E3" w14:paraId="70788F7A" w14:textId="77777777" w:rsidTr="00035D76">
        <w:trPr>
          <w:trHeight w:val="432"/>
        </w:trPr>
        <w:tc>
          <w:tcPr>
            <w:tcW w:w="3150" w:type="dxa"/>
            <w:shd w:val="clear" w:color="auto" w:fill="auto"/>
          </w:tcPr>
          <w:p w14:paraId="1237CC3F" w14:textId="77777777" w:rsidR="00455FC0" w:rsidRPr="00C112CE" w:rsidRDefault="00455FC0" w:rsidP="00035D76">
            <w:pPr>
              <w:spacing w:after="120"/>
              <w:ind w:left="347" w:right="-17"/>
              <w:rPr>
                <w:rFonts w:ascii="Arial" w:eastAsia="Times New Roman" w:hAnsi="Arial" w:cs="Arial"/>
                <w:b/>
                <w:bCs/>
                <w:color w:val="24634F"/>
                <w:sz w:val="18"/>
                <w:szCs w:val="18"/>
                <w:lang w:val="en-GB" w:eastAsia="en-GB"/>
              </w:rPr>
            </w:pPr>
            <w:r w:rsidRPr="00C112CE">
              <w:rPr>
                <w:rFonts w:ascii="Arial" w:eastAsia="Times New Roman" w:hAnsi="Arial" w:cs="Arial"/>
                <w:b/>
                <w:bCs/>
                <w:color w:val="24634F"/>
                <w:sz w:val="18"/>
                <w:szCs w:val="18"/>
                <w:lang w:val="en-GB" w:eastAsia="en-GB"/>
              </w:rPr>
              <w:t>Programme title:</w:t>
            </w:r>
          </w:p>
        </w:tc>
        <w:tc>
          <w:tcPr>
            <w:tcW w:w="6030" w:type="dxa"/>
            <w:shd w:val="clear" w:color="auto" w:fill="auto"/>
            <w:vAlign w:val="center"/>
          </w:tcPr>
          <w:p w14:paraId="01A34AC8" w14:textId="4DBF5077" w:rsidR="00455FC0" w:rsidRPr="00C112CE" w:rsidRDefault="005B0EEA" w:rsidP="00035D76">
            <w:pPr>
              <w:spacing w:after="120"/>
              <w:ind w:right="-29"/>
              <w:rPr>
                <w:rFonts w:ascii="Arial" w:eastAsia="Times New Roman" w:hAnsi="Arial" w:cs="Arial"/>
                <w:bCs/>
                <w:color w:val="808080" w:themeColor="background1" w:themeShade="80"/>
                <w:sz w:val="18"/>
                <w:szCs w:val="18"/>
                <w:lang w:val="en-GB" w:eastAsia="en-GB"/>
              </w:rPr>
            </w:pPr>
            <w:r w:rsidRPr="000F09E9">
              <w:rPr>
                <w:rFonts w:ascii="Arial" w:eastAsia="Times New Roman" w:hAnsi="Arial" w:cs="Arial"/>
                <w:bCs/>
                <w:sz w:val="18"/>
                <w:szCs w:val="18"/>
                <w:lang w:val="en-GB" w:eastAsia="en-GB"/>
              </w:rPr>
              <w:t xml:space="preserve">National framework for leapfrogging to Energy Efficient Appliances and Equipment in </w:t>
            </w:r>
            <w:r w:rsidR="00647907">
              <w:rPr>
                <w:rFonts w:ascii="Arial" w:eastAsia="Times New Roman" w:hAnsi="Arial" w:cs="Arial"/>
                <w:bCs/>
                <w:sz w:val="18"/>
                <w:szCs w:val="18"/>
                <w:lang w:val="en-GB" w:eastAsia="en-GB"/>
              </w:rPr>
              <w:t>Mozambique</w:t>
            </w:r>
            <w:r w:rsidRPr="000F09E9">
              <w:rPr>
                <w:rFonts w:ascii="Arial" w:eastAsia="Times New Roman" w:hAnsi="Arial" w:cs="Arial"/>
                <w:bCs/>
                <w:sz w:val="18"/>
                <w:szCs w:val="18"/>
                <w:lang w:val="en-GB" w:eastAsia="en-GB"/>
              </w:rPr>
              <w:t xml:space="preserve"> (Refrigerators and Distribution Transformers) through regulatory and financing mechanism</w:t>
            </w:r>
          </w:p>
        </w:tc>
      </w:tr>
      <w:tr w:rsidR="00455FC0" w:rsidRPr="00DD02E3" w14:paraId="32B0E200" w14:textId="77777777" w:rsidTr="00035D76">
        <w:trPr>
          <w:trHeight w:val="432"/>
        </w:trPr>
        <w:tc>
          <w:tcPr>
            <w:tcW w:w="3150" w:type="dxa"/>
            <w:shd w:val="clear" w:color="auto" w:fill="auto"/>
            <w:vAlign w:val="center"/>
          </w:tcPr>
          <w:p w14:paraId="5C253DB2" w14:textId="77777777" w:rsidR="00455FC0" w:rsidRPr="00C112CE" w:rsidRDefault="00455FC0" w:rsidP="00035D76">
            <w:pPr>
              <w:spacing w:after="120"/>
              <w:ind w:left="347" w:right="-17"/>
              <w:rPr>
                <w:rFonts w:ascii="Arial" w:eastAsia="Times New Roman" w:hAnsi="Arial" w:cs="Arial"/>
                <w:b/>
                <w:bCs/>
                <w:color w:val="24634F"/>
                <w:sz w:val="18"/>
                <w:szCs w:val="18"/>
                <w:lang w:val="en-GB" w:eastAsia="en-GB"/>
              </w:rPr>
            </w:pPr>
            <w:r w:rsidRPr="00C112CE">
              <w:rPr>
                <w:rFonts w:ascii="Arial" w:eastAsia="Times New Roman" w:hAnsi="Arial" w:cs="Arial"/>
                <w:b/>
                <w:bCs/>
                <w:color w:val="24634F"/>
                <w:sz w:val="18"/>
                <w:szCs w:val="18"/>
                <w:lang w:val="en-GB" w:eastAsia="en-GB"/>
              </w:rPr>
              <w:t>Country:</w:t>
            </w:r>
          </w:p>
        </w:tc>
        <w:tc>
          <w:tcPr>
            <w:tcW w:w="6030" w:type="dxa"/>
            <w:shd w:val="clear" w:color="auto" w:fill="auto"/>
            <w:vAlign w:val="center"/>
          </w:tcPr>
          <w:p w14:paraId="1BBCBD24" w14:textId="6DC3536E" w:rsidR="00455FC0" w:rsidRPr="00C112CE" w:rsidRDefault="00647907" w:rsidP="00035D76">
            <w:pPr>
              <w:spacing w:after="120"/>
              <w:ind w:right="-29"/>
              <w:rPr>
                <w:rFonts w:ascii="Arial" w:hAnsi="Arial" w:cs="Arial"/>
                <w:sz w:val="18"/>
                <w:szCs w:val="18"/>
              </w:rPr>
            </w:pPr>
            <w:r>
              <w:rPr>
                <w:rFonts w:ascii="Arial" w:eastAsia="Times New Roman" w:hAnsi="Arial" w:cs="Arial"/>
                <w:bCs/>
                <w:sz w:val="18"/>
                <w:szCs w:val="18"/>
                <w:lang w:val="en-GB" w:eastAsia="en-GB"/>
              </w:rPr>
              <w:t>Mozambique</w:t>
            </w:r>
          </w:p>
        </w:tc>
      </w:tr>
      <w:tr w:rsidR="00455FC0" w:rsidRPr="00DD02E3" w14:paraId="2EF59B2C" w14:textId="77777777" w:rsidTr="00035D76">
        <w:trPr>
          <w:trHeight w:val="432"/>
        </w:trPr>
        <w:tc>
          <w:tcPr>
            <w:tcW w:w="3150" w:type="dxa"/>
            <w:shd w:val="clear" w:color="auto" w:fill="auto"/>
            <w:vAlign w:val="center"/>
          </w:tcPr>
          <w:p w14:paraId="46DADE42" w14:textId="77777777" w:rsidR="00455FC0" w:rsidRPr="00C112CE" w:rsidRDefault="00455FC0" w:rsidP="00035D76">
            <w:pPr>
              <w:spacing w:after="120"/>
              <w:ind w:left="347" w:right="-17"/>
              <w:rPr>
                <w:rFonts w:ascii="Arial" w:eastAsia="Times New Roman" w:hAnsi="Arial" w:cs="Arial"/>
                <w:b/>
                <w:bCs/>
                <w:color w:val="24634F"/>
                <w:sz w:val="18"/>
                <w:szCs w:val="18"/>
                <w:lang w:val="en-GB" w:eastAsia="en-GB"/>
              </w:rPr>
            </w:pPr>
            <w:r w:rsidRPr="00C112CE">
              <w:rPr>
                <w:rFonts w:ascii="Arial" w:eastAsia="Times New Roman" w:hAnsi="Arial" w:cs="Arial"/>
                <w:b/>
                <w:bCs/>
                <w:color w:val="24634F"/>
                <w:sz w:val="18"/>
                <w:szCs w:val="18"/>
                <w:lang w:val="en-GB" w:eastAsia="en-GB"/>
              </w:rPr>
              <w:t xml:space="preserve">National </w:t>
            </w:r>
            <w:r>
              <w:rPr>
                <w:rFonts w:ascii="Arial" w:eastAsia="Times New Roman" w:hAnsi="Arial" w:cs="Arial"/>
                <w:b/>
                <w:bCs/>
                <w:color w:val="24634F"/>
                <w:sz w:val="18"/>
                <w:szCs w:val="18"/>
                <w:lang w:val="en-GB" w:eastAsia="en-GB"/>
              </w:rPr>
              <w:t>d</w:t>
            </w:r>
            <w:r w:rsidRPr="00C112CE">
              <w:rPr>
                <w:rFonts w:ascii="Arial" w:eastAsia="Times New Roman" w:hAnsi="Arial" w:cs="Arial"/>
                <w:b/>
                <w:bCs/>
                <w:color w:val="24634F"/>
                <w:sz w:val="18"/>
                <w:szCs w:val="18"/>
                <w:lang w:val="en-GB" w:eastAsia="en-GB"/>
              </w:rPr>
              <w:t xml:space="preserve">esignated </w:t>
            </w:r>
            <w:r>
              <w:rPr>
                <w:rFonts w:ascii="Arial" w:eastAsia="Times New Roman" w:hAnsi="Arial" w:cs="Arial"/>
                <w:b/>
                <w:bCs/>
                <w:color w:val="24634F"/>
                <w:sz w:val="18"/>
                <w:szCs w:val="18"/>
                <w:lang w:val="en-GB" w:eastAsia="en-GB"/>
              </w:rPr>
              <w:t>a</w:t>
            </w:r>
            <w:r w:rsidRPr="00C112CE">
              <w:rPr>
                <w:rFonts w:ascii="Arial" w:eastAsia="Times New Roman" w:hAnsi="Arial" w:cs="Arial"/>
                <w:b/>
                <w:bCs/>
                <w:color w:val="24634F"/>
                <w:sz w:val="18"/>
                <w:szCs w:val="18"/>
                <w:lang w:val="en-GB" w:eastAsia="en-GB"/>
              </w:rPr>
              <w:t>uthority:</w:t>
            </w:r>
          </w:p>
        </w:tc>
        <w:tc>
          <w:tcPr>
            <w:tcW w:w="6030" w:type="dxa"/>
            <w:shd w:val="clear" w:color="auto" w:fill="auto"/>
            <w:vAlign w:val="center"/>
          </w:tcPr>
          <w:p w14:paraId="558D7606" w14:textId="1D95FF0A" w:rsidR="00455FC0" w:rsidRPr="00F653F3" w:rsidRDefault="00F653F3" w:rsidP="00035D76">
            <w:pPr>
              <w:spacing w:after="120"/>
              <w:ind w:right="-29"/>
              <w:rPr>
                <w:rFonts w:ascii="Arial" w:hAnsi="Arial" w:cs="Arial"/>
                <w:sz w:val="18"/>
                <w:szCs w:val="18"/>
              </w:rPr>
            </w:pPr>
            <w:r w:rsidRPr="00F653F3">
              <w:rPr>
                <w:rFonts w:ascii="Arial" w:hAnsi="Arial" w:cs="Arial"/>
                <w:caps/>
                <w:color w:val="404040"/>
                <w:sz w:val="18"/>
                <w:szCs w:val="18"/>
                <w:shd w:val="clear" w:color="auto" w:fill="F8F8F8"/>
              </w:rPr>
              <w:t>MINISTRY OF ECONOMY AND FINANCE – NATIONAL DIRECTORATE FOR MONITORING AND EVALUATION</w:t>
            </w:r>
          </w:p>
        </w:tc>
      </w:tr>
      <w:tr w:rsidR="00455FC0" w:rsidRPr="00DD02E3" w14:paraId="213851FF" w14:textId="77777777" w:rsidTr="00035D76">
        <w:trPr>
          <w:trHeight w:val="432"/>
        </w:trPr>
        <w:tc>
          <w:tcPr>
            <w:tcW w:w="3150" w:type="dxa"/>
            <w:shd w:val="clear" w:color="auto" w:fill="auto"/>
            <w:vAlign w:val="center"/>
          </w:tcPr>
          <w:p w14:paraId="1F4EBC68" w14:textId="77777777" w:rsidR="00455FC0" w:rsidRPr="00C112CE" w:rsidRDefault="00455FC0" w:rsidP="00035D76">
            <w:pPr>
              <w:spacing w:after="120"/>
              <w:ind w:left="347" w:right="-17"/>
              <w:rPr>
                <w:rFonts w:ascii="Arial" w:eastAsia="Times New Roman" w:hAnsi="Arial" w:cs="Arial"/>
                <w:b/>
                <w:bCs/>
                <w:color w:val="24634F"/>
                <w:sz w:val="18"/>
                <w:szCs w:val="18"/>
                <w:lang w:val="en-GB" w:eastAsia="en-GB"/>
              </w:rPr>
            </w:pPr>
            <w:r w:rsidRPr="00C112CE">
              <w:rPr>
                <w:rFonts w:ascii="Arial" w:eastAsia="Times New Roman" w:hAnsi="Arial" w:cs="Arial"/>
                <w:b/>
                <w:bCs/>
                <w:color w:val="24634F"/>
                <w:sz w:val="18"/>
                <w:szCs w:val="18"/>
                <w:lang w:val="en-GB" w:eastAsia="en-GB"/>
              </w:rPr>
              <w:t>Implementing Institution:</w:t>
            </w:r>
          </w:p>
        </w:tc>
        <w:tc>
          <w:tcPr>
            <w:tcW w:w="6030" w:type="dxa"/>
            <w:shd w:val="clear" w:color="auto" w:fill="auto"/>
            <w:vAlign w:val="center"/>
          </w:tcPr>
          <w:p w14:paraId="2A9E97F5" w14:textId="178CA286" w:rsidR="00455FC0" w:rsidRPr="00C112CE" w:rsidRDefault="004D3F21" w:rsidP="00035D76">
            <w:pPr>
              <w:spacing w:after="120"/>
              <w:ind w:right="-29"/>
              <w:rPr>
                <w:rFonts w:ascii="Arial" w:hAnsi="Arial" w:cs="Arial"/>
                <w:sz w:val="18"/>
                <w:szCs w:val="18"/>
              </w:rPr>
            </w:pPr>
            <w:r w:rsidRPr="008C3B2C">
              <w:rPr>
                <w:rFonts w:ascii="Arial" w:hAnsi="Arial" w:cs="Arial"/>
                <w:sz w:val="18"/>
                <w:szCs w:val="18"/>
              </w:rPr>
              <w:t xml:space="preserve"> UN</w:t>
            </w:r>
            <w:r w:rsidR="005B0EEA">
              <w:rPr>
                <w:rFonts w:ascii="Arial" w:hAnsi="Arial" w:cs="Arial"/>
                <w:sz w:val="18"/>
                <w:szCs w:val="18"/>
              </w:rPr>
              <w:t>EP</w:t>
            </w:r>
            <w:r w:rsidRPr="008C3B2C">
              <w:rPr>
                <w:rFonts w:ascii="Arial" w:hAnsi="Arial" w:cs="Arial"/>
                <w:sz w:val="18"/>
                <w:szCs w:val="18"/>
              </w:rPr>
              <w:t xml:space="preserve"> – The Climate Technology Centre and Network (CTCN)</w:t>
            </w:r>
          </w:p>
        </w:tc>
      </w:tr>
      <w:tr w:rsidR="00455FC0" w:rsidRPr="00DD02E3" w14:paraId="21B800DE" w14:textId="77777777" w:rsidTr="00035D76">
        <w:trPr>
          <w:trHeight w:val="432"/>
        </w:trPr>
        <w:tc>
          <w:tcPr>
            <w:tcW w:w="3150" w:type="dxa"/>
            <w:shd w:val="clear" w:color="auto" w:fill="auto"/>
            <w:vAlign w:val="center"/>
          </w:tcPr>
          <w:p w14:paraId="08AE5BC3" w14:textId="77777777" w:rsidR="00455FC0" w:rsidRPr="00C112CE" w:rsidRDefault="00455FC0" w:rsidP="00035D76">
            <w:pPr>
              <w:spacing w:after="120"/>
              <w:ind w:left="347" w:right="-17"/>
              <w:rPr>
                <w:rFonts w:ascii="Arial" w:eastAsia="Times New Roman" w:hAnsi="Arial" w:cs="Arial"/>
                <w:b/>
                <w:bCs/>
                <w:color w:val="24634F"/>
                <w:sz w:val="18"/>
                <w:szCs w:val="18"/>
                <w:lang w:val="en-GB" w:eastAsia="en-GB"/>
              </w:rPr>
            </w:pPr>
            <w:r w:rsidRPr="00C112CE">
              <w:rPr>
                <w:rFonts w:ascii="Arial" w:eastAsia="Times New Roman" w:hAnsi="Arial" w:cs="Arial"/>
                <w:b/>
                <w:bCs/>
                <w:color w:val="24634F"/>
                <w:sz w:val="18"/>
                <w:szCs w:val="18"/>
                <w:lang w:val="en-GB" w:eastAsia="en-GB"/>
              </w:rPr>
              <w:t>Date of first submission:</w:t>
            </w:r>
          </w:p>
        </w:tc>
        <w:tc>
          <w:tcPr>
            <w:tcW w:w="6030" w:type="dxa"/>
            <w:shd w:val="clear" w:color="auto" w:fill="auto"/>
            <w:vAlign w:val="center"/>
          </w:tcPr>
          <w:bookmarkStart w:id="0" w:name="OLE_LINK1" w:displacedByCustomXml="next"/>
          <w:sdt>
            <w:sdtPr>
              <w:rPr>
                <w:rFonts w:ascii="Arial" w:eastAsia="Times New Roman" w:hAnsi="Arial" w:cs="Arial"/>
                <w:bCs/>
                <w:color w:val="808080" w:themeColor="background1" w:themeShade="80"/>
                <w:sz w:val="18"/>
                <w:szCs w:val="18"/>
                <w:lang w:val="en-GB" w:eastAsia="en-GB"/>
              </w:rPr>
              <w:id w:val="-915165005"/>
              <w:placeholder>
                <w:docPart w:val="6E9862BC8FCE4C8AA3E18571DA6A8A92"/>
              </w:placeholder>
              <w:date w:fullDate="2019-08-31T00:00:00Z">
                <w:dateFormat w:val="d MMMM yyyy"/>
                <w:lid w:val="en-US"/>
                <w:storeMappedDataAs w:val="dateTime"/>
                <w:calendar w:val="gregorian"/>
              </w:date>
            </w:sdtPr>
            <w:sdtContent>
              <w:p w14:paraId="2402FD31" w14:textId="06232281" w:rsidR="00455FC0" w:rsidRPr="00C112CE" w:rsidRDefault="005B0EEA" w:rsidP="00035D76">
                <w:pPr>
                  <w:spacing w:after="120"/>
                  <w:ind w:right="-29"/>
                  <w:rPr>
                    <w:rFonts w:ascii="Arial" w:eastAsia="Times New Roman" w:hAnsi="Arial" w:cs="Arial"/>
                    <w:bCs/>
                    <w:color w:val="808080" w:themeColor="background1" w:themeShade="80"/>
                    <w:sz w:val="18"/>
                    <w:szCs w:val="18"/>
                    <w:lang w:val="en-GB" w:eastAsia="en-GB"/>
                  </w:rPr>
                </w:pPr>
                <w:r>
                  <w:rPr>
                    <w:rFonts w:ascii="Arial" w:eastAsia="Times New Roman" w:hAnsi="Arial" w:cs="Arial"/>
                    <w:bCs/>
                    <w:color w:val="808080" w:themeColor="background1" w:themeShade="80"/>
                    <w:sz w:val="18"/>
                    <w:szCs w:val="18"/>
                    <w:lang w:eastAsia="en-GB"/>
                  </w:rPr>
                  <w:t>31 August 2019</w:t>
                </w:r>
              </w:p>
            </w:sdtContent>
          </w:sdt>
          <w:bookmarkEnd w:id="0" w:displacedByCustomXml="prev"/>
        </w:tc>
      </w:tr>
      <w:tr w:rsidR="00455FC0" w:rsidRPr="00DD02E3" w14:paraId="0A361B0E" w14:textId="77777777" w:rsidTr="00035D76">
        <w:trPr>
          <w:trHeight w:val="432"/>
        </w:trPr>
        <w:tc>
          <w:tcPr>
            <w:tcW w:w="3150" w:type="dxa"/>
            <w:shd w:val="clear" w:color="auto" w:fill="auto"/>
            <w:vAlign w:val="center"/>
          </w:tcPr>
          <w:p w14:paraId="2B0603BD" w14:textId="77777777" w:rsidR="00455FC0" w:rsidRPr="00C112CE" w:rsidRDefault="00455FC0" w:rsidP="00035D76">
            <w:pPr>
              <w:spacing w:after="120"/>
              <w:ind w:left="347" w:right="-17"/>
              <w:rPr>
                <w:rFonts w:ascii="Arial" w:eastAsia="Times New Roman" w:hAnsi="Arial" w:cs="Arial"/>
                <w:b/>
                <w:bCs/>
                <w:color w:val="24634F"/>
                <w:sz w:val="18"/>
                <w:szCs w:val="18"/>
                <w:lang w:val="en-GB" w:eastAsia="en-GB"/>
              </w:rPr>
            </w:pPr>
            <w:r w:rsidRPr="00C112CE">
              <w:rPr>
                <w:rFonts w:ascii="Arial" w:eastAsia="Times New Roman" w:hAnsi="Arial" w:cs="Arial"/>
                <w:b/>
                <w:bCs/>
                <w:color w:val="24634F"/>
                <w:sz w:val="18"/>
                <w:szCs w:val="18"/>
                <w:lang w:val="en-GB" w:eastAsia="en-GB"/>
              </w:rPr>
              <w:t>Date of current submission / version number</w:t>
            </w:r>
          </w:p>
        </w:tc>
        <w:bookmarkStart w:id="1" w:name="OLE_LINK2"/>
        <w:tc>
          <w:tcPr>
            <w:tcW w:w="6030" w:type="dxa"/>
            <w:shd w:val="clear" w:color="auto" w:fill="auto"/>
          </w:tcPr>
          <w:p w14:paraId="20CA4141" w14:textId="122C87D6" w:rsidR="00455FC0" w:rsidRPr="00E826E0" w:rsidRDefault="009908EA" w:rsidP="00035D76">
            <w:pPr>
              <w:spacing w:line="276" w:lineRule="auto"/>
              <w:ind w:right="-29"/>
              <w:rPr>
                <w:rFonts w:ascii="Arial" w:hAnsi="Arial" w:cs="Arial"/>
                <w:sz w:val="18"/>
                <w:szCs w:val="18"/>
              </w:rPr>
            </w:pPr>
            <w:sdt>
              <w:sdtPr>
                <w:rPr>
                  <w:rFonts w:ascii="Arial" w:eastAsia="Times New Roman" w:hAnsi="Arial" w:cs="Arial"/>
                  <w:bCs/>
                  <w:color w:val="808080" w:themeColor="background1" w:themeShade="80"/>
                  <w:sz w:val="18"/>
                  <w:szCs w:val="18"/>
                  <w:lang w:val="en-GB" w:eastAsia="en-GB"/>
                </w:rPr>
                <w:id w:val="62451613"/>
                <w:placeholder>
                  <w:docPart w:val="78B50EA34E3742F08F1D380675541E57"/>
                </w:placeholder>
                <w:date>
                  <w:dateFormat w:val="d MMMM yyyy"/>
                  <w:lid w:val="en-US"/>
                  <w:storeMappedDataAs w:val="dateTime"/>
                  <w:calendar w:val="gregorian"/>
                </w:date>
              </w:sdtPr>
              <w:sdtContent>
                <w:r w:rsidR="00455FC0" w:rsidRPr="00C112CE">
                  <w:rPr>
                    <w:rFonts w:ascii="Arial" w:eastAsia="Times New Roman" w:hAnsi="Arial" w:cs="Arial"/>
                    <w:bCs/>
                    <w:color w:val="808080" w:themeColor="background1" w:themeShade="80"/>
                    <w:sz w:val="18"/>
                    <w:szCs w:val="18"/>
                    <w:lang w:val="en-GB" w:eastAsia="en-GB"/>
                  </w:rPr>
                  <w:t xml:space="preserve">Click or tap to enter a date. </w:t>
                </w:r>
              </w:sdtContent>
            </w:sdt>
            <w:bookmarkEnd w:id="1"/>
            <w:r w:rsidR="00455FC0" w:rsidRPr="00C112CE">
              <w:rPr>
                <w:rFonts w:ascii="Arial" w:eastAsia="Times New Roman" w:hAnsi="Arial" w:cs="Arial"/>
                <w:bCs/>
                <w:color w:val="808080" w:themeColor="background1" w:themeShade="80"/>
                <w:sz w:val="18"/>
                <w:szCs w:val="18"/>
                <w:lang w:val="en-GB" w:eastAsia="en-GB"/>
              </w:rPr>
              <w:t xml:space="preserve">  V.</w:t>
            </w:r>
            <w:r w:rsidR="004D3F21">
              <w:rPr>
                <w:rFonts w:ascii="Arial" w:hAnsi="Arial" w:cs="Arial"/>
                <w:sz w:val="18"/>
                <w:szCs w:val="18"/>
              </w:rPr>
              <w:t>1</w:t>
            </w:r>
          </w:p>
        </w:tc>
      </w:tr>
    </w:tbl>
    <w:p w14:paraId="176FBC93" w14:textId="77777777" w:rsidR="00455FC0" w:rsidRDefault="00455FC0" w:rsidP="00455FC0">
      <w:r>
        <w:br w:type="page"/>
      </w:r>
    </w:p>
    <w:p w14:paraId="34A201A2" w14:textId="77777777" w:rsidR="00455FC0" w:rsidRDefault="00455FC0" w:rsidP="00455FC0">
      <w:pPr>
        <w:rPr>
          <w:rFonts w:ascii="Arial" w:hAnsi="Arial" w:cs="Arial"/>
          <w:b/>
          <w:bCs/>
          <w:color w:val="24634F"/>
          <w:sz w:val="18"/>
          <w:szCs w:val="18"/>
        </w:rPr>
      </w:pPr>
    </w:p>
    <w:p w14:paraId="46258076" w14:textId="77777777" w:rsidR="00455FC0" w:rsidRDefault="00455FC0" w:rsidP="00455FC0">
      <w:pPr>
        <w:rPr>
          <w:rFonts w:ascii="Arial" w:hAnsi="Arial" w:cs="Arial"/>
          <w:b/>
          <w:bCs/>
          <w:color w:val="24634F"/>
          <w:sz w:val="18"/>
          <w:szCs w:val="18"/>
        </w:rPr>
      </w:pPr>
    </w:p>
    <w:p w14:paraId="27BE1C30" w14:textId="77777777" w:rsidR="00455FC0" w:rsidRDefault="00455FC0" w:rsidP="00455FC0">
      <w:pPr>
        <w:rPr>
          <w:rFonts w:ascii="Arial" w:hAnsi="Arial" w:cs="Arial"/>
          <w:b/>
          <w:bCs/>
          <w:color w:val="24634F"/>
          <w:sz w:val="18"/>
          <w:szCs w:val="18"/>
        </w:rPr>
      </w:pPr>
    </w:p>
    <w:p w14:paraId="434C37CD" w14:textId="77777777" w:rsidR="00455FC0" w:rsidRDefault="00455FC0" w:rsidP="00455FC0">
      <w:pPr>
        <w:rPr>
          <w:rFonts w:ascii="Arial" w:hAnsi="Arial" w:cs="Arial"/>
          <w:b/>
          <w:bCs/>
          <w:color w:val="24634F"/>
          <w:sz w:val="18"/>
          <w:szCs w:val="18"/>
        </w:rPr>
      </w:pPr>
    </w:p>
    <w:p w14:paraId="5E058F8F" w14:textId="77777777" w:rsidR="00455FC0" w:rsidRDefault="00455FC0" w:rsidP="00455FC0">
      <w:pPr>
        <w:rPr>
          <w:rFonts w:ascii="Arial" w:hAnsi="Arial" w:cs="Arial"/>
          <w:b/>
          <w:bCs/>
          <w:color w:val="24634F"/>
          <w:sz w:val="18"/>
          <w:szCs w:val="18"/>
        </w:rPr>
      </w:pPr>
    </w:p>
    <w:p w14:paraId="166143DC" w14:textId="77777777" w:rsidR="00455FC0" w:rsidRPr="00C41F9D" w:rsidRDefault="00455FC0" w:rsidP="00455FC0">
      <w:pPr>
        <w:rPr>
          <w:rFonts w:ascii="Arial" w:hAnsi="Arial" w:cs="Arial"/>
          <w:b/>
          <w:bCs/>
          <w:color w:val="24634F"/>
          <w:sz w:val="18"/>
          <w:szCs w:val="18"/>
        </w:rPr>
      </w:pPr>
      <w:r w:rsidRPr="00C41F9D">
        <w:rPr>
          <w:rFonts w:ascii="Arial" w:hAnsi="Arial" w:cs="Arial"/>
          <w:b/>
          <w:bCs/>
          <w:color w:val="24634F"/>
          <w:sz w:val="18"/>
          <w:szCs w:val="18"/>
        </w:rPr>
        <w:t>How to complete this document?</w:t>
      </w:r>
    </w:p>
    <w:p w14:paraId="2C74F968" w14:textId="77777777" w:rsidR="00455FC0" w:rsidRPr="00807AA9" w:rsidRDefault="00455FC0" w:rsidP="00455FC0">
      <w:pPr>
        <w:numPr>
          <w:ilvl w:val="0"/>
          <w:numId w:val="1"/>
        </w:numPr>
        <w:spacing w:after="0"/>
        <w:rPr>
          <w:rFonts w:ascii="Arial" w:eastAsia="Times New Roman" w:hAnsi="Arial" w:cs="Arial"/>
          <w:color w:val="000000"/>
          <w:sz w:val="18"/>
          <w:szCs w:val="18"/>
        </w:rPr>
      </w:pPr>
      <w:r w:rsidRPr="00807AA9">
        <w:rPr>
          <w:rFonts w:ascii="Arial" w:eastAsia="Times New Roman" w:hAnsi="Arial" w:cs="Arial"/>
          <w:color w:val="000000"/>
          <w:sz w:val="18"/>
          <w:szCs w:val="18"/>
        </w:rPr>
        <w:t xml:space="preserve">Please </w:t>
      </w:r>
      <w:r>
        <w:rPr>
          <w:rFonts w:ascii="Arial" w:eastAsia="Times New Roman" w:hAnsi="Arial" w:cs="Arial"/>
          <w:color w:val="000000"/>
          <w:sz w:val="18"/>
          <w:szCs w:val="18"/>
        </w:rPr>
        <w:t>visit</w:t>
      </w:r>
      <w:r w:rsidRPr="00807AA9">
        <w:rPr>
          <w:rFonts w:ascii="Arial" w:eastAsia="Times New Roman" w:hAnsi="Arial" w:cs="Arial"/>
          <w:color w:val="000000"/>
          <w:sz w:val="18"/>
          <w:szCs w:val="18"/>
        </w:rPr>
        <w:t xml:space="preserve"> the </w:t>
      </w:r>
      <w:hyperlink r:id="rId8" w:history="1">
        <w:r w:rsidRPr="00BA6C30">
          <w:rPr>
            <w:rStyle w:val="Hyperlink"/>
            <w:rFonts w:ascii="Arial" w:eastAsia="Times New Roman" w:hAnsi="Arial" w:cs="Arial"/>
            <w:color w:val="376B54"/>
            <w:sz w:val="18"/>
            <w:szCs w:val="18"/>
          </w:rPr>
          <w:t>Empowering</w:t>
        </w:r>
      </w:hyperlink>
      <w:r w:rsidRPr="00BA6C30">
        <w:rPr>
          <w:rStyle w:val="Hyperlink"/>
          <w:rFonts w:ascii="Arial" w:eastAsia="Times New Roman" w:hAnsi="Arial" w:cs="Arial"/>
          <w:color w:val="376B54"/>
          <w:sz w:val="18"/>
          <w:szCs w:val="18"/>
        </w:rPr>
        <w:t xml:space="preserve"> Countries</w:t>
      </w:r>
      <w:r w:rsidRPr="00807AA9">
        <w:rPr>
          <w:rFonts w:ascii="Arial" w:eastAsia="Times New Roman" w:hAnsi="Arial" w:cs="Arial"/>
          <w:color w:val="000000"/>
          <w:sz w:val="18"/>
          <w:szCs w:val="18"/>
        </w:rPr>
        <w:t xml:space="preserve"> </w:t>
      </w:r>
      <w:r>
        <w:rPr>
          <w:rFonts w:ascii="Arial" w:eastAsia="Times New Roman" w:hAnsi="Arial" w:cs="Arial"/>
          <w:color w:val="000000"/>
          <w:sz w:val="18"/>
          <w:szCs w:val="18"/>
        </w:rPr>
        <w:t>page of the GCF website to download the Readiness Guidebook and learn</w:t>
      </w:r>
      <w:r w:rsidRPr="00807AA9">
        <w:rPr>
          <w:rFonts w:ascii="Arial" w:eastAsia="Times New Roman" w:hAnsi="Arial" w:cs="Arial"/>
          <w:color w:val="000000"/>
          <w:sz w:val="18"/>
          <w:szCs w:val="18"/>
        </w:rPr>
        <w:t xml:space="preserve"> how to access funding under the GCF Readiness and Preparatory Support </w:t>
      </w:r>
      <w:r>
        <w:rPr>
          <w:rFonts w:ascii="Arial" w:eastAsia="Times New Roman" w:hAnsi="Arial" w:cs="Arial"/>
          <w:color w:val="000000"/>
          <w:sz w:val="18"/>
          <w:szCs w:val="18"/>
        </w:rPr>
        <w:t>P</w:t>
      </w:r>
      <w:r w:rsidRPr="00807AA9">
        <w:rPr>
          <w:rFonts w:ascii="Arial" w:eastAsia="Times New Roman" w:hAnsi="Arial" w:cs="Arial"/>
          <w:color w:val="000000"/>
          <w:sz w:val="18"/>
          <w:szCs w:val="18"/>
        </w:rPr>
        <w:t>rogramme.</w:t>
      </w:r>
    </w:p>
    <w:p w14:paraId="1E90E43F" w14:textId="77777777" w:rsidR="00455FC0" w:rsidRPr="00807AA9" w:rsidRDefault="00455FC0" w:rsidP="00455FC0">
      <w:pPr>
        <w:numPr>
          <w:ilvl w:val="0"/>
          <w:numId w:val="1"/>
        </w:numPr>
        <w:spacing w:after="0"/>
        <w:rPr>
          <w:rFonts w:ascii="Arial" w:eastAsia="Times New Roman" w:hAnsi="Arial" w:cs="Arial"/>
          <w:color w:val="000000"/>
          <w:sz w:val="18"/>
          <w:szCs w:val="18"/>
        </w:rPr>
      </w:pPr>
      <w:r w:rsidRPr="00807AA9">
        <w:rPr>
          <w:rFonts w:ascii="Arial" w:eastAsia="Times New Roman" w:hAnsi="Arial" w:cs="Arial"/>
          <w:color w:val="000000"/>
          <w:sz w:val="18"/>
          <w:szCs w:val="18"/>
        </w:rPr>
        <w:t xml:space="preserve">This document should be completed by </w:t>
      </w:r>
      <w:r>
        <w:rPr>
          <w:rFonts w:ascii="Arial" w:eastAsia="Times New Roman" w:hAnsi="Arial" w:cs="Arial"/>
          <w:color w:val="000000"/>
          <w:sz w:val="18"/>
          <w:szCs w:val="18"/>
        </w:rPr>
        <w:t>N</w:t>
      </w:r>
      <w:r w:rsidRPr="00807AA9">
        <w:rPr>
          <w:rFonts w:ascii="Arial" w:eastAsia="Times New Roman" w:hAnsi="Arial" w:cs="Arial"/>
          <w:color w:val="000000"/>
          <w:sz w:val="18"/>
          <w:szCs w:val="18"/>
        </w:rPr>
        <w:t xml:space="preserve">ational </w:t>
      </w:r>
      <w:r>
        <w:rPr>
          <w:rFonts w:ascii="Arial" w:eastAsia="Times New Roman" w:hAnsi="Arial" w:cs="Arial"/>
          <w:color w:val="000000"/>
          <w:sz w:val="18"/>
          <w:szCs w:val="18"/>
        </w:rPr>
        <w:t>D</w:t>
      </w:r>
      <w:r w:rsidRPr="00807AA9">
        <w:rPr>
          <w:rFonts w:ascii="Arial" w:eastAsia="Times New Roman" w:hAnsi="Arial" w:cs="Arial"/>
          <w:color w:val="000000"/>
          <w:sz w:val="18"/>
          <w:szCs w:val="18"/>
        </w:rPr>
        <w:t xml:space="preserve">esignated </w:t>
      </w:r>
      <w:r>
        <w:rPr>
          <w:rFonts w:ascii="Arial" w:eastAsia="Times New Roman" w:hAnsi="Arial" w:cs="Arial"/>
          <w:color w:val="000000"/>
          <w:sz w:val="18"/>
          <w:szCs w:val="18"/>
        </w:rPr>
        <w:t>A</w:t>
      </w:r>
      <w:r w:rsidRPr="00807AA9">
        <w:rPr>
          <w:rFonts w:ascii="Arial" w:eastAsia="Times New Roman" w:hAnsi="Arial" w:cs="Arial"/>
          <w:color w:val="000000"/>
          <w:sz w:val="18"/>
          <w:szCs w:val="18"/>
        </w:rPr>
        <w:t xml:space="preserve">uthorities (NDA) or </w:t>
      </w:r>
      <w:r>
        <w:rPr>
          <w:rFonts w:ascii="Arial" w:eastAsia="Times New Roman" w:hAnsi="Arial" w:cs="Arial"/>
          <w:color w:val="000000"/>
          <w:sz w:val="18"/>
          <w:szCs w:val="18"/>
        </w:rPr>
        <w:t>f</w:t>
      </w:r>
      <w:r w:rsidRPr="00807AA9">
        <w:rPr>
          <w:rFonts w:ascii="Arial" w:eastAsia="Times New Roman" w:hAnsi="Arial" w:cs="Arial"/>
          <w:color w:val="000000"/>
          <w:sz w:val="18"/>
          <w:szCs w:val="18"/>
        </w:rPr>
        <w:t xml:space="preserve">ocal </w:t>
      </w:r>
      <w:r>
        <w:rPr>
          <w:rFonts w:ascii="Arial" w:eastAsia="Times New Roman" w:hAnsi="Arial" w:cs="Arial"/>
          <w:color w:val="000000"/>
          <w:sz w:val="18"/>
          <w:szCs w:val="18"/>
        </w:rPr>
        <w:t>p</w:t>
      </w:r>
      <w:r w:rsidRPr="00807AA9">
        <w:rPr>
          <w:rFonts w:ascii="Arial" w:eastAsia="Times New Roman" w:hAnsi="Arial" w:cs="Arial"/>
          <w:color w:val="000000"/>
          <w:sz w:val="18"/>
          <w:szCs w:val="18"/>
        </w:rPr>
        <w:t xml:space="preserve">oints with support from their Delivery Partners where relevant. Once completed, this document should be submitted to the GCF by the NDA or </w:t>
      </w:r>
      <w:r>
        <w:rPr>
          <w:rFonts w:ascii="Arial" w:eastAsia="Times New Roman" w:hAnsi="Arial" w:cs="Arial"/>
          <w:color w:val="000000"/>
          <w:sz w:val="18"/>
          <w:szCs w:val="18"/>
        </w:rPr>
        <w:t>f</w:t>
      </w:r>
      <w:r w:rsidRPr="00807AA9">
        <w:rPr>
          <w:rFonts w:ascii="Arial" w:eastAsia="Times New Roman" w:hAnsi="Arial" w:cs="Arial"/>
          <w:color w:val="000000"/>
          <w:sz w:val="18"/>
          <w:szCs w:val="18"/>
        </w:rPr>
        <w:t xml:space="preserve">ocal </w:t>
      </w:r>
      <w:r>
        <w:rPr>
          <w:rFonts w:ascii="Arial" w:eastAsia="Times New Roman" w:hAnsi="Arial" w:cs="Arial"/>
          <w:color w:val="000000"/>
          <w:sz w:val="18"/>
          <w:szCs w:val="18"/>
        </w:rPr>
        <w:t>p</w:t>
      </w:r>
      <w:r w:rsidRPr="00807AA9">
        <w:rPr>
          <w:rFonts w:ascii="Arial" w:eastAsia="Times New Roman" w:hAnsi="Arial" w:cs="Arial"/>
          <w:color w:val="000000"/>
          <w:sz w:val="18"/>
          <w:szCs w:val="18"/>
        </w:rPr>
        <w:t xml:space="preserve">oint to </w:t>
      </w:r>
      <w:hyperlink r:id="rId9" w:history="1">
        <w:r w:rsidRPr="00FD5989">
          <w:rPr>
            <w:rStyle w:val="Hyperlink"/>
            <w:rFonts w:ascii="Arial" w:eastAsia="Times New Roman" w:hAnsi="Arial" w:cs="Arial"/>
            <w:color w:val="376B54"/>
            <w:sz w:val="18"/>
            <w:szCs w:val="18"/>
          </w:rPr>
          <w:t>countries@gcfund.org</w:t>
        </w:r>
      </w:hyperlink>
      <w:r w:rsidRPr="00807AA9">
        <w:rPr>
          <w:rFonts w:ascii="Arial" w:eastAsia="Times New Roman" w:hAnsi="Arial" w:cs="Arial"/>
          <w:color w:val="000000"/>
          <w:sz w:val="18"/>
          <w:szCs w:val="18"/>
        </w:rPr>
        <w:t xml:space="preserve">. </w:t>
      </w:r>
    </w:p>
    <w:p w14:paraId="37911A15" w14:textId="77777777" w:rsidR="00455FC0" w:rsidRPr="00807AA9" w:rsidRDefault="00455FC0" w:rsidP="00455FC0">
      <w:pPr>
        <w:numPr>
          <w:ilvl w:val="0"/>
          <w:numId w:val="1"/>
        </w:numPr>
        <w:spacing w:after="0"/>
        <w:rPr>
          <w:rFonts w:ascii="Arial" w:eastAsia="Times New Roman" w:hAnsi="Arial" w:cs="Arial"/>
          <w:color w:val="000000"/>
          <w:sz w:val="18"/>
          <w:szCs w:val="18"/>
        </w:rPr>
      </w:pPr>
      <w:r w:rsidRPr="00807AA9">
        <w:rPr>
          <w:rFonts w:ascii="Arial" w:eastAsia="Times New Roman" w:hAnsi="Arial" w:cs="Arial"/>
          <w:color w:val="000000"/>
          <w:sz w:val="18"/>
          <w:szCs w:val="18"/>
        </w:rPr>
        <w:t>Please be concise. If you need to include any additional information, please attach it to the proposal.</w:t>
      </w:r>
    </w:p>
    <w:p w14:paraId="54A25F42" w14:textId="77777777" w:rsidR="00455FC0" w:rsidRPr="00807AA9" w:rsidRDefault="00455FC0" w:rsidP="00455FC0">
      <w:pPr>
        <w:numPr>
          <w:ilvl w:val="0"/>
          <w:numId w:val="1"/>
        </w:numPr>
        <w:spacing w:after="0"/>
        <w:rPr>
          <w:rFonts w:ascii="Arial" w:eastAsia="Times New Roman" w:hAnsi="Arial" w:cs="Arial"/>
          <w:color w:val="000000"/>
          <w:sz w:val="18"/>
          <w:szCs w:val="18"/>
        </w:rPr>
      </w:pPr>
      <w:r w:rsidRPr="00807AA9">
        <w:rPr>
          <w:rFonts w:ascii="Arial" w:eastAsia="Times New Roman" w:hAnsi="Arial" w:cs="Arial"/>
          <w:color w:val="000000"/>
          <w:sz w:val="18"/>
          <w:szCs w:val="18"/>
        </w:rPr>
        <w:t xml:space="preserve">If the Delivery Partner implementing the </w:t>
      </w:r>
      <w:r>
        <w:rPr>
          <w:rFonts w:ascii="Arial" w:eastAsia="Times New Roman" w:hAnsi="Arial" w:cs="Arial"/>
          <w:color w:val="000000"/>
          <w:sz w:val="18"/>
          <w:szCs w:val="18"/>
        </w:rPr>
        <w:t>R</w:t>
      </w:r>
      <w:r w:rsidRPr="00807AA9">
        <w:rPr>
          <w:rFonts w:ascii="Arial" w:eastAsia="Times New Roman" w:hAnsi="Arial" w:cs="Arial"/>
          <w:color w:val="000000"/>
          <w:sz w:val="18"/>
          <w:szCs w:val="18"/>
        </w:rPr>
        <w:t xml:space="preserve">eadiness support is not a GCF Accredited Entity for project Funding Proposals, please complete the </w:t>
      </w:r>
      <w:r w:rsidRPr="00723BAF">
        <w:rPr>
          <w:rFonts w:ascii="Arial" w:eastAsia="Times New Roman" w:hAnsi="Arial" w:cs="Arial"/>
          <w:sz w:val="18"/>
          <w:szCs w:val="18"/>
        </w:rPr>
        <w:t>Financial Management Capacity Assessment (FMCA)</w:t>
      </w:r>
      <w:r w:rsidRPr="00807AA9">
        <w:rPr>
          <w:rFonts w:ascii="Arial" w:eastAsia="Times New Roman" w:hAnsi="Arial" w:cs="Arial"/>
          <w:color w:val="000000"/>
          <w:sz w:val="18"/>
          <w:szCs w:val="18"/>
        </w:rPr>
        <w:t xml:space="preserve"> questionnaire and submit it prior to or with this Readiness proposal.</w:t>
      </w:r>
      <w:r>
        <w:rPr>
          <w:rFonts w:ascii="Arial" w:eastAsia="Times New Roman" w:hAnsi="Arial" w:cs="Arial"/>
          <w:color w:val="000000"/>
          <w:sz w:val="18"/>
          <w:szCs w:val="18"/>
        </w:rPr>
        <w:t xml:space="preserve"> The FMCA is available for download at the</w:t>
      </w:r>
      <w:r w:rsidRPr="00FD5989">
        <w:rPr>
          <w:rFonts w:ascii="Arial" w:eastAsia="Times New Roman" w:hAnsi="Arial" w:cs="Arial"/>
          <w:color w:val="376B54"/>
          <w:sz w:val="18"/>
          <w:szCs w:val="18"/>
        </w:rPr>
        <w:t xml:space="preserve"> </w:t>
      </w:r>
      <w:hyperlink r:id="rId10" w:history="1">
        <w:r w:rsidRPr="00FD5989">
          <w:rPr>
            <w:rStyle w:val="Hyperlink"/>
            <w:rFonts w:ascii="Arial" w:eastAsia="Times New Roman" w:hAnsi="Arial" w:cs="Arial"/>
            <w:color w:val="376B54"/>
            <w:sz w:val="18"/>
            <w:szCs w:val="18"/>
          </w:rPr>
          <w:t>Library</w:t>
        </w:r>
      </w:hyperlink>
      <w:r>
        <w:rPr>
          <w:rFonts w:ascii="Arial" w:eastAsia="Times New Roman" w:hAnsi="Arial" w:cs="Arial"/>
          <w:color w:val="000000"/>
          <w:sz w:val="18"/>
          <w:szCs w:val="18"/>
        </w:rPr>
        <w:t xml:space="preserve"> page of the GCF website.</w:t>
      </w:r>
    </w:p>
    <w:p w14:paraId="742D59B0" w14:textId="77777777" w:rsidR="00455FC0" w:rsidRPr="00C41F9D" w:rsidRDefault="00455FC0" w:rsidP="00455FC0">
      <w:pPr>
        <w:rPr>
          <w:rFonts w:ascii="Arial" w:hAnsi="Arial" w:cs="Arial"/>
          <w:sz w:val="18"/>
          <w:szCs w:val="18"/>
        </w:rPr>
      </w:pPr>
    </w:p>
    <w:p w14:paraId="0AD6B8AA" w14:textId="77777777" w:rsidR="00455FC0" w:rsidRPr="00C41F9D" w:rsidRDefault="00455FC0" w:rsidP="00455FC0">
      <w:pPr>
        <w:rPr>
          <w:rFonts w:ascii="Arial" w:hAnsi="Arial" w:cs="Arial"/>
          <w:b/>
          <w:bCs/>
          <w:color w:val="24634F"/>
          <w:sz w:val="18"/>
          <w:szCs w:val="18"/>
        </w:rPr>
      </w:pPr>
      <w:r w:rsidRPr="00C41F9D">
        <w:rPr>
          <w:rFonts w:ascii="Arial" w:hAnsi="Arial" w:cs="Arial"/>
          <w:b/>
          <w:bCs/>
          <w:color w:val="24634F"/>
          <w:sz w:val="18"/>
          <w:szCs w:val="18"/>
        </w:rPr>
        <w:t>Where to get support?</w:t>
      </w:r>
    </w:p>
    <w:p w14:paraId="6A7711D2" w14:textId="77777777" w:rsidR="00455FC0" w:rsidRPr="002B0C7B" w:rsidRDefault="00455FC0" w:rsidP="00455FC0">
      <w:pPr>
        <w:numPr>
          <w:ilvl w:val="0"/>
          <w:numId w:val="2"/>
        </w:numPr>
        <w:spacing w:after="0"/>
        <w:rPr>
          <w:rFonts w:ascii="Arial" w:eastAsia="Times New Roman" w:hAnsi="Arial" w:cs="Arial"/>
          <w:color w:val="000000"/>
          <w:sz w:val="18"/>
          <w:szCs w:val="18"/>
        </w:rPr>
      </w:pPr>
      <w:r w:rsidRPr="002B0C7B">
        <w:rPr>
          <w:rFonts w:ascii="Arial" w:eastAsia="Times New Roman" w:hAnsi="Arial" w:cs="Arial"/>
          <w:color w:val="000000"/>
          <w:sz w:val="18"/>
          <w:szCs w:val="18"/>
        </w:rPr>
        <w:t xml:space="preserve">If you are not sure how to complete this document, or require support, please send an e-mail to </w:t>
      </w:r>
      <w:hyperlink r:id="rId11" w:history="1">
        <w:r w:rsidRPr="00FD5989">
          <w:rPr>
            <w:rStyle w:val="Hyperlink"/>
            <w:rFonts w:ascii="Arial" w:eastAsia="Times New Roman" w:hAnsi="Arial" w:cs="Arial"/>
            <w:color w:val="376B54"/>
            <w:sz w:val="18"/>
            <w:szCs w:val="18"/>
          </w:rPr>
          <w:t>countries@gcfund.org</w:t>
        </w:r>
      </w:hyperlink>
      <w:r w:rsidRPr="002B0C7B">
        <w:rPr>
          <w:rFonts w:ascii="Arial" w:eastAsia="Times New Roman" w:hAnsi="Arial" w:cs="Arial"/>
          <w:color w:val="000000"/>
          <w:sz w:val="18"/>
          <w:szCs w:val="18"/>
        </w:rPr>
        <w:t xml:space="preserve">. </w:t>
      </w:r>
    </w:p>
    <w:p w14:paraId="74F38ABD" w14:textId="77777777" w:rsidR="00455FC0" w:rsidRPr="002B0C7B" w:rsidRDefault="00455FC0" w:rsidP="00455FC0">
      <w:pPr>
        <w:numPr>
          <w:ilvl w:val="0"/>
          <w:numId w:val="2"/>
        </w:numPr>
        <w:spacing w:after="0"/>
        <w:rPr>
          <w:rFonts w:ascii="Arial" w:eastAsia="Times New Roman" w:hAnsi="Arial" w:cs="Arial"/>
          <w:color w:val="000000"/>
          <w:sz w:val="18"/>
          <w:szCs w:val="18"/>
        </w:rPr>
      </w:pPr>
      <w:r w:rsidRPr="002B0C7B">
        <w:rPr>
          <w:rFonts w:ascii="Arial" w:eastAsia="Times New Roman" w:hAnsi="Arial" w:cs="Arial"/>
          <w:color w:val="000000"/>
          <w:sz w:val="18"/>
          <w:szCs w:val="18"/>
        </w:rPr>
        <w:t xml:space="preserve">You can also complete as much of this document as you can and then send it to </w:t>
      </w:r>
      <w:hyperlink r:id="rId12" w:history="1">
        <w:r w:rsidRPr="00FD5989">
          <w:rPr>
            <w:rStyle w:val="Hyperlink"/>
            <w:rFonts w:ascii="Arial" w:eastAsia="Times New Roman" w:hAnsi="Arial" w:cs="Arial"/>
            <w:color w:val="376B54"/>
            <w:sz w:val="18"/>
            <w:szCs w:val="18"/>
          </w:rPr>
          <w:t>countries@gcfund.org</w:t>
        </w:r>
      </w:hyperlink>
      <w:r w:rsidRPr="002B0C7B">
        <w:rPr>
          <w:rFonts w:ascii="Arial" w:eastAsia="Times New Roman" w:hAnsi="Arial" w:cs="Arial"/>
          <w:color w:val="000000"/>
          <w:sz w:val="18"/>
          <w:szCs w:val="18"/>
        </w:rPr>
        <w:t xml:space="preserve">, copying both the Readiness Delivery Partner and the relevant GCF Country Dialogue Specialist and Regional Advisor. Please refer to the </w:t>
      </w:r>
      <w:hyperlink r:id="rId13" w:history="1">
        <w:r w:rsidRPr="00FD5989">
          <w:rPr>
            <w:rStyle w:val="Hyperlink"/>
            <w:rFonts w:ascii="Arial" w:eastAsia="Times New Roman" w:hAnsi="Arial" w:cs="Arial"/>
            <w:color w:val="376B54"/>
            <w:sz w:val="18"/>
            <w:szCs w:val="18"/>
          </w:rPr>
          <w:t>Country Profiles</w:t>
        </w:r>
      </w:hyperlink>
      <w:r w:rsidRPr="00BA6C30">
        <w:rPr>
          <w:rFonts w:ascii="Arial" w:eastAsia="Times New Roman" w:hAnsi="Arial" w:cs="Arial"/>
          <w:sz w:val="18"/>
          <w:szCs w:val="18"/>
        </w:rPr>
        <w:t xml:space="preserve"> page</w:t>
      </w:r>
      <w:r w:rsidRPr="002B0C7B">
        <w:rPr>
          <w:rFonts w:ascii="Arial" w:eastAsia="Times New Roman" w:hAnsi="Arial" w:cs="Arial"/>
          <w:color w:val="000000"/>
          <w:sz w:val="18"/>
          <w:szCs w:val="18"/>
        </w:rPr>
        <w:t xml:space="preserve"> of the GCF website </w:t>
      </w:r>
      <w:r>
        <w:rPr>
          <w:rFonts w:ascii="Arial" w:eastAsia="Times New Roman" w:hAnsi="Arial" w:cs="Arial"/>
          <w:color w:val="000000"/>
          <w:sz w:val="18"/>
          <w:szCs w:val="18"/>
        </w:rPr>
        <w:t>to identify</w:t>
      </w:r>
      <w:r w:rsidRPr="002B0C7B">
        <w:rPr>
          <w:rFonts w:ascii="Arial" w:eastAsia="Times New Roman" w:hAnsi="Arial" w:cs="Arial"/>
          <w:color w:val="000000"/>
          <w:sz w:val="18"/>
          <w:szCs w:val="18"/>
        </w:rPr>
        <w:t xml:space="preserve"> the relevant GCF Country Dialogue Specialist and Regional Advisor. </w:t>
      </w:r>
    </w:p>
    <w:p w14:paraId="3E1E729D" w14:textId="77777777" w:rsidR="00455FC0" w:rsidRPr="002B0C7B" w:rsidRDefault="00455FC0" w:rsidP="00455FC0">
      <w:pPr>
        <w:numPr>
          <w:ilvl w:val="0"/>
          <w:numId w:val="2"/>
        </w:numPr>
        <w:spacing w:after="0"/>
        <w:rPr>
          <w:rFonts w:ascii="Arial" w:eastAsia="Times New Roman" w:hAnsi="Arial" w:cs="Arial"/>
          <w:color w:val="000000"/>
          <w:sz w:val="18"/>
          <w:szCs w:val="18"/>
        </w:rPr>
      </w:pPr>
      <w:r w:rsidRPr="002B0C7B">
        <w:rPr>
          <w:rFonts w:ascii="Arial" w:eastAsia="Times New Roman" w:hAnsi="Arial" w:cs="Arial"/>
          <w:color w:val="000000"/>
          <w:sz w:val="18"/>
          <w:szCs w:val="18"/>
        </w:rPr>
        <w:t xml:space="preserve">We will get back to you within </w:t>
      </w:r>
      <w:r>
        <w:rPr>
          <w:rFonts w:ascii="Arial" w:eastAsia="Times New Roman" w:hAnsi="Arial" w:cs="Arial"/>
          <w:color w:val="000000"/>
          <w:sz w:val="18"/>
          <w:szCs w:val="18"/>
        </w:rPr>
        <w:t>five (5)</w:t>
      </w:r>
      <w:r w:rsidRPr="002B0C7B">
        <w:rPr>
          <w:rFonts w:ascii="Arial" w:eastAsia="Times New Roman" w:hAnsi="Arial" w:cs="Arial"/>
          <w:color w:val="000000"/>
          <w:sz w:val="18"/>
          <w:szCs w:val="18"/>
        </w:rPr>
        <w:t xml:space="preserve"> working days to acknowledge receipt of your submission and discuss the way forward. </w:t>
      </w:r>
    </w:p>
    <w:p w14:paraId="311FD7EA" w14:textId="77777777" w:rsidR="00455FC0" w:rsidRPr="00C41F9D" w:rsidRDefault="00455FC0" w:rsidP="00455FC0">
      <w:pPr>
        <w:rPr>
          <w:rFonts w:ascii="Arial" w:eastAsia="Times New Roman" w:hAnsi="Arial" w:cs="Arial"/>
          <w:color w:val="000000"/>
          <w:sz w:val="18"/>
          <w:szCs w:val="18"/>
        </w:rPr>
      </w:pPr>
    </w:p>
    <w:p w14:paraId="2DAAEE8C" w14:textId="77777777" w:rsidR="00455FC0" w:rsidRPr="00C41F9D" w:rsidRDefault="00455FC0" w:rsidP="00455FC0">
      <w:pPr>
        <w:rPr>
          <w:rFonts w:ascii="Arial" w:hAnsi="Arial" w:cs="Arial"/>
          <w:sz w:val="18"/>
          <w:szCs w:val="18"/>
        </w:rPr>
      </w:pPr>
      <w:r w:rsidRPr="00C41F9D">
        <w:rPr>
          <w:rFonts w:ascii="Arial" w:hAnsi="Arial" w:cs="Arial"/>
          <w:noProof/>
          <w:sz w:val="18"/>
          <w:szCs w:val="18"/>
        </w:rPr>
        <mc:AlternateContent>
          <mc:Choice Requires="wps">
            <w:drawing>
              <wp:inline distT="0" distB="0" distL="0" distR="0" wp14:anchorId="6BE9B0FE" wp14:editId="7F37FD7A">
                <wp:extent cx="5731510" cy="1077686"/>
                <wp:effectExtent l="0" t="0" r="2540" b="8255"/>
                <wp:docPr id="2" name="Text Box 2"/>
                <wp:cNvGraphicFramePr/>
                <a:graphic xmlns:a="http://schemas.openxmlformats.org/drawingml/2006/main">
                  <a:graphicData uri="http://schemas.microsoft.com/office/word/2010/wordprocessingShape">
                    <wps:wsp>
                      <wps:cNvSpPr txBox="1"/>
                      <wps:spPr>
                        <a:xfrm>
                          <a:off x="0" y="0"/>
                          <a:ext cx="5731510" cy="1077686"/>
                        </a:xfrm>
                        <a:prstGeom prst="rect">
                          <a:avLst/>
                        </a:prstGeom>
                        <a:solidFill>
                          <a:schemeClr val="bg1">
                            <a:lumMod val="95000"/>
                          </a:schemeClr>
                        </a:solidFill>
                        <a:ln w="6350">
                          <a:noFill/>
                        </a:ln>
                      </wps:spPr>
                      <wps:txbx>
                        <w:txbxContent>
                          <w:p w14:paraId="47F747F5" w14:textId="77777777" w:rsidR="009908EA" w:rsidRPr="00C41F9D" w:rsidRDefault="009908EA" w:rsidP="00455FC0">
                            <w:pPr>
                              <w:ind w:left="90" w:right="114"/>
                              <w:rPr>
                                <w:rFonts w:ascii="Arial" w:hAnsi="Arial" w:cs="Arial"/>
                                <w:b/>
                                <w:color w:val="24634F"/>
                                <w:sz w:val="18"/>
                                <w:szCs w:val="18"/>
                              </w:rPr>
                            </w:pPr>
                            <w:r w:rsidRPr="00C41F9D">
                              <w:rPr>
                                <w:rFonts w:ascii="Arial" w:hAnsi="Arial" w:cs="Arial"/>
                                <w:b/>
                                <w:color w:val="24634F"/>
                                <w:sz w:val="18"/>
                                <w:szCs w:val="18"/>
                              </w:rPr>
                              <w:t>Note: Environmental and Social Safeguards and Gender</w:t>
                            </w:r>
                          </w:p>
                          <w:p w14:paraId="74905E03" w14:textId="77777777" w:rsidR="009908EA" w:rsidRPr="00C41F9D" w:rsidRDefault="009908EA" w:rsidP="00455FC0">
                            <w:pPr>
                              <w:spacing w:after="0"/>
                              <w:ind w:left="86" w:right="115"/>
                              <w:rPr>
                                <w:rFonts w:ascii="Arial" w:hAnsi="Arial" w:cs="Arial"/>
                                <w:sz w:val="18"/>
                                <w:szCs w:val="18"/>
                              </w:rPr>
                            </w:pPr>
                            <w:r w:rsidRPr="00925A40">
                              <w:rPr>
                                <w:rFonts w:ascii="Arial" w:hAnsi="Arial" w:cs="Arial"/>
                                <w:sz w:val="18"/>
                                <w:szCs w:val="18"/>
                              </w:rPr>
                              <w:t xml:space="preserve">Throughout this document, when answering questions and providing details, please make sure to pay special attention to environmental, social and gender issues, particularly to the situation of vulnerable populations, including women and men. Please be specific about proposed actions to address these issues. Consult Annex IV of the </w:t>
                            </w:r>
                            <w:r>
                              <w:rPr>
                                <w:rFonts w:ascii="Arial" w:hAnsi="Arial" w:cs="Arial"/>
                                <w:sz w:val="18"/>
                                <w:szCs w:val="18"/>
                              </w:rPr>
                              <w:t>R</w:t>
                            </w:r>
                            <w:r w:rsidRPr="00925A40">
                              <w:rPr>
                                <w:rFonts w:ascii="Arial" w:hAnsi="Arial" w:cs="Arial"/>
                                <w:sz w:val="18"/>
                                <w:szCs w:val="18"/>
                              </w:rPr>
                              <w:t xml:space="preserve">eadiness </w:t>
                            </w:r>
                            <w:r>
                              <w:rPr>
                                <w:rFonts w:ascii="Arial" w:hAnsi="Arial" w:cs="Arial"/>
                                <w:sz w:val="18"/>
                                <w:szCs w:val="18"/>
                              </w:rPr>
                              <w:t>G</w:t>
                            </w:r>
                            <w:r w:rsidRPr="00925A40">
                              <w:rPr>
                                <w:rFonts w:ascii="Arial" w:hAnsi="Arial" w:cs="Arial"/>
                                <w:sz w:val="18"/>
                                <w:szCs w:val="18"/>
                              </w:rPr>
                              <w:t>uidebook for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BE9B0FE" id="_x0000_t202" coordsize="21600,21600" o:spt="202" path="m,l,21600r21600,l21600,xe">
                <v:stroke joinstyle="miter"/>
                <v:path gradientshapeok="t" o:connecttype="rect"/>
              </v:shapetype>
              <v:shape id="Text Box 2" o:spid="_x0000_s1026" type="#_x0000_t202" style="width:451.3pt;height:8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" fillcolor="#f2f2f2 [3052]" stroked="f" strokeweight=".5pt">
                <v:textbox>
                  <w:txbxContent>
                    <w:p w14:paraId="47F747F5" w14:textId="77777777" w:rsidR="009908EA" w:rsidRPr="00C41F9D" w:rsidRDefault="009908EA" w:rsidP="00455FC0">
                      <w:pPr>
                        <w:ind w:left="90" w:right="114"/>
                        <w:rPr>
                          <w:rFonts w:ascii="Arial" w:hAnsi="Arial" w:cs="Arial"/>
                          <w:b/>
                          <w:color w:val="24634F"/>
                          <w:sz w:val="18"/>
                          <w:szCs w:val="18"/>
                        </w:rPr>
                      </w:pPr>
                      <w:r w:rsidRPr="00C41F9D">
                        <w:rPr>
                          <w:rFonts w:ascii="Arial" w:hAnsi="Arial" w:cs="Arial"/>
                          <w:b/>
                          <w:color w:val="24634F"/>
                          <w:sz w:val="18"/>
                          <w:szCs w:val="18"/>
                        </w:rPr>
                        <w:t>Note: Environmental and Social Safeguards and Gender</w:t>
                      </w:r>
                    </w:p>
                    <w:p w14:paraId="74905E03" w14:textId="77777777" w:rsidR="009908EA" w:rsidRPr="00C41F9D" w:rsidRDefault="009908EA" w:rsidP="00455FC0">
                      <w:pPr>
                        <w:spacing w:after="0"/>
                        <w:ind w:left="86" w:right="115"/>
                        <w:rPr>
                          <w:rFonts w:ascii="Arial" w:hAnsi="Arial" w:cs="Arial"/>
                          <w:sz w:val="18"/>
                          <w:szCs w:val="18"/>
                        </w:rPr>
                      </w:pPr>
                      <w:r w:rsidRPr="00925A40">
                        <w:rPr>
                          <w:rFonts w:ascii="Arial" w:hAnsi="Arial" w:cs="Arial"/>
                          <w:sz w:val="18"/>
                          <w:szCs w:val="18"/>
                        </w:rPr>
                        <w:t xml:space="preserve">Throughout this document, when answering questions and providing details, please make sure to pay special attention to environmental, social and gender issues, particularly to the situation of vulnerable populations, including women and men. Please be specific about proposed actions to address these issues. Consult Annex IV of the </w:t>
                      </w:r>
                      <w:r>
                        <w:rPr>
                          <w:rFonts w:ascii="Arial" w:hAnsi="Arial" w:cs="Arial"/>
                          <w:sz w:val="18"/>
                          <w:szCs w:val="18"/>
                        </w:rPr>
                        <w:t>R</w:t>
                      </w:r>
                      <w:r w:rsidRPr="00925A40">
                        <w:rPr>
                          <w:rFonts w:ascii="Arial" w:hAnsi="Arial" w:cs="Arial"/>
                          <w:sz w:val="18"/>
                          <w:szCs w:val="18"/>
                        </w:rPr>
                        <w:t xml:space="preserve">eadiness </w:t>
                      </w:r>
                      <w:r>
                        <w:rPr>
                          <w:rFonts w:ascii="Arial" w:hAnsi="Arial" w:cs="Arial"/>
                          <w:sz w:val="18"/>
                          <w:szCs w:val="18"/>
                        </w:rPr>
                        <w:t>G</w:t>
                      </w:r>
                      <w:r w:rsidRPr="00925A40">
                        <w:rPr>
                          <w:rFonts w:ascii="Arial" w:hAnsi="Arial" w:cs="Arial"/>
                          <w:sz w:val="18"/>
                          <w:szCs w:val="18"/>
                        </w:rPr>
                        <w:t>uidebook for more information.</w:t>
                      </w:r>
                    </w:p>
                  </w:txbxContent>
                </v:textbox>
                <w10:anchorlock/>
              </v:shape>
            </w:pict>
          </mc:Fallback>
        </mc:AlternateContent>
      </w:r>
    </w:p>
    <w:p w14:paraId="118E2FBA" w14:textId="77777777" w:rsidR="00455FC0" w:rsidRPr="00C41F9D" w:rsidRDefault="00455FC0" w:rsidP="00455FC0">
      <w:pPr>
        <w:pStyle w:val="H0"/>
        <w:ind w:right="4"/>
        <w:jc w:val="center"/>
        <w:rPr>
          <w:rFonts w:ascii="Arial" w:hAnsi="Arial" w:cs="Arial"/>
          <w:sz w:val="18"/>
          <w:szCs w:val="18"/>
          <w:lang w:val="en-US"/>
        </w:rPr>
      </w:pPr>
    </w:p>
    <w:p w14:paraId="16C9B542" w14:textId="77777777" w:rsidR="00455FC0" w:rsidRPr="00C41F9D" w:rsidRDefault="00455FC0" w:rsidP="00455FC0">
      <w:pPr>
        <w:pStyle w:val="H0"/>
        <w:ind w:right="4"/>
        <w:jc w:val="center"/>
        <w:rPr>
          <w:rFonts w:ascii="Arial" w:hAnsi="Arial" w:cs="Arial"/>
          <w:sz w:val="18"/>
          <w:szCs w:val="18"/>
          <w:lang w:val="en-US"/>
        </w:rPr>
      </w:pPr>
      <w:r w:rsidRPr="00C41F9D">
        <w:rPr>
          <w:rFonts w:ascii="Arial" w:hAnsi="Arial" w:cs="Arial"/>
          <w:sz w:val="18"/>
          <w:szCs w:val="18"/>
          <w:lang w:val="en-US"/>
        </w:rPr>
        <w:t>Please submit the completed form to:</w:t>
      </w:r>
    </w:p>
    <w:p w14:paraId="533B71C7" w14:textId="77777777" w:rsidR="00455FC0" w:rsidRPr="00C41F9D" w:rsidRDefault="009908EA" w:rsidP="00455FC0">
      <w:pPr>
        <w:pStyle w:val="H0"/>
        <w:ind w:right="4"/>
        <w:jc w:val="center"/>
        <w:rPr>
          <w:rFonts w:ascii="Arial" w:hAnsi="Arial" w:cs="Arial"/>
          <w:b w:val="0"/>
          <w:sz w:val="18"/>
          <w:szCs w:val="18"/>
          <w:lang w:val="en-US"/>
        </w:rPr>
      </w:pPr>
      <w:hyperlink r:id="rId14" w:history="1">
        <w:r w:rsidR="00455FC0" w:rsidRPr="00C41F9D">
          <w:rPr>
            <w:rStyle w:val="Hyperlink"/>
            <w:rFonts w:ascii="Arial" w:hAnsi="Arial" w:cs="Arial"/>
            <w:b w:val="0"/>
            <w:color w:val="24634F"/>
            <w:sz w:val="18"/>
            <w:szCs w:val="18"/>
            <w:u w:val="none"/>
            <w:lang w:val="en-US"/>
          </w:rPr>
          <w:t>countries@gcfund.org</w:t>
        </w:r>
      </w:hyperlink>
    </w:p>
    <w:p w14:paraId="2A88C01A" w14:textId="77777777" w:rsidR="00455FC0" w:rsidRDefault="00455FC0" w:rsidP="00455FC0">
      <w:pPr>
        <w:pStyle w:val="H0"/>
        <w:ind w:right="4"/>
        <w:jc w:val="center"/>
        <w:rPr>
          <w:rFonts w:ascii="Arial" w:hAnsi="Arial" w:cs="Arial"/>
          <w:sz w:val="18"/>
          <w:szCs w:val="18"/>
          <w:lang w:val="en-US"/>
        </w:rPr>
      </w:pPr>
    </w:p>
    <w:p w14:paraId="5B3E72FF" w14:textId="77777777" w:rsidR="00455FC0" w:rsidRPr="00C41F9D" w:rsidRDefault="00455FC0" w:rsidP="00455FC0">
      <w:pPr>
        <w:pStyle w:val="H0"/>
        <w:ind w:right="4"/>
        <w:jc w:val="center"/>
        <w:rPr>
          <w:rFonts w:ascii="Arial" w:hAnsi="Arial" w:cs="Arial"/>
          <w:sz w:val="18"/>
          <w:szCs w:val="18"/>
          <w:lang w:val="en-US"/>
        </w:rPr>
      </w:pPr>
      <w:r w:rsidRPr="00C41F9D">
        <w:rPr>
          <w:rFonts w:ascii="Arial" w:hAnsi="Arial" w:cs="Arial"/>
          <w:sz w:val="18"/>
          <w:szCs w:val="18"/>
          <w:lang w:val="en-US"/>
        </w:rPr>
        <w:t xml:space="preserve">Please use the following </w:t>
      </w:r>
      <w:r>
        <w:rPr>
          <w:rFonts w:ascii="Arial" w:hAnsi="Arial" w:cs="Arial"/>
          <w:sz w:val="18"/>
          <w:szCs w:val="18"/>
          <w:lang w:val="en-US"/>
        </w:rPr>
        <w:t>naming</w:t>
      </w:r>
      <w:r w:rsidRPr="00C41F9D">
        <w:rPr>
          <w:rFonts w:ascii="Arial" w:hAnsi="Arial" w:cs="Arial"/>
          <w:sz w:val="18"/>
          <w:szCs w:val="18"/>
          <w:lang w:val="en-US"/>
        </w:rPr>
        <w:t xml:space="preserve"> convention for the file name:</w:t>
      </w:r>
    </w:p>
    <w:p w14:paraId="05CE7A68" w14:textId="77777777" w:rsidR="00455FC0" w:rsidRPr="00C41F9D" w:rsidRDefault="00455FC0" w:rsidP="00455FC0">
      <w:pPr>
        <w:pStyle w:val="H0"/>
        <w:ind w:right="4"/>
        <w:jc w:val="center"/>
        <w:rPr>
          <w:rFonts w:ascii="Arial" w:hAnsi="Arial" w:cs="Arial"/>
          <w:b w:val="0"/>
          <w:sz w:val="18"/>
          <w:szCs w:val="18"/>
          <w:lang w:val="en-US"/>
        </w:rPr>
      </w:pPr>
      <w:r w:rsidRPr="00C41F9D">
        <w:rPr>
          <w:rFonts w:ascii="Arial" w:hAnsi="Arial" w:cs="Arial"/>
          <w:b w:val="0"/>
          <w:sz w:val="18"/>
          <w:szCs w:val="18"/>
          <w:lang w:val="en-US"/>
        </w:rPr>
        <w:t>“GCF Readiness Proposal-[Country]-[</w:t>
      </w:r>
      <w:proofErr w:type="spellStart"/>
      <w:r w:rsidRPr="00C41F9D">
        <w:rPr>
          <w:rFonts w:ascii="Arial" w:hAnsi="Arial" w:cs="Arial"/>
          <w:b w:val="0"/>
          <w:sz w:val="18"/>
          <w:szCs w:val="18"/>
          <w:lang w:val="en-US"/>
        </w:rPr>
        <w:t>yymmdd</w:t>
      </w:r>
      <w:proofErr w:type="spellEnd"/>
      <w:r w:rsidRPr="00C41F9D">
        <w:rPr>
          <w:rFonts w:ascii="Arial" w:hAnsi="Arial" w:cs="Arial"/>
          <w:b w:val="0"/>
          <w:sz w:val="18"/>
          <w:szCs w:val="18"/>
          <w:lang w:val="en-US"/>
        </w:rPr>
        <w:t>]”</w:t>
      </w:r>
    </w:p>
    <w:p w14:paraId="5D3A8C1F" w14:textId="77777777" w:rsidR="00455FC0" w:rsidRPr="00C41F9D" w:rsidRDefault="00455FC0" w:rsidP="00455FC0">
      <w:pPr>
        <w:rPr>
          <w:rFonts w:ascii="Arial" w:hAnsi="Arial" w:cs="Arial"/>
          <w:sz w:val="18"/>
          <w:szCs w:val="18"/>
        </w:rPr>
      </w:pPr>
    </w:p>
    <w:p w14:paraId="2A1E5EC6" w14:textId="77777777" w:rsidR="00455FC0" w:rsidRDefault="00455FC0" w:rsidP="00455FC0">
      <w:r>
        <w:br w:type="page"/>
      </w:r>
    </w:p>
    <w:tbl>
      <w:tblPr>
        <w:tblW w:w="90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97"/>
        <w:gridCol w:w="360"/>
        <w:gridCol w:w="1890"/>
        <w:gridCol w:w="990"/>
        <w:gridCol w:w="270"/>
        <w:gridCol w:w="990"/>
        <w:gridCol w:w="358"/>
        <w:gridCol w:w="2430"/>
      </w:tblGrid>
      <w:tr w:rsidR="00455FC0" w:rsidRPr="007A7B9A" w14:paraId="66CC8AEE" w14:textId="77777777" w:rsidTr="00035D76">
        <w:trPr>
          <w:trHeight w:val="444"/>
        </w:trPr>
        <w:tc>
          <w:tcPr>
            <w:tcW w:w="9085" w:type="dxa"/>
            <w:gridSpan w:val="8"/>
            <w:shd w:val="clear" w:color="auto" w:fill="24634F"/>
            <w:vAlign w:val="center"/>
          </w:tcPr>
          <w:p w14:paraId="6A269FC7" w14:textId="77777777" w:rsidR="00455FC0" w:rsidRPr="007A7B9A" w:rsidRDefault="00455FC0" w:rsidP="00455FC0">
            <w:pPr>
              <w:pStyle w:val="ListParagraph"/>
              <w:keepNext/>
              <w:numPr>
                <w:ilvl w:val="0"/>
                <w:numId w:val="3"/>
              </w:numPr>
              <w:tabs>
                <w:tab w:val="left" w:pos="342"/>
              </w:tabs>
              <w:spacing w:after="0"/>
              <w:ind w:hanging="720"/>
              <w:rPr>
                <w:rStyle w:val="IntenseReference"/>
                <w:rFonts w:ascii="Arial" w:hAnsi="Arial" w:cs="Arial"/>
                <w:smallCaps w:val="0"/>
                <w:color w:val="FFFFFF" w:themeColor="background1"/>
                <w:szCs w:val="24"/>
              </w:rPr>
            </w:pPr>
            <w:r>
              <w:rPr>
                <w:rStyle w:val="IntenseReference"/>
                <w:rFonts w:ascii="Arial" w:hAnsi="Arial" w:cs="Arial"/>
                <w:color w:val="FFFFFF" w:themeColor="background1"/>
                <w:szCs w:val="24"/>
              </w:rPr>
              <w:lastRenderedPageBreak/>
              <w:t xml:space="preserve">SUMMARY </w:t>
            </w:r>
          </w:p>
        </w:tc>
      </w:tr>
      <w:tr w:rsidR="00455FC0" w:rsidRPr="001B2195" w14:paraId="0E49D55B" w14:textId="77777777" w:rsidTr="00035D76">
        <w:trPr>
          <w:trHeight w:val="144"/>
        </w:trPr>
        <w:tc>
          <w:tcPr>
            <w:tcW w:w="1797" w:type="dxa"/>
            <w:vMerge w:val="restart"/>
            <w:tcBorders>
              <w:right w:val="single" w:sz="2" w:space="0" w:color="auto"/>
            </w:tcBorders>
            <w:shd w:val="clear" w:color="auto" w:fill="F2F2F2" w:themeFill="background1" w:themeFillShade="F2"/>
            <w:noWrap/>
            <w:vAlign w:val="center"/>
          </w:tcPr>
          <w:p w14:paraId="4FFAAD0B" w14:textId="77777777" w:rsidR="00455FC0" w:rsidRPr="009861A8" w:rsidRDefault="00455FC0" w:rsidP="00035D76">
            <w:pPr>
              <w:keepNext/>
              <w:spacing w:before="60" w:after="60" w:line="240" w:lineRule="auto"/>
              <w:rPr>
                <w:rFonts w:ascii="Arial" w:hAnsi="Arial" w:cs="Arial"/>
                <w:sz w:val="18"/>
                <w:szCs w:val="18"/>
              </w:rPr>
            </w:pPr>
            <w:r w:rsidRPr="009861A8">
              <w:rPr>
                <w:rFonts w:ascii="Arial" w:eastAsia="Times New Roman" w:hAnsi="Arial" w:cs="Arial"/>
                <w:b/>
                <w:color w:val="24634F"/>
                <w:sz w:val="18"/>
                <w:szCs w:val="18"/>
                <w:lang w:eastAsia="ja-JP"/>
              </w:rPr>
              <w:t>Country submitting the proposal</w:t>
            </w:r>
          </w:p>
        </w:tc>
        <w:tc>
          <w:tcPr>
            <w:tcW w:w="3510" w:type="dxa"/>
            <w:gridSpan w:val="4"/>
            <w:tcBorders>
              <w:top w:val="single" w:sz="2" w:space="0" w:color="auto"/>
              <w:left w:val="single" w:sz="2" w:space="0" w:color="auto"/>
              <w:bottom w:val="nil"/>
              <w:right w:val="nil"/>
            </w:tcBorders>
            <w:shd w:val="clear" w:color="auto" w:fill="auto"/>
            <w:vAlign w:val="center"/>
          </w:tcPr>
          <w:p w14:paraId="5ECD5E01" w14:textId="6E7522A5" w:rsidR="00455FC0" w:rsidRPr="009861A8" w:rsidRDefault="00455FC0" w:rsidP="00035D76">
            <w:pPr>
              <w:keepNext/>
              <w:spacing w:before="60" w:after="60" w:line="240" w:lineRule="auto"/>
              <w:rPr>
                <w:rFonts w:ascii="Arial" w:hAnsi="Arial" w:cs="Arial"/>
                <w:sz w:val="18"/>
                <w:szCs w:val="18"/>
              </w:rPr>
            </w:pPr>
            <w:r w:rsidRPr="009861A8">
              <w:rPr>
                <w:rFonts w:ascii="Arial" w:hAnsi="Arial" w:cs="Arial"/>
                <w:sz w:val="18"/>
                <w:szCs w:val="18"/>
              </w:rPr>
              <w:t>Country name:</w:t>
            </w:r>
            <w:r>
              <w:rPr>
                <w:rFonts w:ascii="Arial" w:hAnsi="Arial" w:cs="Arial"/>
                <w:sz w:val="18"/>
                <w:szCs w:val="18"/>
              </w:rPr>
              <w:t xml:space="preserve"> </w:t>
            </w:r>
          </w:p>
        </w:tc>
        <w:tc>
          <w:tcPr>
            <w:tcW w:w="3778" w:type="dxa"/>
            <w:gridSpan w:val="3"/>
            <w:tcBorders>
              <w:top w:val="single" w:sz="2" w:space="0" w:color="auto"/>
              <w:left w:val="nil"/>
              <w:bottom w:val="nil"/>
              <w:right w:val="single" w:sz="2" w:space="0" w:color="auto"/>
            </w:tcBorders>
            <w:shd w:val="clear" w:color="auto" w:fill="auto"/>
            <w:vAlign w:val="center"/>
          </w:tcPr>
          <w:p w14:paraId="079C327F" w14:textId="5F2B2DE7" w:rsidR="00455FC0" w:rsidRPr="00441BF8" w:rsidRDefault="00F653F3" w:rsidP="00035D76">
            <w:pPr>
              <w:keepNext/>
              <w:spacing w:before="60" w:after="60" w:line="240" w:lineRule="auto"/>
              <w:rPr>
                <w:rFonts w:ascii="Arial" w:hAnsi="Arial" w:cs="Arial"/>
                <w:color w:val="808080" w:themeColor="background1" w:themeShade="80"/>
                <w:sz w:val="18"/>
                <w:szCs w:val="18"/>
              </w:rPr>
            </w:pPr>
            <w:r>
              <w:rPr>
                <w:rFonts w:ascii="Arial" w:eastAsia="Times New Roman" w:hAnsi="Arial" w:cs="Arial"/>
                <w:bCs/>
                <w:sz w:val="18"/>
                <w:szCs w:val="18"/>
                <w:lang w:val="en-GB" w:eastAsia="en-GB"/>
              </w:rPr>
              <w:t>Mozambique</w:t>
            </w:r>
          </w:p>
        </w:tc>
      </w:tr>
      <w:tr w:rsidR="00455FC0" w:rsidRPr="001B2195" w14:paraId="21D45FCE" w14:textId="77777777" w:rsidTr="00035D76">
        <w:trPr>
          <w:trHeight w:val="144"/>
        </w:trPr>
        <w:tc>
          <w:tcPr>
            <w:tcW w:w="1797" w:type="dxa"/>
            <w:vMerge/>
            <w:tcBorders>
              <w:right w:val="single" w:sz="2" w:space="0" w:color="auto"/>
            </w:tcBorders>
            <w:shd w:val="clear" w:color="auto" w:fill="F2F2F2" w:themeFill="background1" w:themeFillShade="F2"/>
            <w:noWrap/>
            <w:vAlign w:val="center"/>
          </w:tcPr>
          <w:p w14:paraId="418AC5C5" w14:textId="77777777" w:rsidR="00455FC0" w:rsidRPr="009861A8" w:rsidRDefault="00455FC0" w:rsidP="00035D76">
            <w:pPr>
              <w:keepNext/>
              <w:spacing w:before="60" w:after="60" w:line="240" w:lineRule="auto"/>
              <w:rPr>
                <w:rFonts w:ascii="Arial" w:eastAsia="Times New Roman" w:hAnsi="Arial" w:cs="Arial"/>
                <w:b/>
                <w:color w:val="24634F"/>
                <w:sz w:val="18"/>
                <w:szCs w:val="18"/>
                <w:lang w:eastAsia="ja-JP"/>
              </w:rPr>
            </w:pPr>
            <w:bookmarkStart w:id="2" w:name="_Hlk8399925"/>
          </w:p>
        </w:tc>
        <w:tc>
          <w:tcPr>
            <w:tcW w:w="3510" w:type="dxa"/>
            <w:gridSpan w:val="4"/>
            <w:tcBorders>
              <w:top w:val="nil"/>
              <w:left w:val="single" w:sz="2" w:space="0" w:color="auto"/>
              <w:bottom w:val="nil"/>
              <w:right w:val="nil"/>
            </w:tcBorders>
            <w:shd w:val="clear" w:color="auto" w:fill="auto"/>
            <w:vAlign w:val="center"/>
          </w:tcPr>
          <w:p w14:paraId="03D1FBE0" w14:textId="77777777" w:rsidR="00455FC0" w:rsidRPr="00DA3A6C" w:rsidRDefault="00455FC0" w:rsidP="00035D76">
            <w:pPr>
              <w:keepNext/>
              <w:spacing w:before="60" w:after="60" w:line="240" w:lineRule="auto"/>
              <w:rPr>
                <w:rFonts w:ascii="Arial" w:hAnsi="Arial" w:cs="Arial"/>
                <w:sz w:val="18"/>
                <w:szCs w:val="18"/>
              </w:rPr>
            </w:pPr>
            <w:r w:rsidRPr="00DA3A6C">
              <w:rPr>
                <w:rFonts w:ascii="Arial" w:hAnsi="Arial" w:cs="Arial"/>
                <w:sz w:val="18"/>
                <w:szCs w:val="18"/>
              </w:rPr>
              <w:t>Name of institution representing NDA or Focal Point:</w:t>
            </w:r>
          </w:p>
        </w:tc>
        <w:tc>
          <w:tcPr>
            <w:tcW w:w="3778" w:type="dxa"/>
            <w:gridSpan w:val="3"/>
            <w:tcBorders>
              <w:top w:val="nil"/>
              <w:left w:val="nil"/>
              <w:bottom w:val="nil"/>
              <w:right w:val="single" w:sz="2" w:space="0" w:color="auto"/>
            </w:tcBorders>
            <w:shd w:val="clear" w:color="auto" w:fill="auto"/>
            <w:vAlign w:val="center"/>
          </w:tcPr>
          <w:p w14:paraId="29B863AB" w14:textId="68F75E96" w:rsidR="00455FC0" w:rsidRPr="00441BF8" w:rsidRDefault="00F653F3" w:rsidP="00DA3A6C">
            <w:pPr>
              <w:keepNext/>
              <w:spacing w:before="60" w:after="60" w:line="240" w:lineRule="auto"/>
              <w:rPr>
                <w:rFonts w:ascii="Arial" w:hAnsi="Arial" w:cs="Arial"/>
                <w:color w:val="808080" w:themeColor="background1" w:themeShade="80"/>
                <w:sz w:val="18"/>
                <w:szCs w:val="18"/>
              </w:rPr>
            </w:pPr>
            <w:r w:rsidRPr="00F653F3">
              <w:rPr>
                <w:rFonts w:ascii="Arial" w:hAnsi="Arial" w:cs="Arial"/>
                <w:caps/>
                <w:color w:val="404040"/>
                <w:sz w:val="18"/>
                <w:szCs w:val="18"/>
                <w:shd w:val="clear" w:color="auto" w:fill="F8F8F8"/>
              </w:rPr>
              <w:t>MINISTRY OF ECONOMY AND FINANCE – NATIONAL DIRECTORATE FOR MONITORING AND EVALUATION</w:t>
            </w:r>
          </w:p>
        </w:tc>
      </w:tr>
      <w:tr w:rsidR="00455FC0" w:rsidRPr="001B2195" w14:paraId="7416DA08" w14:textId="77777777" w:rsidTr="00035D76">
        <w:trPr>
          <w:trHeight w:val="144"/>
        </w:trPr>
        <w:tc>
          <w:tcPr>
            <w:tcW w:w="1797" w:type="dxa"/>
            <w:vMerge/>
            <w:tcBorders>
              <w:right w:val="single" w:sz="2" w:space="0" w:color="auto"/>
            </w:tcBorders>
            <w:shd w:val="clear" w:color="auto" w:fill="F2F2F2" w:themeFill="background1" w:themeFillShade="F2"/>
            <w:noWrap/>
            <w:vAlign w:val="center"/>
          </w:tcPr>
          <w:p w14:paraId="6B6C1CA7" w14:textId="77777777" w:rsidR="00455FC0" w:rsidRPr="009861A8" w:rsidRDefault="00455FC0" w:rsidP="00035D76">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2D942310" w14:textId="77777777" w:rsidR="00455FC0" w:rsidRPr="00DA3A6C" w:rsidRDefault="00455FC0" w:rsidP="00035D76">
            <w:pPr>
              <w:keepNext/>
              <w:spacing w:before="60" w:after="60" w:line="240" w:lineRule="auto"/>
              <w:rPr>
                <w:rFonts w:ascii="Arial" w:hAnsi="Arial" w:cs="Arial"/>
                <w:sz w:val="18"/>
                <w:szCs w:val="18"/>
              </w:rPr>
            </w:pPr>
            <w:r w:rsidRPr="00DA3A6C">
              <w:rPr>
                <w:rFonts w:ascii="Arial" w:hAnsi="Arial" w:cs="Arial"/>
                <w:sz w:val="18"/>
                <w:szCs w:val="18"/>
              </w:rPr>
              <w:t>Name of contact person:</w:t>
            </w:r>
          </w:p>
        </w:tc>
        <w:tc>
          <w:tcPr>
            <w:tcW w:w="3778" w:type="dxa"/>
            <w:gridSpan w:val="3"/>
            <w:tcBorders>
              <w:top w:val="nil"/>
              <w:left w:val="nil"/>
              <w:bottom w:val="nil"/>
              <w:right w:val="single" w:sz="2" w:space="0" w:color="auto"/>
            </w:tcBorders>
            <w:shd w:val="clear" w:color="auto" w:fill="auto"/>
            <w:vAlign w:val="center"/>
          </w:tcPr>
          <w:p w14:paraId="2711E1F9" w14:textId="7EF1C631" w:rsidR="00455FC0" w:rsidRPr="00441BF8" w:rsidRDefault="00F653F3" w:rsidP="00F653F3">
            <w:pPr>
              <w:keepNext/>
              <w:spacing w:before="60" w:after="60" w:line="240" w:lineRule="auto"/>
              <w:rPr>
                <w:rFonts w:ascii="Arial" w:hAnsi="Arial" w:cs="Arial"/>
                <w:color w:val="808080" w:themeColor="background1" w:themeShade="80"/>
                <w:sz w:val="18"/>
                <w:szCs w:val="18"/>
              </w:rPr>
            </w:pPr>
            <w:r w:rsidRPr="00F653F3">
              <w:rPr>
                <w:rFonts w:ascii="Arial" w:hAnsi="Arial" w:cs="Arial"/>
                <w:color w:val="404040"/>
                <w:sz w:val="18"/>
                <w:szCs w:val="18"/>
                <w:shd w:val="clear" w:color="auto" w:fill="F8F8F8"/>
              </w:rPr>
              <w:t xml:space="preserve">Mr. Albano </w:t>
            </w:r>
            <w:proofErr w:type="spellStart"/>
            <w:r w:rsidRPr="00F653F3">
              <w:rPr>
                <w:rFonts w:ascii="Arial" w:hAnsi="Arial" w:cs="Arial"/>
                <w:color w:val="404040"/>
                <w:sz w:val="18"/>
                <w:szCs w:val="18"/>
                <w:shd w:val="clear" w:color="auto" w:fill="F8F8F8"/>
              </w:rPr>
              <w:t>Manjate</w:t>
            </w:r>
            <w:proofErr w:type="spellEnd"/>
          </w:p>
        </w:tc>
      </w:tr>
      <w:tr w:rsidR="00455FC0" w:rsidRPr="001B2195" w14:paraId="26A83953" w14:textId="77777777" w:rsidTr="00035D76">
        <w:trPr>
          <w:trHeight w:val="144"/>
        </w:trPr>
        <w:tc>
          <w:tcPr>
            <w:tcW w:w="1797" w:type="dxa"/>
            <w:vMerge/>
            <w:tcBorders>
              <w:right w:val="single" w:sz="2" w:space="0" w:color="auto"/>
            </w:tcBorders>
            <w:shd w:val="clear" w:color="auto" w:fill="F2F2F2" w:themeFill="background1" w:themeFillShade="F2"/>
            <w:noWrap/>
            <w:vAlign w:val="center"/>
          </w:tcPr>
          <w:p w14:paraId="2BB7572C" w14:textId="77777777" w:rsidR="00455FC0" w:rsidRPr="009861A8" w:rsidRDefault="00455FC0" w:rsidP="00035D76">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33980CF9" w14:textId="77777777" w:rsidR="00455FC0" w:rsidRPr="00DA3A6C" w:rsidRDefault="00455FC0" w:rsidP="00035D76">
            <w:pPr>
              <w:keepNext/>
              <w:spacing w:before="60" w:after="60" w:line="240" w:lineRule="auto"/>
              <w:rPr>
                <w:rFonts w:ascii="Arial" w:hAnsi="Arial" w:cs="Arial"/>
                <w:sz w:val="18"/>
                <w:szCs w:val="18"/>
              </w:rPr>
            </w:pPr>
            <w:r w:rsidRPr="00DA3A6C">
              <w:rPr>
                <w:rFonts w:ascii="Arial" w:hAnsi="Arial" w:cs="Arial"/>
                <w:sz w:val="18"/>
                <w:szCs w:val="18"/>
              </w:rPr>
              <w:t>Contact person’s position:</w:t>
            </w:r>
          </w:p>
        </w:tc>
        <w:tc>
          <w:tcPr>
            <w:tcW w:w="3778" w:type="dxa"/>
            <w:gridSpan w:val="3"/>
            <w:tcBorders>
              <w:top w:val="nil"/>
              <w:left w:val="nil"/>
              <w:bottom w:val="nil"/>
              <w:right w:val="single" w:sz="2" w:space="0" w:color="auto"/>
            </w:tcBorders>
            <w:shd w:val="clear" w:color="auto" w:fill="auto"/>
            <w:vAlign w:val="center"/>
          </w:tcPr>
          <w:p w14:paraId="6B368C10" w14:textId="0F4FB878" w:rsidR="00455FC0" w:rsidRPr="00441BF8" w:rsidRDefault="00F653F3" w:rsidP="00035D76">
            <w:pPr>
              <w:keepNext/>
              <w:spacing w:before="60" w:after="60" w:line="240" w:lineRule="auto"/>
              <w:rPr>
                <w:rFonts w:ascii="Arial" w:hAnsi="Arial" w:cs="Arial"/>
                <w:color w:val="808080" w:themeColor="background1" w:themeShade="80"/>
                <w:sz w:val="18"/>
                <w:szCs w:val="18"/>
              </w:rPr>
            </w:pPr>
            <w:r w:rsidRPr="00F653F3">
              <w:rPr>
                <w:rFonts w:ascii="Arial" w:hAnsi="Arial" w:cs="Arial"/>
                <w:color w:val="404040"/>
                <w:sz w:val="18"/>
                <w:szCs w:val="18"/>
                <w:shd w:val="clear" w:color="auto" w:fill="F8F8F8"/>
              </w:rPr>
              <w:t>Deputy National Director of Monitoring and Evaluation</w:t>
            </w:r>
          </w:p>
        </w:tc>
      </w:tr>
      <w:tr w:rsidR="00455FC0" w:rsidRPr="001B2195" w14:paraId="072C895E" w14:textId="77777777" w:rsidTr="00035D76">
        <w:trPr>
          <w:trHeight w:val="144"/>
        </w:trPr>
        <w:tc>
          <w:tcPr>
            <w:tcW w:w="1797" w:type="dxa"/>
            <w:vMerge/>
            <w:tcBorders>
              <w:right w:val="single" w:sz="2" w:space="0" w:color="auto"/>
            </w:tcBorders>
            <w:shd w:val="clear" w:color="auto" w:fill="F2F2F2" w:themeFill="background1" w:themeFillShade="F2"/>
            <w:noWrap/>
            <w:vAlign w:val="center"/>
          </w:tcPr>
          <w:p w14:paraId="1EABF434" w14:textId="77777777" w:rsidR="00455FC0" w:rsidRPr="009861A8" w:rsidRDefault="00455FC0" w:rsidP="00035D76">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45C43A91" w14:textId="77777777" w:rsidR="00455FC0" w:rsidRPr="00DA3A6C" w:rsidRDefault="00455FC0" w:rsidP="00035D76">
            <w:pPr>
              <w:keepNext/>
              <w:spacing w:before="60" w:after="60" w:line="240" w:lineRule="auto"/>
              <w:rPr>
                <w:rFonts w:ascii="Arial" w:hAnsi="Arial" w:cs="Arial"/>
                <w:sz w:val="18"/>
                <w:szCs w:val="18"/>
              </w:rPr>
            </w:pPr>
            <w:r w:rsidRPr="00DA3A6C">
              <w:rPr>
                <w:rFonts w:ascii="Arial" w:hAnsi="Arial" w:cs="Arial"/>
                <w:sz w:val="18"/>
                <w:szCs w:val="18"/>
              </w:rPr>
              <w:t>Telephone number:</w:t>
            </w:r>
          </w:p>
        </w:tc>
        <w:tc>
          <w:tcPr>
            <w:tcW w:w="3778" w:type="dxa"/>
            <w:gridSpan w:val="3"/>
            <w:tcBorders>
              <w:top w:val="nil"/>
              <w:left w:val="nil"/>
              <w:bottom w:val="nil"/>
              <w:right w:val="single" w:sz="2" w:space="0" w:color="auto"/>
            </w:tcBorders>
            <w:shd w:val="clear" w:color="auto" w:fill="auto"/>
            <w:vAlign w:val="center"/>
          </w:tcPr>
          <w:p w14:paraId="1407B80D" w14:textId="617A3873" w:rsidR="00455FC0" w:rsidRPr="00441BF8" w:rsidRDefault="00F653F3" w:rsidP="00DA3A6C">
            <w:pPr>
              <w:keepNext/>
              <w:spacing w:before="60" w:after="60" w:line="240" w:lineRule="auto"/>
              <w:rPr>
                <w:rFonts w:ascii="Arial" w:hAnsi="Arial" w:cs="Arial"/>
                <w:color w:val="808080" w:themeColor="background1" w:themeShade="80"/>
                <w:sz w:val="18"/>
                <w:szCs w:val="18"/>
              </w:rPr>
            </w:pPr>
            <w:r>
              <w:rPr>
                <w:rFonts w:ascii="Arial" w:hAnsi="Arial" w:cs="Arial"/>
                <w:color w:val="404040"/>
                <w:shd w:val="clear" w:color="auto" w:fill="F8F8F8"/>
              </w:rPr>
              <w:t>+258 828969570</w:t>
            </w:r>
          </w:p>
        </w:tc>
      </w:tr>
      <w:tr w:rsidR="00455FC0" w:rsidRPr="001B2195" w14:paraId="65EB3550" w14:textId="77777777" w:rsidTr="00035D76">
        <w:trPr>
          <w:trHeight w:val="144"/>
        </w:trPr>
        <w:tc>
          <w:tcPr>
            <w:tcW w:w="1797" w:type="dxa"/>
            <w:vMerge/>
            <w:tcBorders>
              <w:right w:val="single" w:sz="2" w:space="0" w:color="auto"/>
            </w:tcBorders>
            <w:shd w:val="clear" w:color="auto" w:fill="F2F2F2" w:themeFill="background1" w:themeFillShade="F2"/>
            <w:noWrap/>
            <w:vAlign w:val="center"/>
          </w:tcPr>
          <w:p w14:paraId="529E88EE" w14:textId="77777777" w:rsidR="00455FC0" w:rsidRPr="009861A8" w:rsidRDefault="00455FC0" w:rsidP="00035D76">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26F7EBA1" w14:textId="77777777" w:rsidR="00455FC0" w:rsidRPr="00DA3A6C" w:rsidRDefault="00455FC0" w:rsidP="00035D76">
            <w:pPr>
              <w:keepNext/>
              <w:spacing w:before="60" w:after="60" w:line="240" w:lineRule="auto"/>
              <w:rPr>
                <w:rFonts w:ascii="Arial" w:hAnsi="Arial" w:cs="Arial"/>
                <w:sz w:val="18"/>
                <w:szCs w:val="18"/>
              </w:rPr>
            </w:pPr>
            <w:r w:rsidRPr="00DA3A6C">
              <w:rPr>
                <w:rFonts w:ascii="Arial" w:hAnsi="Arial" w:cs="Arial"/>
                <w:sz w:val="18"/>
                <w:szCs w:val="18"/>
              </w:rPr>
              <w:t>Email:</w:t>
            </w:r>
          </w:p>
        </w:tc>
        <w:tc>
          <w:tcPr>
            <w:tcW w:w="3778" w:type="dxa"/>
            <w:gridSpan w:val="3"/>
            <w:tcBorders>
              <w:top w:val="nil"/>
              <w:left w:val="nil"/>
              <w:bottom w:val="nil"/>
              <w:right w:val="single" w:sz="2" w:space="0" w:color="auto"/>
            </w:tcBorders>
            <w:shd w:val="clear" w:color="auto" w:fill="auto"/>
            <w:vAlign w:val="center"/>
          </w:tcPr>
          <w:p w14:paraId="101738D0" w14:textId="7D1E83C1" w:rsidR="00455FC0" w:rsidRPr="00441BF8" w:rsidRDefault="00F653F3" w:rsidP="00035D76">
            <w:pPr>
              <w:keepNext/>
              <w:spacing w:before="60" w:after="60" w:line="240" w:lineRule="auto"/>
              <w:rPr>
                <w:rFonts w:ascii="Arial" w:hAnsi="Arial" w:cs="Arial"/>
                <w:color w:val="808080" w:themeColor="background1" w:themeShade="80"/>
                <w:sz w:val="18"/>
                <w:szCs w:val="18"/>
              </w:rPr>
            </w:pPr>
            <w:r w:rsidRPr="00F653F3">
              <w:rPr>
                <w:rFonts w:ascii="Arial" w:hAnsi="Arial" w:cs="Arial"/>
                <w:color w:val="808080" w:themeColor="background1" w:themeShade="80"/>
                <w:sz w:val="18"/>
                <w:szCs w:val="18"/>
              </w:rPr>
              <w:t>albanomanjate@gmail.com</w:t>
            </w:r>
          </w:p>
        </w:tc>
      </w:tr>
      <w:tr w:rsidR="00455FC0" w:rsidRPr="001B2195" w14:paraId="364DEA60" w14:textId="77777777" w:rsidTr="00035D76">
        <w:trPr>
          <w:trHeight w:val="144"/>
        </w:trPr>
        <w:tc>
          <w:tcPr>
            <w:tcW w:w="1797" w:type="dxa"/>
            <w:vMerge/>
            <w:tcBorders>
              <w:right w:val="single" w:sz="2" w:space="0" w:color="auto"/>
            </w:tcBorders>
            <w:shd w:val="clear" w:color="auto" w:fill="F2F2F2" w:themeFill="background1" w:themeFillShade="F2"/>
            <w:noWrap/>
            <w:vAlign w:val="center"/>
          </w:tcPr>
          <w:p w14:paraId="0B692F48" w14:textId="77777777" w:rsidR="00455FC0" w:rsidRPr="009861A8" w:rsidRDefault="00455FC0" w:rsidP="00035D76">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5D47A23D" w14:textId="77777777" w:rsidR="00455FC0" w:rsidRPr="00DA3A6C" w:rsidRDefault="00455FC0" w:rsidP="00035D76">
            <w:pPr>
              <w:keepNext/>
              <w:spacing w:before="60" w:after="60" w:line="240" w:lineRule="auto"/>
              <w:rPr>
                <w:rFonts w:ascii="Arial" w:hAnsi="Arial" w:cs="Arial"/>
                <w:sz w:val="18"/>
                <w:szCs w:val="18"/>
              </w:rPr>
            </w:pPr>
            <w:r w:rsidRPr="00DA3A6C">
              <w:rPr>
                <w:rFonts w:ascii="Arial" w:hAnsi="Arial" w:cs="Arial"/>
                <w:sz w:val="18"/>
                <w:szCs w:val="18"/>
              </w:rPr>
              <w:t>Full office address:</w:t>
            </w:r>
          </w:p>
        </w:tc>
        <w:tc>
          <w:tcPr>
            <w:tcW w:w="3778" w:type="dxa"/>
            <w:gridSpan w:val="3"/>
            <w:tcBorders>
              <w:top w:val="nil"/>
              <w:left w:val="nil"/>
              <w:bottom w:val="nil"/>
              <w:right w:val="single" w:sz="2" w:space="0" w:color="auto"/>
            </w:tcBorders>
            <w:shd w:val="clear" w:color="auto" w:fill="auto"/>
            <w:vAlign w:val="center"/>
          </w:tcPr>
          <w:p w14:paraId="2027EA22" w14:textId="3AE82400" w:rsidR="00455FC0" w:rsidRPr="00441BF8" w:rsidRDefault="009908EA" w:rsidP="00035D76">
            <w:pPr>
              <w:keepNext/>
              <w:spacing w:before="60" w:after="60" w:line="240" w:lineRule="auto"/>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21, Ahmed Sekou </w:t>
            </w:r>
            <w:proofErr w:type="spellStart"/>
            <w:r>
              <w:rPr>
                <w:rFonts w:ascii="Arial" w:hAnsi="Arial" w:cs="Arial"/>
                <w:color w:val="808080" w:themeColor="background1" w:themeShade="80"/>
                <w:sz w:val="18"/>
                <w:szCs w:val="18"/>
              </w:rPr>
              <w:t>Toure</w:t>
            </w:r>
            <w:proofErr w:type="spellEnd"/>
            <w:r>
              <w:rPr>
                <w:rFonts w:ascii="Arial" w:hAnsi="Arial" w:cs="Arial"/>
                <w:color w:val="808080" w:themeColor="background1" w:themeShade="80"/>
                <w:sz w:val="18"/>
                <w:szCs w:val="18"/>
              </w:rPr>
              <w:t>, Second Floor Left, Maputo.</w:t>
            </w:r>
          </w:p>
        </w:tc>
      </w:tr>
      <w:tr w:rsidR="00455FC0" w:rsidRPr="001B2195" w14:paraId="258A2C5D" w14:textId="77777777" w:rsidTr="00035D76">
        <w:trPr>
          <w:trHeight w:val="144"/>
        </w:trPr>
        <w:tc>
          <w:tcPr>
            <w:tcW w:w="1797" w:type="dxa"/>
            <w:vMerge/>
            <w:tcBorders>
              <w:right w:val="single" w:sz="2" w:space="0" w:color="auto"/>
            </w:tcBorders>
            <w:shd w:val="clear" w:color="auto" w:fill="F2F2F2" w:themeFill="background1" w:themeFillShade="F2"/>
            <w:noWrap/>
            <w:vAlign w:val="center"/>
          </w:tcPr>
          <w:p w14:paraId="66253E6A" w14:textId="77777777" w:rsidR="00455FC0" w:rsidRPr="009861A8" w:rsidRDefault="00455FC0" w:rsidP="00035D76">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single" w:sz="2" w:space="0" w:color="auto"/>
              <w:right w:val="nil"/>
            </w:tcBorders>
            <w:shd w:val="clear" w:color="auto" w:fill="auto"/>
            <w:vAlign w:val="center"/>
          </w:tcPr>
          <w:p w14:paraId="3DD844AC" w14:textId="77777777" w:rsidR="00455FC0" w:rsidRPr="00DA3A6C" w:rsidRDefault="00455FC0" w:rsidP="00035D76">
            <w:pPr>
              <w:keepNext/>
              <w:spacing w:before="60" w:after="60" w:line="240" w:lineRule="auto"/>
              <w:rPr>
                <w:rFonts w:ascii="Arial" w:hAnsi="Arial" w:cs="Arial"/>
                <w:sz w:val="18"/>
                <w:szCs w:val="18"/>
              </w:rPr>
            </w:pPr>
            <w:r w:rsidRPr="00DA3A6C">
              <w:rPr>
                <w:rFonts w:ascii="Arial" w:hAnsi="Arial" w:cs="Arial"/>
                <w:sz w:val="18"/>
                <w:szCs w:val="18"/>
              </w:rPr>
              <w:t>Additional email addresses that need to be copied on correspondences:</w:t>
            </w:r>
          </w:p>
        </w:tc>
        <w:tc>
          <w:tcPr>
            <w:tcW w:w="3778" w:type="dxa"/>
            <w:gridSpan w:val="3"/>
            <w:tcBorders>
              <w:top w:val="nil"/>
              <w:left w:val="nil"/>
              <w:bottom w:val="single" w:sz="2" w:space="0" w:color="auto"/>
              <w:right w:val="single" w:sz="2" w:space="0" w:color="auto"/>
            </w:tcBorders>
            <w:shd w:val="clear" w:color="auto" w:fill="auto"/>
            <w:vAlign w:val="center"/>
          </w:tcPr>
          <w:p w14:paraId="3E71192E" w14:textId="62962E22" w:rsidR="00455FC0" w:rsidRDefault="009908EA" w:rsidP="00035D76">
            <w:pPr>
              <w:keepNext/>
              <w:spacing w:before="60" w:after="60" w:line="240" w:lineRule="auto"/>
            </w:pPr>
            <w:hyperlink r:id="rId15" w:history="1">
              <w:r w:rsidR="00F653F3" w:rsidRPr="00904400">
                <w:rPr>
                  <w:rStyle w:val="Hyperlink"/>
                </w:rPr>
                <w:t>antonio.uaissone@mct.gov.mz</w:t>
              </w:r>
            </w:hyperlink>
          </w:p>
          <w:p w14:paraId="2CCF3DFF" w14:textId="720BFB10" w:rsidR="00F653F3" w:rsidRPr="00441BF8" w:rsidRDefault="009908EA" w:rsidP="00035D76">
            <w:pPr>
              <w:keepNext/>
              <w:spacing w:before="60" w:after="60" w:line="240" w:lineRule="auto"/>
              <w:rPr>
                <w:rFonts w:ascii="Arial" w:hAnsi="Arial" w:cs="Arial"/>
                <w:color w:val="808080" w:themeColor="background1" w:themeShade="80"/>
                <w:sz w:val="18"/>
                <w:szCs w:val="18"/>
              </w:rPr>
            </w:pPr>
            <w:hyperlink r:id="rId16" w:history="1">
              <w:r w:rsidR="00F653F3" w:rsidRPr="00904400">
                <w:rPr>
                  <w:rStyle w:val="Hyperlink"/>
                </w:rPr>
                <w:t>miseriobanze@gmail.com</w:t>
              </w:r>
            </w:hyperlink>
            <w:r w:rsidR="00F653F3">
              <w:t xml:space="preserve"> </w:t>
            </w:r>
            <w:r w:rsidR="00F653F3" w:rsidRPr="00F653F3">
              <w:t xml:space="preserve">; </w:t>
            </w:r>
            <w:hyperlink r:id="rId17" w:history="1">
              <w:r w:rsidR="00F653F3" w:rsidRPr="00904400">
                <w:rPr>
                  <w:rStyle w:val="Hyperlink"/>
                </w:rPr>
                <w:t>sgsilveira1@gmail.com</w:t>
              </w:r>
            </w:hyperlink>
            <w:r w:rsidR="00F653F3">
              <w:t xml:space="preserve"> </w:t>
            </w:r>
            <w:r w:rsidR="00F653F3" w:rsidRPr="00F653F3">
              <w:t xml:space="preserve">; </w:t>
            </w:r>
            <w:hyperlink r:id="rId18" w:history="1">
              <w:r w:rsidR="00F653F3" w:rsidRPr="00904400">
                <w:rPr>
                  <w:rStyle w:val="Hyperlink"/>
                </w:rPr>
                <w:t>Cirio.muarapaz@gmail.com</w:t>
              </w:r>
            </w:hyperlink>
            <w:r w:rsidR="00F653F3">
              <w:t xml:space="preserve"> </w:t>
            </w:r>
            <w:r w:rsidR="00F653F3" w:rsidRPr="00F653F3">
              <w:t xml:space="preserve">; </w:t>
            </w:r>
            <w:hyperlink r:id="rId19" w:history="1">
              <w:r w:rsidR="00F653F3" w:rsidRPr="00904400">
                <w:rPr>
                  <w:rStyle w:val="Hyperlink"/>
                </w:rPr>
                <w:t>cirio.muarapaz@edm.co.mz</w:t>
              </w:r>
            </w:hyperlink>
            <w:r w:rsidR="00F653F3">
              <w:t xml:space="preserve"> </w:t>
            </w:r>
          </w:p>
        </w:tc>
      </w:tr>
      <w:bookmarkEnd w:id="2"/>
      <w:tr w:rsidR="00455FC0" w:rsidRPr="001B2195" w14:paraId="652AD77F" w14:textId="77777777" w:rsidTr="00035D76">
        <w:trPr>
          <w:trHeight w:val="144"/>
        </w:trPr>
        <w:tc>
          <w:tcPr>
            <w:tcW w:w="1797" w:type="dxa"/>
            <w:shd w:val="clear" w:color="auto" w:fill="F2F2F2" w:themeFill="background1" w:themeFillShade="F2"/>
            <w:noWrap/>
            <w:vAlign w:val="center"/>
          </w:tcPr>
          <w:p w14:paraId="40D4C5A0" w14:textId="77777777" w:rsidR="00455FC0" w:rsidRPr="009861A8" w:rsidRDefault="00455FC0" w:rsidP="00035D76">
            <w:pPr>
              <w:keepNext/>
              <w:spacing w:before="60" w:after="60" w:line="240" w:lineRule="auto"/>
              <w:rPr>
                <w:rFonts w:ascii="Arial" w:eastAsia="Times New Roman" w:hAnsi="Arial" w:cs="Arial"/>
                <w:b/>
                <w:color w:val="24634F"/>
                <w:sz w:val="18"/>
                <w:szCs w:val="18"/>
                <w:lang w:eastAsia="ja-JP"/>
              </w:rPr>
            </w:pPr>
            <w:r w:rsidRPr="009861A8">
              <w:rPr>
                <w:rFonts w:ascii="Arial" w:eastAsia="Times New Roman" w:hAnsi="Arial" w:cs="Arial"/>
                <w:b/>
                <w:color w:val="24634F"/>
                <w:sz w:val="18"/>
                <w:szCs w:val="18"/>
                <w:lang w:eastAsia="ja-JP"/>
              </w:rPr>
              <w:t>Date of initial submission</w:t>
            </w:r>
          </w:p>
        </w:tc>
        <w:tc>
          <w:tcPr>
            <w:tcW w:w="7288" w:type="dxa"/>
            <w:gridSpan w:val="7"/>
            <w:tcBorders>
              <w:top w:val="single" w:sz="2" w:space="0" w:color="auto"/>
            </w:tcBorders>
            <w:shd w:val="clear" w:color="auto" w:fill="auto"/>
            <w:vAlign w:val="center"/>
          </w:tcPr>
          <w:sdt>
            <w:sdtPr>
              <w:rPr>
                <w:rFonts w:ascii="Arial" w:eastAsia="Times New Roman" w:hAnsi="Arial" w:cs="Arial"/>
                <w:bCs/>
                <w:color w:val="808080" w:themeColor="background1" w:themeShade="80"/>
                <w:sz w:val="18"/>
                <w:szCs w:val="18"/>
                <w:lang w:val="en-GB" w:eastAsia="en-GB"/>
              </w:rPr>
              <w:id w:val="-1143725605"/>
              <w:placeholder>
                <w:docPart w:val="221AFE85D61748598DC6EFED76E74D85"/>
              </w:placeholder>
              <w:date w:fullDate="2019-08-31T00:00:00Z">
                <w:dateFormat w:val="d MMMM yyyy"/>
                <w:lid w:val="en-US"/>
                <w:storeMappedDataAs w:val="dateTime"/>
                <w:calendar w:val="gregorian"/>
              </w:date>
            </w:sdtPr>
            <w:sdtContent>
              <w:p w14:paraId="3DAE5CCC" w14:textId="61C58918" w:rsidR="00455FC0" w:rsidRPr="008B0CA0" w:rsidRDefault="00F653F3" w:rsidP="00035D76">
                <w:pPr>
                  <w:spacing w:after="0" w:line="240" w:lineRule="auto"/>
                  <w:ind w:right="-29"/>
                  <w:rPr>
                    <w:rFonts w:ascii="Arial" w:eastAsia="Times New Roman" w:hAnsi="Arial" w:cs="Arial"/>
                    <w:bCs/>
                    <w:color w:val="808080" w:themeColor="background1" w:themeShade="80"/>
                    <w:sz w:val="18"/>
                    <w:szCs w:val="18"/>
                    <w:lang w:val="en-GB" w:eastAsia="en-GB"/>
                  </w:rPr>
                </w:pPr>
                <w:r>
                  <w:rPr>
                    <w:rFonts w:ascii="Arial" w:eastAsia="Times New Roman" w:hAnsi="Arial" w:cs="Arial"/>
                    <w:bCs/>
                    <w:color w:val="808080" w:themeColor="background1" w:themeShade="80"/>
                    <w:sz w:val="18"/>
                    <w:szCs w:val="18"/>
                    <w:lang w:eastAsia="en-GB"/>
                  </w:rPr>
                  <w:t>31 August 2019</w:t>
                </w:r>
              </w:p>
            </w:sdtContent>
          </w:sdt>
        </w:tc>
      </w:tr>
      <w:tr w:rsidR="00455FC0" w:rsidRPr="001B2195" w14:paraId="4460C388" w14:textId="77777777" w:rsidTr="00035D76">
        <w:trPr>
          <w:trHeight w:val="144"/>
        </w:trPr>
        <w:tc>
          <w:tcPr>
            <w:tcW w:w="1797" w:type="dxa"/>
            <w:shd w:val="clear" w:color="auto" w:fill="F2F2F2" w:themeFill="background1" w:themeFillShade="F2"/>
            <w:noWrap/>
            <w:vAlign w:val="center"/>
          </w:tcPr>
          <w:p w14:paraId="379A17BA" w14:textId="77777777" w:rsidR="00455FC0" w:rsidRPr="009861A8" w:rsidRDefault="00455FC0" w:rsidP="00035D76">
            <w:pPr>
              <w:keepNext/>
              <w:spacing w:before="60" w:after="60" w:line="240" w:lineRule="auto"/>
              <w:rPr>
                <w:rFonts w:ascii="Arial" w:eastAsia="Times New Roman" w:hAnsi="Arial" w:cs="Arial"/>
                <w:b/>
                <w:color w:val="24634F"/>
                <w:sz w:val="18"/>
                <w:szCs w:val="18"/>
                <w:lang w:eastAsia="ja-JP"/>
              </w:rPr>
            </w:pPr>
            <w:r w:rsidRPr="009861A8">
              <w:rPr>
                <w:rFonts w:ascii="Arial" w:eastAsia="Times New Roman" w:hAnsi="Arial" w:cs="Arial"/>
                <w:b/>
                <w:color w:val="24634F"/>
                <w:sz w:val="18"/>
                <w:szCs w:val="18"/>
                <w:lang w:eastAsia="ja-JP"/>
              </w:rPr>
              <w:t>Last date of resubmission</w:t>
            </w:r>
          </w:p>
        </w:tc>
        <w:tc>
          <w:tcPr>
            <w:tcW w:w="3240" w:type="dxa"/>
            <w:gridSpan w:val="3"/>
            <w:tcBorders>
              <w:bottom w:val="single" w:sz="2" w:space="0" w:color="auto"/>
            </w:tcBorders>
            <w:shd w:val="clear" w:color="auto" w:fill="auto"/>
            <w:vAlign w:val="center"/>
          </w:tcPr>
          <w:p w14:paraId="2D8D0653" w14:textId="77777777" w:rsidR="00455FC0" w:rsidRPr="00CB141A" w:rsidRDefault="009908EA" w:rsidP="00035D76">
            <w:pPr>
              <w:keepNext/>
              <w:spacing w:before="60" w:after="60" w:line="240" w:lineRule="auto"/>
              <w:rPr>
                <w:rFonts w:ascii="Arial" w:hAnsi="Arial" w:cs="Arial"/>
                <w:sz w:val="18"/>
                <w:szCs w:val="18"/>
              </w:rPr>
            </w:pPr>
            <w:sdt>
              <w:sdtPr>
                <w:rPr>
                  <w:rFonts w:ascii="Arial" w:eastAsia="Times New Roman" w:hAnsi="Arial" w:cs="Arial"/>
                  <w:bCs/>
                  <w:color w:val="808080" w:themeColor="background1" w:themeShade="80"/>
                  <w:sz w:val="18"/>
                  <w:szCs w:val="18"/>
                  <w:lang w:val="en-GB" w:eastAsia="en-GB"/>
                </w:rPr>
                <w:id w:val="-248203374"/>
                <w:placeholder>
                  <w:docPart w:val="A043D83562C04BB2AE4DB6AAC410B1CD"/>
                </w:placeholder>
                <w:date>
                  <w:dateFormat w:val="d MMMM yyyy"/>
                  <w:lid w:val="en-US"/>
                  <w:storeMappedDataAs w:val="dateTime"/>
                  <w:calendar w:val="gregorian"/>
                </w:date>
              </w:sdtPr>
              <w:sdtContent>
                <w:r w:rsidR="00455FC0" w:rsidRPr="00C112CE">
                  <w:rPr>
                    <w:rFonts w:ascii="Arial" w:eastAsia="Times New Roman" w:hAnsi="Arial" w:cs="Arial"/>
                    <w:bCs/>
                    <w:color w:val="808080" w:themeColor="background1" w:themeShade="80"/>
                    <w:sz w:val="18"/>
                    <w:szCs w:val="18"/>
                    <w:lang w:val="en-GB" w:eastAsia="en-GB"/>
                  </w:rPr>
                  <w:t>Click or tap to enter a date.</w:t>
                </w:r>
                <w:r w:rsidR="00455FC0">
                  <w:rPr>
                    <w:rFonts w:ascii="Arial" w:eastAsia="Times New Roman" w:hAnsi="Arial" w:cs="Arial"/>
                    <w:bCs/>
                    <w:color w:val="808080" w:themeColor="background1" w:themeShade="80"/>
                    <w:sz w:val="18"/>
                    <w:szCs w:val="18"/>
                    <w:lang w:val="en-GB" w:eastAsia="en-GB"/>
                  </w:rPr>
                  <w:t xml:space="preserve"> (Please update for each resubmission.)</w:t>
                </w:r>
                <w:r w:rsidR="00455FC0" w:rsidRPr="00C112CE">
                  <w:rPr>
                    <w:rFonts w:ascii="Arial" w:eastAsia="Times New Roman" w:hAnsi="Arial" w:cs="Arial"/>
                    <w:bCs/>
                    <w:color w:val="808080" w:themeColor="background1" w:themeShade="80"/>
                    <w:sz w:val="18"/>
                    <w:szCs w:val="18"/>
                    <w:lang w:val="en-GB" w:eastAsia="en-GB"/>
                  </w:rPr>
                  <w:t xml:space="preserve"> </w:t>
                </w:r>
              </w:sdtContent>
            </w:sdt>
            <w:r w:rsidR="00455FC0" w:rsidRPr="00C112CE">
              <w:rPr>
                <w:rFonts w:ascii="Arial" w:eastAsia="Times New Roman" w:hAnsi="Arial" w:cs="Arial"/>
                <w:bCs/>
                <w:color w:val="808080" w:themeColor="background1" w:themeShade="80"/>
                <w:sz w:val="18"/>
                <w:szCs w:val="18"/>
                <w:lang w:val="en-GB" w:eastAsia="en-GB"/>
              </w:rPr>
              <w:t xml:space="preserve"> </w:t>
            </w:r>
          </w:p>
        </w:tc>
        <w:tc>
          <w:tcPr>
            <w:tcW w:w="1618" w:type="dxa"/>
            <w:gridSpan w:val="3"/>
            <w:tcBorders>
              <w:bottom w:val="single" w:sz="2" w:space="0" w:color="auto"/>
            </w:tcBorders>
            <w:shd w:val="clear" w:color="auto" w:fill="F2F2F2" w:themeFill="background1" w:themeFillShade="F2"/>
            <w:vAlign w:val="center"/>
          </w:tcPr>
          <w:p w14:paraId="16386A22" w14:textId="77777777" w:rsidR="00455FC0" w:rsidRPr="00CB141A" w:rsidRDefault="00455FC0" w:rsidP="00035D76">
            <w:pPr>
              <w:keepNext/>
              <w:spacing w:before="60" w:after="60" w:line="240" w:lineRule="auto"/>
              <w:rPr>
                <w:rFonts w:ascii="Arial" w:hAnsi="Arial" w:cs="Arial"/>
                <w:sz w:val="18"/>
                <w:szCs w:val="18"/>
              </w:rPr>
            </w:pPr>
            <w:r>
              <w:rPr>
                <w:rFonts w:ascii="Arial" w:eastAsia="Times New Roman" w:hAnsi="Arial" w:cs="Arial"/>
                <w:b/>
                <w:color w:val="24634F"/>
                <w:sz w:val="18"/>
                <w:szCs w:val="18"/>
                <w:lang w:eastAsia="ja-JP"/>
              </w:rPr>
              <w:t>Version number</w:t>
            </w:r>
          </w:p>
        </w:tc>
        <w:tc>
          <w:tcPr>
            <w:tcW w:w="2430" w:type="dxa"/>
            <w:tcBorders>
              <w:bottom w:val="single" w:sz="2" w:space="0" w:color="auto"/>
            </w:tcBorders>
            <w:shd w:val="clear" w:color="auto" w:fill="auto"/>
            <w:vAlign w:val="center"/>
          </w:tcPr>
          <w:p w14:paraId="0D4C54E0" w14:textId="1D1197C6" w:rsidR="00455FC0" w:rsidRPr="00CB141A" w:rsidRDefault="00455FC0" w:rsidP="00035D76">
            <w:pPr>
              <w:spacing w:after="0" w:line="276" w:lineRule="auto"/>
              <w:ind w:right="-29"/>
              <w:rPr>
                <w:rFonts w:ascii="Arial" w:hAnsi="Arial" w:cs="Arial"/>
                <w:sz w:val="18"/>
                <w:szCs w:val="18"/>
              </w:rPr>
            </w:pPr>
            <w:r w:rsidRPr="00C112CE">
              <w:rPr>
                <w:rFonts w:ascii="Arial" w:eastAsia="Times New Roman" w:hAnsi="Arial" w:cs="Arial"/>
                <w:bCs/>
                <w:color w:val="808080" w:themeColor="background1" w:themeShade="80"/>
                <w:sz w:val="18"/>
                <w:szCs w:val="18"/>
                <w:lang w:val="en-GB" w:eastAsia="en-GB"/>
              </w:rPr>
              <w:t>V.</w:t>
            </w:r>
            <w:r w:rsidR="004D3F21">
              <w:rPr>
                <w:rFonts w:ascii="Arial" w:hAnsi="Arial" w:cs="Arial"/>
                <w:sz w:val="18"/>
                <w:szCs w:val="18"/>
              </w:rPr>
              <w:t>1</w:t>
            </w:r>
          </w:p>
        </w:tc>
      </w:tr>
      <w:tr w:rsidR="00455FC0" w:rsidRPr="001B2195" w14:paraId="78BB75F6" w14:textId="77777777" w:rsidTr="00035D76">
        <w:trPr>
          <w:trHeight w:val="160"/>
        </w:trPr>
        <w:tc>
          <w:tcPr>
            <w:tcW w:w="1797" w:type="dxa"/>
            <w:vMerge w:val="restart"/>
            <w:tcBorders>
              <w:right w:val="single" w:sz="2" w:space="0" w:color="auto"/>
            </w:tcBorders>
            <w:shd w:val="clear" w:color="auto" w:fill="F2F2F2" w:themeFill="background1" w:themeFillShade="F2"/>
            <w:noWrap/>
            <w:vAlign w:val="center"/>
          </w:tcPr>
          <w:p w14:paraId="4F3A0E0C" w14:textId="77777777" w:rsidR="00455FC0" w:rsidRPr="00EC14D3" w:rsidRDefault="00455FC0" w:rsidP="00035D76">
            <w:pPr>
              <w:keepNext/>
              <w:spacing w:before="60" w:after="60" w:line="240" w:lineRule="auto"/>
              <w:rPr>
                <w:rFonts w:ascii="Arial" w:eastAsia="Times New Roman" w:hAnsi="Arial" w:cs="Arial"/>
                <w:b/>
                <w:color w:val="24634F"/>
                <w:sz w:val="18"/>
                <w:szCs w:val="18"/>
                <w:lang w:eastAsia="ja-JP"/>
              </w:rPr>
            </w:pPr>
            <w:r w:rsidRPr="00EC14D3">
              <w:rPr>
                <w:rFonts w:ascii="Arial" w:eastAsia="Times New Roman" w:hAnsi="Arial" w:cs="Arial"/>
                <w:b/>
                <w:color w:val="24634F"/>
                <w:sz w:val="18"/>
                <w:szCs w:val="18"/>
                <w:lang w:eastAsia="ja-JP"/>
              </w:rPr>
              <w:t xml:space="preserve">Which </w:t>
            </w:r>
            <w:r>
              <w:rPr>
                <w:rFonts w:ascii="Arial" w:eastAsia="Times New Roman" w:hAnsi="Arial" w:cs="Arial"/>
                <w:b/>
                <w:color w:val="24634F"/>
                <w:sz w:val="18"/>
                <w:szCs w:val="18"/>
                <w:lang w:eastAsia="ja-JP"/>
              </w:rPr>
              <w:t>institution</w:t>
            </w:r>
            <w:r w:rsidRPr="00EC14D3">
              <w:rPr>
                <w:rFonts w:ascii="Arial" w:eastAsia="Times New Roman" w:hAnsi="Arial" w:cs="Arial"/>
                <w:b/>
                <w:color w:val="24634F"/>
                <w:sz w:val="18"/>
                <w:szCs w:val="18"/>
                <w:lang w:eastAsia="ja-JP"/>
              </w:rPr>
              <w:t xml:space="preserve"> will implement the Readiness and Preparatory Support project?</w:t>
            </w:r>
          </w:p>
        </w:tc>
        <w:tc>
          <w:tcPr>
            <w:tcW w:w="7288" w:type="dxa"/>
            <w:gridSpan w:val="7"/>
            <w:tcBorders>
              <w:top w:val="single" w:sz="2" w:space="0" w:color="auto"/>
              <w:left w:val="single" w:sz="2" w:space="0" w:color="auto"/>
              <w:bottom w:val="nil"/>
              <w:right w:val="single" w:sz="2" w:space="0" w:color="auto"/>
            </w:tcBorders>
            <w:shd w:val="clear" w:color="auto" w:fill="auto"/>
            <w:vAlign w:val="center"/>
          </w:tcPr>
          <w:p w14:paraId="0139D3CE" w14:textId="77777777" w:rsidR="00455FC0" w:rsidRPr="00CB141A" w:rsidRDefault="009908EA" w:rsidP="00035D76">
            <w:pPr>
              <w:keepNext/>
              <w:spacing w:before="60" w:after="60" w:line="240" w:lineRule="auto"/>
              <w:rPr>
                <w:rFonts w:ascii="Arial" w:hAnsi="Arial" w:cs="Arial"/>
                <w:color w:val="000000"/>
                <w:sz w:val="18"/>
                <w:szCs w:val="18"/>
              </w:rPr>
            </w:pPr>
            <w:sdt>
              <w:sdtPr>
                <w:rPr>
                  <w:rFonts w:ascii="Arial" w:hAnsi="Arial" w:cs="Arial"/>
                  <w:color w:val="000000"/>
                  <w:sz w:val="18"/>
                  <w:szCs w:val="18"/>
                </w:rPr>
                <w:id w:val="548961641"/>
                <w14:checkbox>
                  <w14:checked w14:val="0"/>
                  <w14:checkedState w14:val="2612" w14:font="MS Gothic"/>
                  <w14:uncheckedState w14:val="2610" w14:font="MS Gothic"/>
                </w14:checkbox>
              </w:sdtPr>
              <w:sdtContent>
                <w:r w:rsidR="00455FC0" w:rsidRPr="00CB141A">
                  <w:rPr>
                    <w:rFonts w:ascii="Segoe UI Symbol" w:eastAsia="MS Gothic" w:hAnsi="Segoe UI Symbol" w:cs="Segoe UI Symbol"/>
                    <w:color w:val="000000"/>
                    <w:sz w:val="18"/>
                    <w:szCs w:val="18"/>
                  </w:rPr>
                  <w:t>☐</w:t>
                </w:r>
              </w:sdtContent>
            </w:sdt>
            <w:r w:rsidR="00455FC0" w:rsidRPr="00CB141A">
              <w:rPr>
                <w:rFonts w:ascii="Arial" w:hAnsi="Arial" w:cs="Arial"/>
                <w:color w:val="000000"/>
                <w:sz w:val="18"/>
                <w:szCs w:val="18"/>
              </w:rPr>
              <w:t xml:space="preserve"> National </w:t>
            </w:r>
            <w:r w:rsidR="00455FC0">
              <w:rPr>
                <w:rFonts w:ascii="Arial" w:hAnsi="Arial" w:cs="Arial"/>
                <w:color w:val="000000"/>
                <w:sz w:val="18"/>
                <w:szCs w:val="18"/>
              </w:rPr>
              <w:t>d</w:t>
            </w:r>
            <w:r w:rsidR="00455FC0" w:rsidRPr="00CB141A">
              <w:rPr>
                <w:rFonts w:ascii="Arial" w:hAnsi="Arial" w:cs="Arial"/>
                <w:color w:val="000000"/>
                <w:sz w:val="18"/>
                <w:szCs w:val="18"/>
              </w:rPr>
              <w:t xml:space="preserve">esignated </w:t>
            </w:r>
            <w:r w:rsidR="00455FC0">
              <w:rPr>
                <w:rFonts w:ascii="Arial" w:hAnsi="Arial" w:cs="Arial"/>
                <w:color w:val="000000"/>
                <w:sz w:val="18"/>
                <w:szCs w:val="18"/>
              </w:rPr>
              <w:t>a</w:t>
            </w:r>
            <w:r w:rsidR="00455FC0" w:rsidRPr="00CB141A">
              <w:rPr>
                <w:rFonts w:ascii="Arial" w:hAnsi="Arial" w:cs="Arial"/>
                <w:color w:val="000000"/>
                <w:sz w:val="18"/>
                <w:szCs w:val="18"/>
              </w:rPr>
              <w:t>uthority</w:t>
            </w:r>
          </w:p>
          <w:p w14:paraId="227F3977" w14:textId="77777777" w:rsidR="00455FC0" w:rsidRPr="00CB141A" w:rsidRDefault="009908EA" w:rsidP="00035D76">
            <w:pPr>
              <w:keepNext/>
              <w:spacing w:before="60" w:after="60" w:line="240" w:lineRule="auto"/>
              <w:rPr>
                <w:rFonts w:ascii="Arial" w:hAnsi="Arial" w:cs="Arial"/>
                <w:color w:val="000000"/>
                <w:sz w:val="18"/>
                <w:szCs w:val="18"/>
              </w:rPr>
            </w:pPr>
            <w:sdt>
              <w:sdtPr>
                <w:rPr>
                  <w:rFonts w:ascii="Arial" w:hAnsi="Arial" w:cs="Arial"/>
                  <w:color w:val="000000"/>
                  <w:sz w:val="18"/>
                  <w:szCs w:val="18"/>
                </w:rPr>
                <w:id w:val="-957334223"/>
                <w14:checkbox>
                  <w14:checked w14:val="0"/>
                  <w14:checkedState w14:val="2612" w14:font="MS Gothic"/>
                  <w14:uncheckedState w14:val="2610" w14:font="MS Gothic"/>
                </w14:checkbox>
              </w:sdtPr>
              <w:sdtContent>
                <w:r w:rsidR="00455FC0" w:rsidRPr="00CB141A">
                  <w:rPr>
                    <w:rFonts w:ascii="Segoe UI Symbol" w:eastAsia="MS Gothic" w:hAnsi="Segoe UI Symbol" w:cs="Segoe UI Symbol"/>
                    <w:color w:val="000000"/>
                    <w:sz w:val="18"/>
                    <w:szCs w:val="18"/>
                  </w:rPr>
                  <w:t>☐</w:t>
                </w:r>
              </w:sdtContent>
            </w:sdt>
            <w:r w:rsidR="00455FC0" w:rsidRPr="00CB141A">
              <w:rPr>
                <w:rFonts w:ascii="Arial" w:hAnsi="Arial" w:cs="Arial"/>
                <w:color w:val="000000"/>
                <w:sz w:val="18"/>
                <w:szCs w:val="18"/>
              </w:rPr>
              <w:t xml:space="preserve"> Accredited </w:t>
            </w:r>
            <w:r w:rsidR="00455FC0">
              <w:rPr>
                <w:rFonts w:ascii="Arial" w:hAnsi="Arial" w:cs="Arial"/>
                <w:color w:val="000000"/>
                <w:sz w:val="18"/>
                <w:szCs w:val="18"/>
              </w:rPr>
              <w:t>e</w:t>
            </w:r>
            <w:r w:rsidR="00455FC0" w:rsidRPr="00CB141A">
              <w:rPr>
                <w:rFonts w:ascii="Arial" w:hAnsi="Arial" w:cs="Arial"/>
                <w:color w:val="000000"/>
                <w:sz w:val="18"/>
                <w:szCs w:val="18"/>
              </w:rPr>
              <w:t>ntity</w:t>
            </w:r>
          </w:p>
          <w:p w14:paraId="05CC437B" w14:textId="3CDCAE55" w:rsidR="00455FC0" w:rsidRDefault="009908EA" w:rsidP="00035D76">
            <w:pPr>
              <w:keepNext/>
              <w:spacing w:before="60" w:after="60" w:line="240" w:lineRule="auto"/>
              <w:rPr>
                <w:rFonts w:ascii="Arial" w:hAnsi="Arial" w:cs="Arial"/>
                <w:color w:val="000000"/>
                <w:sz w:val="18"/>
                <w:szCs w:val="18"/>
              </w:rPr>
            </w:pPr>
            <w:sdt>
              <w:sdtPr>
                <w:rPr>
                  <w:rFonts w:ascii="Arial" w:hAnsi="Arial" w:cs="Arial"/>
                  <w:color w:val="000000"/>
                  <w:sz w:val="18"/>
                  <w:szCs w:val="18"/>
                </w:rPr>
                <w:id w:val="506799460"/>
                <w14:checkbox>
                  <w14:checked w14:val="1"/>
                  <w14:checkedState w14:val="2612" w14:font="MS Gothic"/>
                  <w14:uncheckedState w14:val="2610" w14:font="MS Gothic"/>
                </w14:checkbox>
              </w:sdtPr>
              <w:sdtContent>
                <w:r w:rsidR="004D3F21">
                  <w:rPr>
                    <w:rFonts w:ascii="MS Gothic" w:eastAsia="MS Gothic" w:hAnsi="MS Gothic" w:cs="Arial" w:hint="eastAsia"/>
                    <w:color w:val="000000"/>
                    <w:sz w:val="18"/>
                    <w:szCs w:val="18"/>
                  </w:rPr>
                  <w:t>☒</w:t>
                </w:r>
              </w:sdtContent>
            </w:sdt>
            <w:r w:rsidR="00455FC0" w:rsidRPr="00CB141A">
              <w:rPr>
                <w:rFonts w:ascii="Arial" w:hAnsi="Arial" w:cs="Arial"/>
                <w:color w:val="000000"/>
                <w:sz w:val="18"/>
                <w:szCs w:val="18"/>
              </w:rPr>
              <w:t xml:space="preserve"> Delivery </w:t>
            </w:r>
            <w:r w:rsidR="00455FC0">
              <w:rPr>
                <w:rFonts w:ascii="Arial" w:hAnsi="Arial" w:cs="Arial"/>
                <w:color w:val="000000"/>
                <w:sz w:val="18"/>
                <w:szCs w:val="18"/>
              </w:rPr>
              <w:t>p</w:t>
            </w:r>
            <w:r w:rsidR="00455FC0" w:rsidRPr="00CB141A">
              <w:rPr>
                <w:rFonts w:ascii="Arial" w:hAnsi="Arial" w:cs="Arial"/>
                <w:color w:val="000000"/>
                <w:sz w:val="18"/>
                <w:szCs w:val="18"/>
              </w:rPr>
              <w:t>artner</w:t>
            </w:r>
          </w:p>
          <w:p w14:paraId="08457BF9" w14:textId="77777777" w:rsidR="00455FC0" w:rsidRPr="00CB141A" w:rsidRDefault="00455FC0" w:rsidP="00035D76">
            <w:pPr>
              <w:keepNext/>
              <w:spacing w:after="0" w:line="240" w:lineRule="auto"/>
              <w:contextualSpacing/>
              <w:rPr>
                <w:rFonts w:ascii="Arial" w:hAnsi="Arial" w:cs="Arial"/>
                <w:color w:val="000000"/>
                <w:sz w:val="18"/>
                <w:szCs w:val="18"/>
              </w:rPr>
            </w:pPr>
          </w:p>
          <w:p w14:paraId="6CB1B6B7" w14:textId="77777777" w:rsidR="00455FC0" w:rsidRPr="006E6E8C" w:rsidRDefault="00455FC0" w:rsidP="00035D76">
            <w:pPr>
              <w:keepNext/>
              <w:spacing w:after="60" w:line="240" w:lineRule="auto"/>
              <w:rPr>
                <w:rFonts w:ascii="Arial" w:hAnsi="Arial" w:cs="Arial"/>
                <w:sz w:val="18"/>
                <w:szCs w:val="18"/>
              </w:rPr>
            </w:pPr>
            <w:r w:rsidRPr="00441BF8">
              <w:rPr>
                <w:rFonts w:ascii="Arial" w:hAnsi="Arial" w:cs="Arial"/>
                <w:color w:val="808080" w:themeColor="background1" w:themeShade="80"/>
                <w:sz w:val="18"/>
                <w:szCs w:val="18"/>
              </w:rPr>
              <w:t>Please provide contact information if the implementing partner is not the NDA/focal point</w:t>
            </w:r>
          </w:p>
        </w:tc>
      </w:tr>
      <w:tr w:rsidR="005D58F8" w:rsidRPr="001B2195" w14:paraId="461D353D" w14:textId="77777777" w:rsidTr="00035D76">
        <w:trPr>
          <w:trHeight w:val="160"/>
        </w:trPr>
        <w:tc>
          <w:tcPr>
            <w:tcW w:w="1797" w:type="dxa"/>
            <w:vMerge/>
            <w:tcBorders>
              <w:right w:val="single" w:sz="2" w:space="0" w:color="auto"/>
            </w:tcBorders>
            <w:shd w:val="clear" w:color="auto" w:fill="F2F2F2" w:themeFill="background1" w:themeFillShade="F2"/>
            <w:noWrap/>
            <w:vAlign w:val="center"/>
          </w:tcPr>
          <w:p w14:paraId="4AA9611E" w14:textId="77777777" w:rsidR="005D58F8" w:rsidRPr="00EC14D3" w:rsidRDefault="005D58F8" w:rsidP="005D58F8">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5EFF9463" w14:textId="77777777" w:rsidR="005D58F8" w:rsidRPr="00CB141A" w:rsidRDefault="005D58F8" w:rsidP="005D58F8">
            <w:pPr>
              <w:keepNext/>
              <w:spacing w:before="60" w:after="60" w:line="240" w:lineRule="auto"/>
              <w:rPr>
                <w:rFonts w:ascii="Arial" w:hAnsi="Arial" w:cs="Arial"/>
                <w:sz w:val="18"/>
                <w:szCs w:val="18"/>
              </w:rPr>
            </w:pPr>
            <w:r w:rsidRPr="00CB141A">
              <w:rPr>
                <w:rFonts w:ascii="Arial" w:hAnsi="Arial" w:cs="Arial"/>
                <w:sz w:val="18"/>
                <w:szCs w:val="18"/>
              </w:rPr>
              <w:t>Name of institution:</w:t>
            </w:r>
          </w:p>
        </w:tc>
        <w:tc>
          <w:tcPr>
            <w:tcW w:w="3778" w:type="dxa"/>
            <w:gridSpan w:val="3"/>
            <w:tcBorders>
              <w:top w:val="nil"/>
              <w:left w:val="nil"/>
              <w:bottom w:val="nil"/>
              <w:right w:val="single" w:sz="2" w:space="0" w:color="auto"/>
            </w:tcBorders>
            <w:shd w:val="clear" w:color="auto" w:fill="auto"/>
            <w:vAlign w:val="center"/>
          </w:tcPr>
          <w:p w14:paraId="68690FA9" w14:textId="77777777" w:rsidR="005D58F8" w:rsidRPr="000F09E9" w:rsidRDefault="005D58F8" w:rsidP="005D58F8">
            <w:pPr>
              <w:keepNext/>
              <w:spacing w:before="60" w:after="60" w:line="240" w:lineRule="auto"/>
              <w:rPr>
                <w:rFonts w:ascii="Arial" w:hAnsi="Arial" w:cs="Arial"/>
                <w:sz w:val="18"/>
                <w:szCs w:val="18"/>
              </w:rPr>
            </w:pPr>
            <w:r w:rsidRPr="000F09E9">
              <w:rPr>
                <w:rFonts w:ascii="Arial" w:hAnsi="Arial" w:cs="Arial"/>
                <w:color w:val="000000"/>
                <w:sz w:val="18"/>
                <w:lang w:eastAsia="en-GB"/>
              </w:rPr>
              <w:t>United Nations Environment Programme (UNEP)</w:t>
            </w:r>
            <w:r w:rsidRPr="000F09E9">
              <w:rPr>
                <w:rFonts w:ascii="Arial" w:hAnsi="Arial" w:cs="Arial"/>
                <w:sz w:val="18"/>
                <w:szCs w:val="18"/>
              </w:rPr>
              <w:t xml:space="preserve"> on behalf</w:t>
            </w:r>
          </w:p>
          <w:p w14:paraId="0DEC87AA" w14:textId="218ABBE2" w:rsidR="005D58F8" w:rsidRPr="00441BF8" w:rsidRDefault="005D58F8" w:rsidP="005D58F8">
            <w:pPr>
              <w:keepNext/>
              <w:spacing w:before="60" w:after="60" w:line="240" w:lineRule="auto"/>
              <w:rPr>
                <w:rFonts w:ascii="Arial" w:hAnsi="Arial" w:cs="Arial"/>
                <w:color w:val="808080" w:themeColor="background1" w:themeShade="80"/>
                <w:sz w:val="18"/>
                <w:szCs w:val="18"/>
              </w:rPr>
            </w:pPr>
            <w:r w:rsidRPr="000F09E9">
              <w:rPr>
                <w:rFonts w:ascii="Arial" w:hAnsi="Arial" w:cs="Arial"/>
                <w:sz w:val="18"/>
                <w:szCs w:val="18"/>
              </w:rPr>
              <w:t>of The Climate Technology Centre and Network (CTCN)</w:t>
            </w:r>
          </w:p>
        </w:tc>
      </w:tr>
      <w:tr w:rsidR="005D58F8" w:rsidRPr="001B2195" w14:paraId="5C2DB4EC" w14:textId="77777777" w:rsidTr="00035D76">
        <w:trPr>
          <w:trHeight w:val="160"/>
        </w:trPr>
        <w:tc>
          <w:tcPr>
            <w:tcW w:w="1797" w:type="dxa"/>
            <w:vMerge/>
            <w:tcBorders>
              <w:right w:val="single" w:sz="2" w:space="0" w:color="auto"/>
            </w:tcBorders>
            <w:shd w:val="clear" w:color="auto" w:fill="F2F2F2" w:themeFill="background1" w:themeFillShade="F2"/>
            <w:noWrap/>
            <w:vAlign w:val="center"/>
          </w:tcPr>
          <w:p w14:paraId="69902CA4" w14:textId="77777777" w:rsidR="005D58F8" w:rsidRPr="00EC14D3" w:rsidRDefault="005D58F8" w:rsidP="005D58F8">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5B0D745B" w14:textId="77777777" w:rsidR="005D58F8" w:rsidRPr="00CB141A" w:rsidRDefault="005D58F8" w:rsidP="005D58F8">
            <w:pPr>
              <w:keepNext/>
              <w:spacing w:before="60" w:after="60" w:line="240" w:lineRule="auto"/>
              <w:rPr>
                <w:rFonts w:ascii="Arial" w:hAnsi="Arial" w:cs="Arial"/>
                <w:sz w:val="18"/>
                <w:szCs w:val="18"/>
              </w:rPr>
            </w:pPr>
            <w:r w:rsidRPr="00CB141A">
              <w:rPr>
                <w:rFonts w:ascii="Arial" w:hAnsi="Arial" w:cs="Arial"/>
                <w:sz w:val="18"/>
                <w:szCs w:val="18"/>
              </w:rPr>
              <w:t>Name of official:</w:t>
            </w:r>
          </w:p>
        </w:tc>
        <w:tc>
          <w:tcPr>
            <w:tcW w:w="3778" w:type="dxa"/>
            <w:gridSpan w:val="3"/>
            <w:tcBorders>
              <w:top w:val="nil"/>
              <w:left w:val="nil"/>
              <w:bottom w:val="nil"/>
              <w:right w:val="single" w:sz="2" w:space="0" w:color="auto"/>
            </w:tcBorders>
            <w:shd w:val="clear" w:color="auto" w:fill="auto"/>
            <w:vAlign w:val="center"/>
          </w:tcPr>
          <w:p w14:paraId="2E35ACAA" w14:textId="303B49A4" w:rsidR="005D58F8" w:rsidRPr="00441BF8" w:rsidRDefault="005D58F8" w:rsidP="005D58F8">
            <w:pPr>
              <w:keepNext/>
              <w:spacing w:before="60" w:after="60" w:line="240" w:lineRule="auto"/>
              <w:rPr>
                <w:rFonts w:ascii="Arial" w:hAnsi="Arial" w:cs="Arial"/>
                <w:color w:val="808080" w:themeColor="background1" w:themeShade="80"/>
                <w:sz w:val="18"/>
                <w:szCs w:val="18"/>
              </w:rPr>
            </w:pPr>
            <w:r w:rsidRPr="00796EB8">
              <w:rPr>
                <w:rFonts w:ascii="Arial" w:hAnsi="Arial" w:cs="Arial"/>
                <w:sz w:val="18"/>
                <w:szCs w:val="18"/>
              </w:rPr>
              <w:t xml:space="preserve">Rose </w:t>
            </w:r>
            <w:proofErr w:type="spellStart"/>
            <w:r w:rsidRPr="00796EB8">
              <w:rPr>
                <w:rFonts w:ascii="Arial" w:hAnsi="Arial" w:cs="Arial"/>
                <w:sz w:val="18"/>
                <w:szCs w:val="18"/>
              </w:rPr>
              <w:t>Mwebaza</w:t>
            </w:r>
            <w:proofErr w:type="spellEnd"/>
          </w:p>
        </w:tc>
      </w:tr>
      <w:tr w:rsidR="005D58F8" w:rsidRPr="001B2195" w14:paraId="3035DA3F" w14:textId="77777777" w:rsidTr="00035D76">
        <w:trPr>
          <w:trHeight w:val="160"/>
        </w:trPr>
        <w:tc>
          <w:tcPr>
            <w:tcW w:w="1797" w:type="dxa"/>
            <w:vMerge/>
            <w:tcBorders>
              <w:right w:val="single" w:sz="2" w:space="0" w:color="auto"/>
            </w:tcBorders>
            <w:shd w:val="clear" w:color="auto" w:fill="F2F2F2" w:themeFill="background1" w:themeFillShade="F2"/>
            <w:noWrap/>
            <w:vAlign w:val="center"/>
          </w:tcPr>
          <w:p w14:paraId="6082A04B" w14:textId="77777777" w:rsidR="005D58F8" w:rsidRPr="00EC14D3" w:rsidRDefault="005D58F8" w:rsidP="005D58F8">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0E4C3FEE" w14:textId="77777777" w:rsidR="005D58F8" w:rsidRPr="00CB141A" w:rsidRDefault="005D58F8" w:rsidP="005D58F8">
            <w:pPr>
              <w:keepNext/>
              <w:spacing w:before="60" w:after="60" w:line="240" w:lineRule="auto"/>
              <w:rPr>
                <w:rFonts w:ascii="Arial" w:hAnsi="Arial" w:cs="Arial"/>
                <w:sz w:val="18"/>
                <w:szCs w:val="18"/>
              </w:rPr>
            </w:pPr>
            <w:r w:rsidRPr="00CB141A">
              <w:rPr>
                <w:rFonts w:ascii="Arial" w:hAnsi="Arial" w:cs="Arial"/>
                <w:sz w:val="18"/>
                <w:szCs w:val="18"/>
              </w:rPr>
              <w:t>Position:</w:t>
            </w:r>
          </w:p>
        </w:tc>
        <w:tc>
          <w:tcPr>
            <w:tcW w:w="3778" w:type="dxa"/>
            <w:gridSpan w:val="3"/>
            <w:tcBorders>
              <w:top w:val="nil"/>
              <w:left w:val="nil"/>
              <w:bottom w:val="nil"/>
              <w:right w:val="single" w:sz="2" w:space="0" w:color="auto"/>
            </w:tcBorders>
            <w:shd w:val="clear" w:color="auto" w:fill="auto"/>
            <w:vAlign w:val="center"/>
          </w:tcPr>
          <w:p w14:paraId="1E3D4968" w14:textId="1C4FB2D8" w:rsidR="005D58F8" w:rsidRPr="00441BF8" w:rsidRDefault="005D58F8" w:rsidP="005D58F8">
            <w:pPr>
              <w:keepNext/>
              <w:spacing w:before="60" w:after="60" w:line="240" w:lineRule="auto"/>
              <w:rPr>
                <w:rFonts w:ascii="Arial" w:hAnsi="Arial" w:cs="Arial"/>
                <w:color w:val="808080" w:themeColor="background1" w:themeShade="80"/>
                <w:sz w:val="18"/>
                <w:szCs w:val="18"/>
              </w:rPr>
            </w:pPr>
            <w:r w:rsidRPr="00796EB8">
              <w:rPr>
                <w:rFonts w:ascii="Arial" w:hAnsi="Arial" w:cs="Arial"/>
                <w:sz w:val="18"/>
                <w:szCs w:val="18"/>
              </w:rPr>
              <w:t>CTCN Director</w:t>
            </w:r>
          </w:p>
        </w:tc>
      </w:tr>
      <w:tr w:rsidR="005D58F8" w:rsidRPr="001B2195" w14:paraId="6004DB9F" w14:textId="77777777" w:rsidTr="00035D76">
        <w:trPr>
          <w:trHeight w:val="160"/>
        </w:trPr>
        <w:tc>
          <w:tcPr>
            <w:tcW w:w="1797" w:type="dxa"/>
            <w:vMerge/>
            <w:tcBorders>
              <w:right w:val="single" w:sz="2" w:space="0" w:color="auto"/>
            </w:tcBorders>
            <w:shd w:val="clear" w:color="auto" w:fill="F2F2F2" w:themeFill="background1" w:themeFillShade="F2"/>
            <w:noWrap/>
            <w:vAlign w:val="center"/>
          </w:tcPr>
          <w:p w14:paraId="1D0276F5" w14:textId="77777777" w:rsidR="005D58F8" w:rsidRPr="00EC14D3" w:rsidRDefault="005D58F8" w:rsidP="005D58F8">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029A6734" w14:textId="77777777" w:rsidR="005D58F8" w:rsidRPr="00CB141A" w:rsidRDefault="005D58F8" w:rsidP="005D58F8">
            <w:pPr>
              <w:keepNext/>
              <w:spacing w:before="60" w:after="60" w:line="240" w:lineRule="auto"/>
              <w:rPr>
                <w:rFonts w:ascii="Arial" w:hAnsi="Arial" w:cs="Arial"/>
                <w:sz w:val="18"/>
                <w:szCs w:val="18"/>
              </w:rPr>
            </w:pPr>
            <w:r w:rsidRPr="00CB141A">
              <w:rPr>
                <w:rFonts w:ascii="Arial" w:hAnsi="Arial" w:cs="Arial"/>
                <w:sz w:val="18"/>
                <w:szCs w:val="18"/>
              </w:rPr>
              <w:t>Telephone number:</w:t>
            </w:r>
          </w:p>
        </w:tc>
        <w:tc>
          <w:tcPr>
            <w:tcW w:w="3778" w:type="dxa"/>
            <w:gridSpan w:val="3"/>
            <w:tcBorders>
              <w:top w:val="nil"/>
              <w:left w:val="nil"/>
              <w:bottom w:val="nil"/>
              <w:right w:val="single" w:sz="2" w:space="0" w:color="auto"/>
            </w:tcBorders>
            <w:shd w:val="clear" w:color="auto" w:fill="auto"/>
            <w:vAlign w:val="center"/>
          </w:tcPr>
          <w:p w14:paraId="7875F354" w14:textId="0CA2671A" w:rsidR="005D58F8" w:rsidRPr="00441BF8" w:rsidRDefault="005D58F8" w:rsidP="005D58F8">
            <w:pPr>
              <w:keepNext/>
              <w:spacing w:before="60" w:after="60" w:line="240" w:lineRule="auto"/>
              <w:rPr>
                <w:rFonts w:ascii="Arial" w:hAnsi="Arial" w:cs="Arial"/>
                <w:color w:val="808080" w:themeColor="background1" w:themeShade="80"/>
                <w:sz w:val="18"/>
                <w:szCs w:val="18"/>
              </w:rPr>
            </w:pPr>
            <w:r w:rsidRPr="00796EB8">
              <w:rPr>
                <w:rFonts w:ascii="Arial" w:hAnsi="Arial" w:cs="Arial"/>
                <w:sz w:val="18"/>
                <w:szCs w:val="18"/>
              </w:rPr>
              <w:t>+45 45</w:t>
            </w:r>
            <w:r>
              <w:rPr>
                <w:rFonts w:ascii="Arial" w:hAnsi="Arial" w:cs="Arial"/>
                <w:sz w:val="18"/>
                <w:szCs w:val="18"/>
              </w:rPr>
              <w:t xml:space="preserve"> 335380</w:t>
            </w:r>
          </w:p>
        </w:tc>
      </w:tr>
      <w:tr w:rsidR="005D58F8" w:rsidRPr="001B2195" w14:paraId="076EF9D6" w14:textId="77777777" w:rsidTr="00035D76">
        <w:trPr>
          <w:trHeight w:val="160"/>
        </w:trPr>
        <w:tc>
          <w:tcPr>
            <w:tcW w:w="1797" w:type="dxa"/>
            <w:vMerge/>
            <w:tcBorders>
              <w:right w:val="single" w:sz="2" w:space="0" w:color="auto"/>
            </w:tcBorders>
            <w:shd w:val="clear" w:color="auto" w:fill="F2F2F2" w:themeFill="background1" w:themeFillShade="F2"/>
            <w:noWrap/>
            <w:vAlign w:val="center"/>
          </w:tcPr>
          <w:p w14:paraId="356A4824" w14:textId="77777777" w:rsidR="005D58F8" w:rsidRPr="00EC14D3" w:rsidRDefault="005D58F8" w:rsidP="005D58F8">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495E5DB3" w14:textId="77777777" w:rsidR="005D58F8" w:rsidRPr="00CB141A" w:rsidRDefault="005D58F8" w:rsidP="005D58F8">
            <w:pPr>
              <w:keepNext/>
              <w:spacing w:before="60" w:after="60" w:line="240" w:lineRule="auto"/>
              <w:rPr>
                <w:rFonts w:ascii="Arial" w:hAnsi="Arial" w:cs="Arial"/>
                <w:sz w:val="18"/>
                <w:szCs w:val="18"/>
              </w:rPr>
            </w:pPr>
            <w:r w:rsidRPr="00CB141A">
              <w:rPr>
                <w:rFonts w:ascii="Arial" w:hAnsi="Arial" w:cs="Arial"/>
                <w:sz w:val="18"/>
                <w:szCs w:val="18"/>
              </w:rPr>
              <w:t>Email:</w:t>
            </w:r>
          </w:p>
        </w:tc>
        <w:tc>
          <w:tcPr>
            <w:tcW w:w="3778" w:type="dxa"/>
            <w:gridSpan w:val="3"/>
            <w:tcBorders>
              <w:top w:val="nil"/>
              <w:left w:val="nil"/>
              <w:bottom w:val="nil"/>
              <w:right w:val="single" w:sz="2" w:space="0" w:color="auto"/>
            </w:tcBorders>
            <w:shd w:val="clear" w:color="auto" w:fill="auto"/>
            <w:vAlign w:val="center"/>
          </w:tcPr>
          <w:p w14:paraId="443D86F3" w14:textId="142F658F" w:rsidR="005D58F8" w:rsidRPr="00441BF8" w:rsidRDefault="005D58F8" w:rsidP="005D58F8">
            <w:pPr>
              <w:keepNext/>
              <w:spacing w:before="60" w:after="60" w:line="240" w:lineRule="auto"/>
              <w:rPr>
                <w:rFonts w:ascii="Arial" w:hAnsi="Arial" w:cs="Arial"/>
                <w:color w:val="808080" w:themeColor="background1" w:themeShade="80"/>
                <w:sz w:val="18"/>
                <w:szCs w:val="18"/>
              </w:rPr>
            </w:pPr>
            <w:r w:rsidRPr="00796EB8">
              <w:rPr>
                <w:rFonts w:ascii="Arial" w:hAnsi="Arial" w:cs="Arial"/>
                <w:sz w:val="18"/>
                <w:szCs w:val="18"/>
              </w:rPr>
              <w:t>mwebaza@un.org</w:t>
            </w:r>
          </w:p>
        </w:tc>
      </w:tr>
      <w:tr w:rsidR="005D58F8" w:rsidRPr="001B2195" w14:paraId="22C8B233" w14:textId="77777777" w:rsidTr="00035D76">
        <w:trPr>
          <w:trHeight w:val="160"/>
        </w:trPr>
        <w:tc>
          <w:tcPr>
            <w:tcW w:w="1797" w:type="dxa"/>
            <w:vMerge/>
            <w:tcBorders>
              <w:right w:val="single" w:sz="2" w:space="0" w:color="auto"/>
            </w:tcBorders>
            <w:shd w:val="clear" w:color="auto" w:fill="F2F2F2" w:themeFill="background1" w:themeFillShade="F2"/>
            <w:noWrap/>
            <w:vAlign w:val="center"/>
          </w:tcPr>
          <w:p w14:paraId="47734D40" w14:textId="77777777" w:rsidR="005D58F8" w:rsidRPr="00EC14D3" w:rsidRDefault="005D58F8" w:rsidP="005D58F8">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2D67672B" w14:textId="77777777" w:rsidR="005D58F8" w:rsidRPr="00CB141A" w:rsidRDefault="005D58F8" w:rsidP="005D58F8">
            <w:pPr>
              <w:keepNext/>
              <w:spacing w:before="60" w:after="60" w:line="240" w:lineRule="auto"/>
              <w:rPr>
                <w:rFonts w:ascii="Arial" w:hAnsi="Arial" w:cs="Arial"/>
                <w:sz w:val="18"/>
                <w:szCs w:val="18"/>
              </w:rPr>
            </w:pPr>
            <w:r w:rsidRPr="00CB141A">
              <w:rPr>
                <w:rFonts w:ascii="Arial" w:hAnsi="Arial" w:cs="Arial"/>
                <w:sz w:val="18"/>
                <w:szCs w:val="18"/>
              </w:rPr>
              <w:t>Full office address:</w:t>
            </w:r>
          </w:p>
        </w:tc>
        <w:tc>
          <w:tcPr>
            <w:tcW w:w="3778" w:type="dxa"/>
            <w:gridSpan w:val="3"/>
            <w:tcBorders>
              <w:top w:val="nil"/>
              <w:left w:val="nil"/>
              <w:bottom w:val="nil"/>
              <w:right w:val="single" w:sz="2" w:space="0" w:color="auto"/>
            </w:tcBorders>
            <w:shd w:val="clear" w:color="auto" w:fill="auto"/>
            <w:vAlign w:val="center"/>
          </w:tcPr>
          <w:p w14:paraId="72EDAB11" w14:textId="3D3B42B6" w:rsidR="005D58F8" w:rsidRPr="00441BF8" w:rsidRDefault="005D58F8" w:rsidP="005D58F8">
            <w:pPr>
              <w:keepNext/>
              <w:spacing w:before="60" w:after="60" w:line="240" w:lineRule="auto"/>
              <w:rPr>
                <w:rFonts w:ascii="Arial" w:hAnsi="Arial" w:cs="Arial"/>
                <w:color w:val="808080" w:themeColor="background1" w:themeShade="80"/>
                <w:sz w:val="18"/>
                <w:szCs w:val="18"/>
              </w:rPr>
            </w:pPr>
            <w:r w:rsidRPr="000F09E9">
              <w:rPr>
                <w:rFonts w:ascii="Arial" w:hAnsi="Arial" w:cs="Arial"/>
                <w:sz w:val="18"/>
                <w:szCs w:val="18"/>
              </w:rPr>
              <w:t>UNFCCC Climate Technology Centre and Network - UN City, 2100 Copenhagen, Denmark</w:t>
            </w:r>
          </w:p>
        </w:tc>
      </w:tr>
      <w:tr w:rsidR="005D58F8" w:rsidRPr="001B2195" w14:paraId="59816EDF" w14:textId="77777777" w:rsidTr="00035D76">
        <w:trPr>
          <w:trHeight w:val="659"/>
        </w:trPr>
        <w:tc>
          <w:tcPr>
            <w:tcW w:w="1797" w:type="dxa"/>
            <w:vMerge/>
            <w:tcBorders>
              <w:right w:val="single" w:sz="2" w:space="0" w:color="auto"/>
            </w:tcBorders>
            <w:shd w:val="clear" w:color="auto" w:fill="F2F2F2" w:themeFill="background1" w:themeFillShade="F2"/>
            <w:noWrap/>
            <w:vAlign w:val="center"/>
          </w:tcPr>
          <w:p w14:paraId="08690E4C" w14:textId="77777777" w:rsidR="005D58F8" w:rsidRPr="00EC14D3" w:rsidRDefault="005D58F8" w:rsidP="005D58F8">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single" w:sz="2" w:space="0" w:color="auto"/>
              <w:right w:val="nil"/>
            </w:tcBorders>
            <w:shd w:val="clear" w:color="auto" w:fill="auto"/>
            <w:vAlign w:val="center"/>
          </w:tcPr>
          <w:p w14:paraId="41561CD3" w14:textId="77777777" w:rsidR="005D58F8" w:rsidRPr="00CB141A" w:rsidRDefault="005D58F8" w:rsidP="005D58F8">
            <w:pPr>
              <w:keepNext/>
              <w:spacing w:before="60" w:after="60" w:line="240" w:lineRule="auto"/>
              <w:rPr>
                <w:rFonts w:ascii="Arial" w:hAnsi="Arial" w:cs="Arial"/>
                <w:sz w:val="18"/>
                <w:szCs w:val="18"/>
              </w:rPr>
            </w:pPr>
            <w:r w:rsidRPr="00CB141A">
              <w:rPr>
                <w:rFonts w:ascii="Arial" w:hAnsi="Arial" w:cs="Arial"/>
                <w:sz w:val="18"/>
                <w:szCs w:val="18"/>
              </w:rPr>
              <w:t>Additional email addresses that need to be copied on correspondences:</w:t>
            </w:r>
          </w:p>
        </w:tc>
        <w:tc>
          <w:tcPr>
            <w:tcW w:w="3778" w:type="dxa"/>
            <w:gridSpan w:val="3"/>
            <w:tcBorders>
              <w:top w:val="nil"/>
              <w:left w:val="nil"/>
              <w:bottom w:val="single" w:sz="2" w:space="0" w:color="auto"/>
              <w:right w:val="single" w:sz="2" w:space="0" w:color="auto"/>
            </w:tcBorders>
            <w:shd w:val="clear" w:color="auto" w:fill="auto"/>
            <w:vAlign w:val="center"/>
          </w:tcPr>
          <w:p w14:paraId="257B263F" w14:textId="77777777" w:rsidR="005D58F8" w:rsidRPr="000F09E9" w:rsidRDefault="005D58F8" w:rsidP="005D58F8">
            <w:pPr>
              <w:keepNext/>
              <w:spacing w:before="60" w:after="60" w:line="240" w:lineRule="auto"/>
              <w:rPr>
                <w:rFonts w:ascii="Arial" w:hAnsi="Arial" w:cs="Arial"/>
                <w:sz w:val="18"/>
                <w:szCs w:val="18"/>
                <w:lang w:val="es-ES"/>
              </w:rPr>
            </w:pPr>
            <w:r w:rsidRPr="000F09E9">
              <w:rPr>
                <w:rFonts w:ascii="Arial" w:hAnsi="Arial" w:cs="Arial"/>
                <w:sz w:val="18"/>
                <w:szCs w:val="18"/>
                <w:lang w:val="es-ES"/>
              </w:rPr>
              <w:t xml:space="preserve">Rajiv Garg, </w:t>
            </w:r>
            <w:hyperlink r:id="rId20" w:history="1">
              <w:r w:rsidRPr="00666877">
                <w:rPr>
                  <w:rStyle w:val="Hyperlink"/>
                  <w:rFonts w:ascii="Arial" w:hAnsi="Arial" w:cs="Arial"/>
                  <w:sz w:val="18"/>
                  <w:szCs w:val="18"/>
                  <w:lang w:val="es-ES"/>
                </w:rPr>
                <w:t>gargr@un.org</w:t>
              </w:r>
            </w:hyperlink>
            <w:r>
              <w:rPr>
                <w:rFonts w:ascii="Arial" w:hAnsi="Arial" w:cs="Arial"/>
                <w:sz w:val="18"/>
                <w:szCs w:val="18"/>
                <w:lang w:val="es-ES"/>
              </w:rPr>
              <w:t xml:space="preserve"> </w:t>
            </w:r>
          </w:p>
          <w:p w14:paraId="00770878" w14:textId="56397F07" w:rsidR="005D58F8" w:rsidRDefault="005D58F8" w:rsidP="005D58F8">
            <w:pPr>
              <w:keepNext/>
              <w:spacing w:before="60" w:after="60" w:line="240" w:lineRule="auto"/>
              <w:rPr>
                <w:rFonts w:ascii="Arial" w:hAnsi="Arial" w:cs="Arial"/>
                <w:sz w:val="18"/>
                <w:szCs w:val="18"/>
                <w:lang w:val="es-ES"/>
              </w:rPr>
            </w:pPr>
            <w:r>
              <w:rPr>
                <w:rFonts w:ascii="Arial" w:hAnsi="Arial" w:cs="Arial"/>
                <w:sz w:val="18"/>
                <w:szCs w:val="18"/>
                <w:lang w:val="es-ES"/>
              </w:rPr>
              <w:t xml:space="preserve">Ermira </w:t>
            </w:r>
            <w:r w:rsidR="009908EA">
              <w:rPr>
                <w:rFonts w:ascii="Arial" w:hAnsi="Arial" w:cs="Arial"/>
                <w:sz w:val="18"/>
                <w:szCs w:val="18"/>
                <w:lang w:val="es-ES"/>
              </w:rPr>
              <w:t>Fida,</w:t>
            </w:r>
            <w:r>
              <w:rPr>
                <w:rFonts w:ascii="Arial" w:hAnsi="Arial" w:cs="Arial"/>
                <w:sz w:val="18"/>
                <w:szCs w:val="18"/>
                <w:lang w:val="es-ES"/>
              </w:rPr>
              <w:t xml:space="preserve"> </w:t>
            </w:r>
            <w:hyperlink r:id="rId21" w:history="1">
              <w:r w:rsidRPr="00666877">
                <w:rPr>
                  <w:rStyle w:val="Hyperlink"/>
                  <w:rFonts w:ascii="Arial" w:hAnsi="Arial" w:cs="Arial"/>
                  <w:sz w:val="18"/>
                  <w:szCs w:val="18"/>
                  <w:lang w:val="es-ES"/>
                </w:rPr>
                <w:t>ermira.fida@un.org</w:t>
              </w:r>
            </w:hyperlink>
          </w:p>
          <w:p w14:paraId="718CA54E" w14:textId="77777777" w:rsidR="005D58F8" w:rsidRPr="00796EB8" w:rsidRDefault="005D58F8" w:rsidP="005D58F8">
            <w:pPr>
              <w:keepNext/>
              <w:spacing w:before="60" w:after="60" w:line="240" w:lineRule="auto"/>
              <w:rPr>
                <w:rFonts w:ascii="Arial" w:hAnsi="Arial" w:cs="Arial"/>
                <w:sz w:val="18"/>
                <w:szCs w:val="18"/>
                <w:lang w:val="es-ES"/>
              </w:rPr>
            </w:pPr>
            <w:r w:rsidRPr="00796EB8">
              <w:rPr>
                <w:rFonts w:ascii="Arial" w:hAnsi="Arial"/>
                <w:sz w:val="18"/>
              </w:rPr>
              <w:t xml:space="preserve">Hemini Vrontamitis, </w:t>
            </w:r>
            <w:hyperlink r:id="rId22" w:history="1">
              <w:r w:rsidRPr="00666877">
                <w:rPr>
                  <w:rStyle w:val="Hyperlink"/>
                  <w:rFonts w:ascii="Arial" w:hAnsi="Arial"/>
                  <w:sz w:val="18"/>
                </w:rPr>
                <w:t>Hemini.vorntamitis@un.org</w:t>
              </w:r>
            </w:hyperlink>
            <w:r>
              <w:rPr>
                <w:rFonts w:ascii="Arial" w:hAnsi="Arial"/>
                <w:sz w:val="18"/>
              </w:rPr>
              <w:t xml:space="preserve"> </w:t>
            </w:r>
          </w:p>
          <w:p w14:paraId="3BAE86A4" w14:textId="77777777" w:rsidR="005D58F8" w:rsidRPr="000F09E9" w:rsidRDefault="005D58F8" w:rsidP="005D58F8">
            <w:pPr>
              <w:keepNext/>
              <w:spacing w:before="60" w:after="60" w:line="240" w:lineRule="auto"/>
              <w:rPr>
                <w:rFonts w:ascii="Arial" w:hAnsi="Arial" w:cs="Arial"/>
                <w:sz w:val="18"/>
                <w:szCs w:val="18"/>
                <w:lang w:val="es-ES"/>
              </w:rPr>
            </w:pPr>
            <w:r w:rsidRPr="000F09E9">
              <w:rPr>
                <w:rFonts w:ascii="Arial" w:hAnsi="Arial" w:cs="Arial"/>
                <w:sz w:val="18"/>
                <w:szCs w:val="18"/>
                <w:lang w:val="es-ES"/>
              </w:rPr>
              <w:t xml:space="preserve">Manfredi Caltagirone, </w:t>
            </w:r>
            <w:hyperlink r:id="rId23" w:history="1">
              <w:r w:rsidRPr="00666877">
                <w:rPr>
                  <w:rStyle w:val="Hyperlink"/>
                  <w:rFonts w:ascii="Arial" w:hAnsi="Arial" w:cs="Arial"/>
                  <w:sz w:val="18"/>
                  <w:szCs w:val="18"/>
                  <w:lang w:val="es-ES"/>
                </w:rPr>
                <w:t>manfredi.caltagirone@un.org</w:t>
              </w:r>
            </w:hyperlink>
            <w:r>
              <w:rPr>
                <w:rFonts w:ascii="Arial" w:hAnsi="Arial" w:cs="Arial"/>
                <w:sz w:val="18"/>
                <w:szCs w:val="18"/>
                <w:lang w:val="es-ES"/>
              </w:rPr>
              <w:t xml:space="preserve"> </w:t>
            </w:r>
          </w:p>
          <w:p w14:paraId="1F9CB2BB" w14:textId="7B5611F2" w:rsidR="005D58F8" w:rsidRPr="00441BF8" w:rsidRDefault="005D58F8" w:rsidP="005D58F8">
            <w:pPr>
              <w:keepNext/>
              <w:spacing w:before="60" w:after="60" w:line="240" w:lineRule="auto"/>
              <w:rPr>
                <w:rFonts w:ascii="Arial" w:hAnsi="Arial" w:cs="Arial"/>
                <w:color w:val="808080" w:themeColor="background1" w:themeShade="80"/>
                <w:sz w:val="18"/>
                <w:szCs w:val="18"/>
              </w:rPr>
            </w:pPr>
          </w:p>
        </w:tc>
      </w:tr>
      <w:tr w:rsidR="00455FC0" w:rsidRPr="001B2195" w14:paraId="7F8523AC" w14:textId="77777777" w:rsidTr="00035D76">
        <w:trPr>
          <w:trHeight w:val="840"/>
        </w:trPr>
        <w:tc>
          <w:tcPr>
            <w:tcW w:w="1797" w:type="dxa"/>
            <w:tcBorders>
              <w:right w:val="single" w:sz="2" w:space="0" w:color="auto"/>
            </w:tcBorders>
            <w:shd w:val="clear" w:color="auto" w:fill="F2F2F2" w:themeFill="background1" w:themeFillShade="F2"/>
            <w:noWrap/>
            <w:vAlign w:val="center"/>
          </w:tcPr>
          <w:p w14:paraId="55875107" w14:textId="77777777" w:rsidR="00455FC0" w:rsidRPr="00EC14D3" w:rsidRDefault="00455FC0" w:rsidP="00035D76">
            <w:pPr>
              <w:keepNext/>
              <w:spacing w:before="60" w:after="60" w:line="240" w:lineRule="auto"/>
              <w:rPr>
                <w:rFonts w:ascii="Arial" w:eastAsia="Times New Roman" w:hAnsi="Arial" w:cs="Arial"/>
                <w:b/>
                <w:color w:val="24634F"/>
                <w:sz w:val="18"/>
                <w:szCs w:val="18"/>
                <w:lang w:eastAsia="ja-JP"/>
              </w:rPr>
            </w:pPr>
            <w:r w:rsidRPr="00FC1B60">
              <w:rPr>
                <w:rFonts w:ascii="Arial" w:eastAsia="Times New Roman" w:hAnsi="Arial" w:cs="Arial"/>
                <w:b/>
                <w:color w:val="24634F"/>
                <w:sz w:val="18"/>
                <w:szCs w:val="18"/>
                <w:lang w:eastAsia="ja-JP"/>
              </w:rPr>
              <w:t>Title of the Readiness support proposal</w:t>
            </w:r>
          </w:p>
        </w:tc>
        <w:tc>
          <w:tcPr>
            <w:tcW w:w="7288"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433C6896" w14:textId="7C90DAAF" w:rsidR="00455FC0" w:rsidRPr="00CB141A" w:rsidRDefault="005B0EEA" w:rsidP="00035D76">
            <w:pPr>
              <w:spacing w:after="120" w:line="240" w:lineRule="auto"/>
              <w:ind w:right="-29"/>
              <w:rPr>
                <w:rFonts w:ascii="Arial" w:hAnsi="Arial" w:cs="Arial"/>
                <w:sz w:val="18"/>
                <w:szCs w:val="18"/>
              </w:rPr>
            </w:pPr>
            <w:r w:rsidRPr="000F09E9">
              <w:rPr>
                <w:rFonts w:ascii="Arial" w:eastAsia="Times New Roman" w:hAnsi="Arial" w:cs="Arial"/>
                <w:bCs/>
                <w:sz w:val="18"/>
                <w:szCs w:val="18"/>
                <w:lang w:val="en-GB" w:eastAsia="en-GB"/>
              </w:rPr>
              <w:t xml:space="preserve">National framework for leapfrogging to Energy Efficient Appliances and Equipment in </w:t>
            </w:r>
            <w:r w:rsidR="00EA7396">
              <w:rPr>
                <w:rFonts w:ascii="Arial" w:eastAsia="Times New Roman" w:hAnsi="Arial" w:cs="Arial"/>
                <w:bCs/>
                <w:sz w:val="18"/>
                <w:szCs w:val="18"/>
                <w:lang w:val="en-GB" w:eastAsia="en-GB"/>
              </w:rPr>
              <w:t>Mozambique</w:t>
            </w:r>
            <w:r w:rsidRPr="000F09E9">
              <w:rPr>
                <w:rFonts w:ascii="Arial" w:eastAsia="Times New Roman" w:hAnsi="Arial" w:cs="Arial"/>
                <w:bCs/>
                <w:sz w:val="18"/>
                <w:szCs w:val="18"/>
                <w:lang w:val="en-GB" w:eastAsia="en-GB"/>
              </w:rPr>
              <w:t xml:space="preserve"> (Refrigerators and Distribution Transformers) through regulatory and financing mechanism</w:t>
            </w:r>
          </w:p>
        </w:tc>
      </w:tr>
      <w:tr w:rsidR="00455FC0" w:rsidRPr="001B2195" w14:paraId="55606332" w14:textId="77777777" w:rsidTr="00035D76">
        <w:trPr>
          <w:trHeight w:val="659"/>
        </w:trPr>
        <w:tc>
          <w:tcPr>
            <w:tcW w:w="1797" w:type="dxa"/>
            <w:tcBorders>
              <w:right w:val="single" w:sz="2" w:space="0" w:color="auto"/>
            </w:tcBorders>
            <w:shd w:val="clear" w:color="auto" w:fill="F2F2F2" w:themeFill="background1" w:themeFillShade="F2"/>
            <w:noWrap/>
            <w:vAlign w:val="center"/>
          </w:tcPr>
          <w:p w14:paraId="31B66DE1" w14:textId="77777777" w:rsidR="00455FC0" w:rsidRPr="00FC1B60" w:rsidRDefault="00455FC0" w:rsidP="00035D76">
            <w:pPr>
              <w:keepNext/>
              <w:spacing w:before="60" w:after="60" w:line="240" w:lineRule="auto"/>
              <w:rPr>
                <w:rFonts w:ascii="Arial" w:eastAsia="Times New Roman" w:hAnsi="Arial" w:cs="Arial"/>
                <w:b/>
                <w:color w:val="24634F"/>
                <w:sz w:val="18"/>
                <w:szCs w:val="18"/>
                <w:lang w:eastAsia="ja-JP"/>
              </w:rPr>
            </w:pPr>
            <w:r w:rsidRPr="00A2348C">
              <w:rPr>
                <w:rFonts w:ascii="Arial" w:eastAsia="Times New Roman" w:hAnsi="Arial" w:cs="Arial"/>
                <w:b/>
                <w:color w:val="24634F"/>
                <w:sz w:val="18"/>
                <w:szCs w:val="18"/>
                <w:lang w:eastAsia="ja-JP"/>
              </w:rPr>
              <w:lastRenderedPageBreak/>
              <w:t>Type of Readiness support sought</w:t>
            </w:r>
          </w:p>
        </w:tc>
        <w:tc>
          <w:tcPr>
            <w:tcW w:w="7288"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3EA215E6" w14:textId="77777777" w:rsidR="00455FC0" w:rsidRPr="00784375" w:rsidRDefault="00455FC0" w:rsidP="00035D76">
            <w:pPr>
              <w:keepNext/>
              <w:spacing w:before="60" w:after="60" w:line="240" w:lineRule="auto"/>
              <w:rPr>
                <w:rFonts w:ascii="Arial" w:hAnsi="Arial" w:cs="Arial"/>
                <w:color w:val="808080" w:themeColor="background1" w:themeShade="80"/>
                <w:sz w:val="18"/>
                <w:szCs w:val="18"/>
              </w:rPr>
            </w:pPr>
            <w:r w:rsidRPr="00784375">
              <w:rPr>
                <w:rFonts w:ascii="Arial" w:hAnsi="Arial" w:cs="Arial"/>
                <w:color w:val="808080" w:themeColor="background1" w:themeShade="80"/>
                <w:sz w:val="18"/>
                <w:szCs w:val="18"/>
              </w:rPr>
              <w:t>Please select the relevant GCF Readiness activity area below (click on the box):</w:t>
            </w:r>
          </w:p>
          <w:p w14:paraId="6B2EE521" w14:textId="77777777" w:rsidR="00455FC0" w:rsidRPr="00784375" w:rsidRDefault="009908EA" w:rsidP="00035D76">
            <w:pPr>
              <w:contextualSpacing/>
              <w:rPr>
                <w:rFonts w:ascii="Arial" w:hAnsi="Arial" w:cs="Arial"/>
                <w:color w:val="000000"/>
                <w:sz w:val="18"/>
                <w:szCs w:val="18"/>
              </w:rPr>
            </w:pPr>
            <w:sdt>
              <w:sdtPr>
                <w:rPr>
                  <w:rFonts w:ascii="Arial" w:hAnsi="Arial" w:cs="Arial"/>
                  <w:color w:val="000000"/>
                  <w:sz w:val="18"/>
                  <w:szCs w:val="18"/>
                </w:rPr>
                <w:id w:val="861862572"/>
                <w14:checkbox>
                  <w14:checked w14:val="0"/>
                  <w14:checkedState w14:val="2612" w14:font="MS Gothic"/>
                  <w14:uncheckedState w14:val="2610" w14:font="MS Gothic"/>
                </w14:checkbox>
              </w:sdtPr>
              <w:sdtContent>
                <w:r w:rsidR="00455FC0" w:rsidRPr="00784375">
                  <w:rPr>
                    <w:rFonts w:ascii="Segoe UI Symbol" w:eastAsia="MS Gothic" w:hAnsi="Segoe UI Symbol" w:cs="Segoe UI Symbol"/>
                    <w:color w:val="000000"/>
                    <w:sz w:val="18"/>
                    <w:szCs w:val="18"/>
                  </w:rPr>
                  <w:t>☐</w:t>
                </w:r>
              </w:sdtContent>
            </w:sdt>
            <w:r w:rsidR="00455FC0" w:rsidRPr="00784375">
              <w:rPr>
                <w:rFonts w:ascii="Arial" w:hAnsi="Arial" w:cs="Arial"/>
                <w:color w:val="000000"/>
                <w:sz w:val="18"/>
                <w:szCs w:val="18"/>
              </w:rPr>
              <w:t xml:space="preserve">  I.    Country capacity for engagement with GCF</w:t>
            </w:r>
          </w:p>
          <w:p w14:paraId="01191542" w14:textId="32655091" w:rsidR="00455FC0" w:rsidRPr="00784375" w:rsidRDefault="009908EA" w:rsidP="00035D76">
            <w:pPr>
              <w:contextualSpacing/>
              <w:rPr>
                <w:rFonts w:ascii="Arial" w:hAnsi="Arial" w:cs="Arial"/>
                <w:color w:val="000000"/>
                <w:sz w:val="18"/>
                <w:szCs w:val="18"/>
              </w:rPr>
            </w:pPr>
            <w:sdt>
              <w:sdtPr>
                <w:rPr>
                  <w:rFonts w:ascii="Arial" w:hAnsi="Arial" w:cs="Arial"/>
                  <w:color w:val="000000"/>
                  <w:sz w:val="18"/>
                  <w:szCs w:val="18"/>
                </w:rPr>
                <w:id w:val="1668671647"/>
                <w14:checkbox>
                  <w14:checked w14:val="1"/>
                  <w14:checkedState w14:val="2612" w14:font="MS Gothic"/>
                  <w14:uncheckedState w14:val="2610" w14:font="MS Gothic"/>
                </w14:checkbox>
              </w:sdtPr>
              <w:sdtContent>
                <w:r w:rsidR="004D3F21">
                  <w:rPr>
                    <w:rFonts w:ascii="MS Gothic" w:eastAsia="MS Gothic" w:hAnsi="MS Gothic" w:cs="Arial" w:hint="eastAsia"/>
                    <w:color w:val="000000"/>
                    <w:sz w:val="18"/>
                    <w:szCs w:val="18"/>
                  </w:rPr>
                  <w:t>☒</w:t>
                </w:r>
              </w:sdtContent>
            </w:sdt>
            <w:r w:rsidR="00455FC0" w:rsidRPr="00784375">
              <w:rPr>
                <w:rFonts w:ascii="Arial" w:hAnsi="Arial" w:cs="Arial"/>
                <w:color w:val="000000"/>
                <w:sz w:val="18"/>
                <w:szCs w:val="18"/>
              </w:rPr>
              <w:t xml:space="preserve">  II.   Country programming process</w:t>
            </w:r>
            <w:r w:rsidR="00455FC0" w:rsidRPr="00784375">
              <w:rPr>
                <w:rFonts w:ascii="Arial" w:hAnsi="Arial" w:cs="Arial"/>
                <w:color w:val="000000"/>
                <w:sz w:val="18"/>
                <w:szCs w:val="18"/>
              </w:rPr>
              <w:br/>
            </w:r>
            <w:sdt>
              <w:sdtPr>
                <w:rPr>
                  <w:rFonts w:ascii="Arial" w:hAnsi="Arial" w:cs="Arial"/>
                  <w:color w:val="000000"/>
                  <w:sz w:val="18"/>
                  <w:szCs w:val="18"/>
                </w:rPr>
                <w:id w:val="22297897"/>
                <w14:checkbox>
                  <w14:checked w14:val="0"/>
                  <w14:checkedState w14:val="2612" w14:font="MS Gothic"/>
                  <w14:uncheckedState w14:val="2610" w14:font="MS Gothic"/>
                </w14:checkbox>
              </w:sdtPr>
              <w:sdtContent>
                <w:r w:rsidR="00455FC0" w:rsidRPr="00784375">
                  <w:rPr>
                    <w:rFonts w:ascii="Segoe UI Symbol" w:eastAsia="MS Gothic" w:hAnsi="Segoe UI Symbol" w:cs="Segoe UI Symbol"/>
                    <w:color w:val="000000"/>
                    <w:sz w:val="18"/>
                    <w:szCs w:val="18"/>
                  </w:rPr>
                  <w:t>☐</w:t>
                </w:r>
              </w:sdtContent>
            </w:sdt>
            <w:r w:rsidR="00455FC0" w:rsidRPr="00784375">
              <w:rPr>
                <w:rFonts w:ascii="Arial" w:hAnsi="Arial" w:cs="Arial"/>
                <w:color w:val="000000"/>
                <w:sz w:val="18"/>
                <w:szCs w:val="18"/>
              </w:rPr>
              <w:t xml:space="preserve">  III.  Direct access </w:t>
            </w:r>
            <w:r w:rsidR="00455FC0">
              <w:rPr>
                <w:rFonts w:ascii="Arial" w:hAnsi="Arial" w:cs="Arial"/>
                <w:color w:val="000000"/>
                <w:sz w:val="18"/>
                <w:szCs w:val="18"/>
              </w:rPr>
              <w:t>to climate finance</w:t>
            </w:r>
          </w:p>
          <w:p w14:paraId="3A51389A" w14:textId="77777777" w:rsidR="00455FC0" w:rsidRPr="00784375" w:rsidRDefault="009908EA" w:rsidP="00035D76">
            <w:pPr>
              <w:contextualSpacing/>
              <w:rPr>
                <w:rFonts w:ascii="Arial" w:hAnsi="Arial" w:cs="Arial"/>
                <w:color w:val="000000"/>
                <w:sz w:val="18"/>
                <w:szCs w:val="18"/>
              </w:rPr>
            </w:pPr>
            <w:sdt>
              <w:sdtPr>
                <w:rPr>
                  <w:rFonts w:ascii="Arial" w:hAnsi="Arial" w:cs="Arial"/>
                  <w:color w:val="000000"/>
                  <w:sz w:val="18"/>
                  <w:szCs w:val="18"/>
                </w:rPr>
                <w:id w:val="1540937255"/>
                <w14:checkbox>
                  <w14:checked w14:val="0"/>
                  <w14:checkedState w14:val="2612" w14:font="MS Gothic"/>
                  <w14:uncheckedState w14:val="2610" w14:font="MS Gothic"/>
                </w14:checkbox>
              </w:sdtPr>
              <w:sdtContent>
                <w:r w:rsidR="00455FC0" w:rsidRPr="00784375">
                  <w:rPr>
                    <w:rFonts w:ascii="Segoe UI Symbol" w:eastAsia="MS Gothic" w:hAnsi="Segoe UI Symbol" w:cs="Segoe UI Symbol"/>
                    <w:color w:val="000000"/>
                    <w:sz w:val="18"/>
                    <w:szCs w:val="18"/>
                  </w:rPr>
                  <w:t>☐</w:t>
                </w:r>
              </w:sdtContent>
            </w:sdt>
            <w:r w:rsidR="00455FC0" w:rsidRPr="00784375">
              <w:rPr>
                <w:rFonts w:ascii="Arial" w:hAnsi="Arial" w:cs="Arial"/>
                <w:color w:val="000000"/>
                <w:sz w:val="18"/>
                <w:szCs w:val="18"/>
              </w:rPr>
              <w:t xml:space="preserve">  IV.  Climate finance accessed </w:t>
            </w:r>
          </w:p>
          <w:p w14:paraId="58F54B8E" w14:textId="77777777" w:rsidR="00455FC0" w:rsidRPr="00784375" w:rsidRDefault="009908EA" w:rsidP="00035D76">
            <w:pPr>
              <w:keepNext/>
              <w:spacing w:before="60" w:after="60" w:line="240" w:lineRule="auto"/>
              <w:ind w:left="616" w:hanging="616"/>
              <w:rPr>
                <w:rFonts w:ascii="Arial" w:hAnsi="Arial" w:cs="Arial"/>
                <w:sz w:val="18"/>
                <w:szCs w:val="18"/>
              </w:rPr>
            </w:pPr>
            <w:sdt>
              <w:sdtPr>
                <w:rPr>
                  <w:rFonts w:ascii="Arial" w:hAnsi="Arial" w:cs="Arial"/>
                  <w:color w:val="000000"/>
                  <w:sz w:val="18"/>
                  <w:szCs w:val="18"/>
                </w:rPr>
                <w:id w:val="28075696"/>
                <w14:checkbox>
                  <w14:checked w14:val="0"/>
                  <w14:checkedState w14:val="2612" w14:font="MS Gothic"/>
                  <w14:uncheckedState w14:val="2610" w14:font="MS Gothic"/>
                </w14:checkbox>
              </w:sdtPr>
              <w:sdtContent>
                <w:r w:rsidR="00455FC0" w:rsidRPr="00784375">
                  <w:rPr>
                    <w:rFonts w:ascii="Segoe UI Symbol" w:eastAsia="MS Gothic" w:hAnsi="Segoe UI Symbol" w:cs="Segoe UI Symbol"/>
                    <w:color w:val="000000"/>
                    <w:sz w:val="18"/>
                    <w:szCs w:val="18"/>
                  </w:rPr>
                  <w:t>☐</w:t>
                </w:r>
              </w:sdtContent>
            </w:sdt>
            <w:r w:rsidR="00455FC0" w:rsidRPr="00784375">
              <w:rPr>
                <w:rFonts w:ascii="Arial" w:hAnsi="Arial" w:cs="Arial"/>
                <w:color w:val="000000"/>
                <w:sz w:val="18"/>
                <w:szCs w:val="18"/>
              </w:rPr>
              <w:t xml:space="preserve">  V.   Formulation of national adaptation planning and/or other adaptation planning processes</w:t>
            </w:r>
          </w:p>
        </w:tc>
      </w:tr>
      <w:tr w:rsidR="00455FC0" w:rsidRPr="001B2195" w14:paraId="5C42DD61" w14:textId="77777777" w:rsidTr="00035D76">
        <w:trPr>
          <w:trHeight w:val="1794"/>
        </w:trPr>
        <w:tc>
          <w:tcPr>
            <w:tcW w:w="1797" w:type="dxa"/>
            <w:tcBorders>
              <w:right w:val="single" w:sz="2" w:space="0" w:color="auto"/>
            </w:tcBorders>
            <w:shd w:val="clear" w:color="auto" w:fill="F2F2F2" w:themeFill="background1" w:themeFillShade="F2"/>
            <w:noWrap/>
            <w:vAlign w:val="center"/>
          </w:tcPr>
          <w:p w14:paraId="6DCA627B" w14:textId="77777777" w:rsidR="00455FC0" w:rsidRPr="00A2348C" w:rsidRDefault="00455FC0" w:rsidP="00035D76">
            <w:pPr>
              <w:keepNext/>
              <w:spacing w:before="60" w:after="60" w:line="240" w:lineRule="auto"/>
              <w:rPr>
                <w:rFonts w:ascii="Arial" w:eastAsia="Times New Roman" w:hAnsi="Arial" w:cs="Arial"/>
                <w:b/>
                <w:color w:val="24634F"/>
                <w:sz w:val="18"/>
                <w:szCs w:val="18"/>
                <w:lang w:eastAsia="ja-JP"/>
              </w:rPr>
            </w:pPr>
            <w:r w:rsidRPr="000A7A9D">
              <w:rPr>
                <w:rFonts w:ascii="Arial" w:eastAsia="Times New Roman" w:hAnsi="Arial" w:cs="Arial"/>
                <w:b/>
                <w:color w:val="24634F"/>
                <w:sz w:val="18"/>
                <w:szCs w:val="18"/>
                <w:lang w:eastAsia="ja-JP"/>
              </w:rPr>
              <w:t>Brief summary of the request</w:t>
            </w:r>
          </w:p>
        </w:tc>
        <w:tc>
          <w:tcPr>
            <w:tcW w:w="7288" w:type="dxa"/>
            <w:gridSpan w:val="7"/>
            <w:tcBorders>
              <w:top w:val="single" w:sz="2" w:space="0" w:color="auto"/>
              <w:left w:val="single" w:sz="2" w:space="0" w:color="auto"/>
              <w:bottom w:val="single" w:sz="2" w:space="0" w:color="auto"/>
              <w:right w:val="single" w:sz="2" w:space="0" w:color="auto"/>
            </w:tcBorders>
            <w:shd w:val="clear" w:color="auto" w:fill="auto"/>
          </w:tcPr>
          <w:p w14:paraId="0831096A" w14:textId="71F05F63" w:rsidR="00455FC0" w:rsidRPr="00B45A77" w:rsidRDefault="005D58F8" w:rsidP="009A726D">
            <w:pPr>
              <w:spacing w:before="240" w:after="0" w:line="276" w:lineRule="auto"/>
              <w:ind w:right="-29"/>
              <w:jc w:val="both"/>
              <w:rPr>
                <w:rFonts w:ascii="Arial" w:hAnsi="Arial" w:cs="Arial"/>
                <w:sz w:val="18"/>
                <w:szCs w:val="18"/>
              </w:rPr>
            </w:pPr>
            <w:r>
              <w:rPr>
                <w:rFonts w:ascii="Arial" w:hAnsi="Arial" w:cs="Arial"/>
                <w:sz w:val="18"/>
                <w:szCs w:val="18"/>
              </w:rPr>
              <w:t xml:space="preserve">Only </w:t>
            </w:r>
            <w:r w:rsidR="009A726D">
              <w:rPr>
                <w:rFonts w:ascii="Arial" w:hAnsi="Arial" w:cs="Arial"/>
                <w:sz w:val="18"/>
                <w:szCs w:val="18"/>
              </w:rPr>
              <w:t>27.4</w:t>
            </w:r>
            <w:r w:rsidRPr="007D56F1">
              <w:rPr>
                <w:rFonts w:ascii="Arial" w:hAnsi="Arial" w:cs="Arial"/>
                <w:sz w:val="18"/>
                <w:szCs w:val="18"/>
              </w:rPr>
              <w:t>%</w:t>
            </w:r>
            <w:r>
              <w:rPr>
                <w:rFonts w:ascii="Arial" w:hAnsi="Arial" w:cs="Arial"/>
                <w:sz w:val="18"/>
                <w:szCs w:val="18"/>
              </w:rPr>
              <w:t xml:space="preserve"> of the</w:t>
            </w:r>
            <w:r w:rsidR="009908EA">
              <w:rPr>
                <w:rFonts w:ascii="Arial" w:hAnsi="Arial" w:cs="Arial"/>
                <w:sz w:val="18"/>
                <w:szCs w:val="18"/>
              </w:rPr>
              <w:t xml:space="preserve"> total</w:t>
            </w:r>
            <w:r>
              <w:rPr>
                <w:rFonts w:ascii="Arial" w:hAnsi="Arial" w:cs="Arial"/>
                <w:sz w:val="18"/>
                <w:szCs w:val="18"/>
              </w:rPr>
              <w:t xml:space="preserve"> population in </w:t>
            </w:r>
            <w:r w:rsidR="009A726D">
              <w:rPr>
                <w:rFonts w:ascii="Arial" w:hAnsi="Arial" w:cs="Arial"/>
                <w:sz w:val="18"/>
                <w:szCs w:val="18"/>
              </w:rPr>
              <w:t>Mozambique</w:t>
            </w:r>
            <w:r>
              <w:rPr>
                <w:rFonts w:ascii="Arial" w:hAnsi="Arial" w:cs="Arial"/>
                <w:sz w:val="18"/>
                <w:szCs w:val="18"/>
              </w:rPr>
              <w:t xml:space="preserve"> have access to electricity</w:t>
            </w:r>
            <w:r w:rsidR="009908EA">
              <w:rPr>
                <w:rFonts w:ascii="Arial" w:hAnsi="Arial" w:cs="Arial"/>
                <w:sz w:val="18"/>
                <w:szCs w:val="18"/>
              </w:rPr>
              <w:t xml:space="preserve">. This figure drops down sharply in rural areas where the access to electricity is only about </w:t>
            </w:r>
            <w:r w:rsidR="009A726D">
              <w:rPr>
                <w:rFonts w:ascii="Arial" w:hAnsi="Arial" w:cs="Arial"/>
                <w:sz w:val="18"/>
                <w:szCs w:val="18"/>
              </w:rPr>
              <w:t>3</w:t>
            </w:r>
            <w:r w:rsidRPr="007D56F1">
              <w:rPr>
                <w:rFonts w:ascii="Arial" w:hAnsi="Arial" w:cs="Arial"/>
                <w:sz w:val="18"/>
                <w:szCs w:val="18"/>
              </w:rPr>
              <w:t>%</w:t>
            </w:r>
            <w:r>
              <w:rPr>
                <w:rStyle w:val="FootnoteReference"/>
                <w:rFonts w:ascii="Arial" w:hAnsi="Arial" w:cs="Arial"/>
                <w:sz w:val="18"/>
                <w:szCs w:val="18"/>
              </w:rPr>
              <w:footnoteReference w:id="1"/>
            </w:r>
            <w:r>
              <w:rPr>
                <w:rFonts w:ascii="Arial" w:hAnsi="Arial" w:cs="Arial"/>
                <w:sz w:val="18"/>
                <w:szCs w:val="18"/>
              </w:rPr>
              <w:t xml:space="preserve">. The government of </w:t>
            </w:r>
            <w:r w:rsidR="009A726D">
              <w:rPr>
                <w:rFonts w:ascii="Arial" w:hAnsi="Arial" w:cs="Arial"/>
                <w:sz w:val="18"/>
                <w:szCs w:val="18"/>
              </w:rPr>
              <w:t>Mozambique</w:t>
            </w:r>
            <w:r>
              <w:rPr>
                <w:rFonts w:ascii="Arial" w:hAnsi="Arial" w:cs="Arial"/>
                <w:sz w:val="18"/>
                <w:szCs w:val="18"/>
              </w:rPr>
              <w:t xml:space="preserve"> is putting large efforts to expand </w:t>
            </w:r>
            <w:r w:rsidR="009908EA">
              <w:rPr>
                <w:rFonts w:ascii="Arial" w:hAnsi="Arial" w:cs="Arial"/>
                <w:sz w:val="18"/>
                <w:szCs w:val="18"/>
              </w:rPr>
              <w:t>the</w:t>
            </w:r>
            <w:r>
              <w:rPr>
                <w:rFonts w:ascii="Arial" w:hAnsi="Arial" w:cs="Arial"/>
                <w:sz w:val="18"/>
                <w:szCs w:val="18"/>
              </w:rPr>
              <w:t xml:space="preserve"> electricity network. </w:t>
            </w:r>
            <w:r w:rsidR="009A726D" w:rsidRPr="009A726D">
              <w:rPr>
                <w:rFonts w:ascii="Arial" w:hAnsi="Arial" w:cs="Arial"/>
                <w:sz w:val="18"/>
                <w:szCs w:val="18"/>
              </w:rPr>
              <w:t>While Mozambique has significant generation potential, the distribution of power to Mozambique’s population is extremely expensive due to the large size of the country and its dispersed settlement patterns. Due to poor connectivity and inadequate transmission network within the country, part of Mozambique exports power to Eskom</w:t>
            </w:r>
            <w:r w:rsidR="009908EA">
              <w:rPr>
                <w:rFonts w:ascii="Arial" w:hAnsi="Arial" w:cs="Arial"/>
                <w:sz w:val="18"/>
                <w:szCs w:val="18"/>
              </w:rPr>
              <w:t xml:space="preserve"> (in South Africa)</w:t>
            </w:r>
            <w:r w:rsidR="009A726D" w:rsidRPr="009A726D">
              <w:rPr>
                <w:rFonts w:ascii="Arial" w:hAnsi="Arial" w:cs="Arial"/>
                <w:sz w:val="18"/>
                <w:szCs w:val="18"/>
              </w:rPr>
              <w:t xml:space="preserve">, which in turn sells the power back to southern Mozambique at an increased rate and incurring </w:t>
            </w:r>
            <w:r w:rsidR="009908EA">
              <w:rPr>
                <w:rFonts w:ascii="Arial" w:hAnsi="Arial" w:cs="Arial"/>
                <w:sz w:val="18"/>
                <w:szCs w:val="18"/>
              </w:rPr>
              <w:t>high</w:t>
            </w:r>
            <w:r w:rsidR="009A726D" w:rsidRPr="009A726D">
              <w:rPr>
                <w:rFonts w:ascii="Arial" w:hAnsi="Arial" w:cs="Arial"/>
                <w:sz w:val="18"/>
                <w:szCs w:val="18"/>
              </w:rPr>
              <w:t xml:space="preserve"> technical, financial and national security implications</w:t>
            </w:r>
            <w:r w:rsidR="009A726D">
              <w:rPr>
                <w:rFonts w:ascii="Arial" w:hAnsi="Arial" w:cs="Arial"/>
                <w:sz w:val="18"/>
                <w:szCs w:val="18"/>
              </w:rPr>
              <w:t xml:space="preserve">. </w:t>
            </w:r>
            <w:r w:rsidR="00455FC0" w:rsidRPr="007D56F1">
              <w:rPr>
                <w:rFonts w:ascii="Arial" w:hAnsi="Arial" w:cs="Arial"/>
                <w:sz w:val="18"/>
                <w:szCs w:val="18"/>
              </w:rPr>
              <w:t>Low efficient appliances and electricity-using equipment result in huge losses, which bring a heavy burden on the government’s budget (electricity is subsidized) and hampers the country’s electrification potential.</w:t>
            </w:r>
            <w:r w:rsidR="00035D76">
              <w:rPr>
                <w:rFonts w:ascii="Arial" w:hAnsi="Arial" w:cs="Arial"/>
                <w:sz w:val="18"/>
                <w:szCs w:val="18"/>
              </w:rPr>
              <w:t xml:space="preserve"> </w:t>
            </w:r>
            <w:r w:rsidR="00455FC0" w:rsidRPr="007D56F1">
              <w:rPr>
                <w:rFonts w:ascii="Arial" w:hAnsi="Arial" w:cs="Arial"/>
                <w:sz w:val="18"/>
                <w:szCs w:val="18"/>
              </w:rPr>
              <w:t xml:space="preserve">The lack of information and awareness, lack of dedicated policies for energy efficient products and appliances including absence of minimum energy performance standards prevents </w:t>
            </w:r>
            <w:r w:rsidR="009A726D">
              <w:rPr>
                <w:rFonts w:ascii="Arial" w:hAnsi="Arial" w:cs="Arial"/>
                <w:sz w:val="18"/>
                <w:szCs w:val="18"/>
              </w:rPr>
              <w:t>Mozambique</w:t>
            </w:r>
            <w:r w:rsidR="00455FC0" w:rsidRPr="007D56F1">
              <w:rPr>
                <w:rFonts w:ascii="Arial" w:hAnsi="Arial" w:cs="Arial"/>
                <w:sz w:val="18"/>
                <w:szCs w:val="18"/>
              </w:rPr>
              <w:t xml:space="preserve"> from inducing a sustainable market transformation in favor of higher efficiency products. It is estimated that by 2030 the installed stock of residential refrigerators will grow by over </w:t>
            </w:r>
            <w:r w:rsidR="009908EA">
              <w:rPr>
                <w:rFonts w:ascii="Arial" w:hAnsi="Arial" w:cs="Arial"/>
                <w:sz w:val="18"/>
                <w:szCs w:val="18"/>
              </w:rPr>
              <w:t>3</w:t>
            </w:r>
            <w:r w:rsidR="00035D76">
              <w:rPr>
                <w:rFonts w:ascii="Arial" w:hAnsi="Arial" w:cs="Arial"/>
                <w:sz w:val="18"/>
                <w:szCs w:val="18"/>
              </w:rPr>
              <w:t>0</w:t>
            </w:r>
            <w:r w:rsidR="00455FC0" w:rsidRPr="007D56F1">
              <w:rPr>
                <w:rFonts w:ascii="Arial" w:hAnsi="Arial" w:cs="Arial"/>
                <w:sz w:val="18"/>
                <w:szCs w:val="18"/>
              </w:rPr>
              <w:t xml:space="preserve">0% and losses in distributions transformers is expected to grow by </w:t>
            </w:r>
            <w:r w:rsidR="00035D76">
              <w:rPr>
                <w:rFonts w:ascii="Arial" w:hAnsi="Arial" w:cs="Arial"/>
                <w:sz w:val="18"/>
                <w:szCs w:val="18"/>
              </w:rPr>
              <w:t>105</w:t>
            </w:r>
            <w:r w:rsidR="00455FC0" w:rsidRPr="007D56F1">
              <w:rPr>
                <w:rFonts w:ascii="Arial" w:hAnsi="Arial" w:cs="Arial"/>
                <w:sz w:val="18"/>
                <w:szCs w:val="18"/>
              </w:rPr>
              <w:t xml:space="preserve">%. Without the development of energy-efficient policies, inefficient products will continue to enter the market and remain strained on the grid for their useful life (approximately 10 years for refrigerators and 40 years for distribution transformers). By creating an enabling policy and regulatory environment for refrigerators and distribution transformers, the project will </w:t>
            </w:r>
            <w:r w:rsidR="00035D76">
              <w:rPr>
                <w:rFonts w:ascii="Arial" w:hAnsi="Arial" w:cs="Arial"/>
                <w:sz w:val="18"/>
                <w:szCs w:val="18"/>
              </w:rPr>
              <w:t xml:space="preserve">support the country’s ambitious electrification plan, reduce pressure on the government budget, and reduce GHG emissions. </w:t>
            </w:r>
          </w:p>
        </w:tc>
      </w:tr>
      <w:tr w:rsidR="00455FC0" w:rsidRPr="001B2195" w14:paraId="40221D4F" w14:textId="77777777" w:rsidTr="00035D76">
        <w:trPr>
          <w:trHeight w:val="659"/>
        </w:trPr>
        <w:tc>
          <w:tcPr>
            <w:tcW w:w="2157" w:type="dxa"/>
            <w:gridSpan w:val="2"/>
            <w:tcBorders>
              <w:right w:val="single" w:sz="2" w:space="0" w:color="auto"/>
            </w:tcBorders>
            <w:shd w:val="clear" w:color="auto" w:fill="F2F2F2" w:themeFill="background1" w:themeFillShade="F2"/>
            <w:noWrap/>
            <w:vAlign w:val="center"/>
          </w:tcPr>
          <w:p w14:paraId="0C33C315" w14:textId="77777777" w:rsidR="00455FC0" w:rsidRPr="001728B0" w:rsidRDefault="00455FC0" w:rsidP="00035D76">
            <w:pPr>
              <w:keepNext/>
              <w:spacing w:before="60" w:after="60" w:line="240" w:lineRule="auto"/>
              <w:rPr>
                <w:rFonts w:ascii="Arial" w:eastAsia="Times New Roman" w:hAnsi="Arial" w:cs="Arial"/>
                <w:b/>
                <w:color w:val="24634F"/>
                <w:sz w:val="18"/>
                <w:szCs w:val="18"/>
                <w:lang w:eastAsia="ja-JP"/>
              </w:rPr>
            </w:pPr>
            <w:r w:rsidRPr="001728B0">
              <w:rPr>
                <w:rFonts w:ascii="Arial" w:eastAsia="Times New Roman" w:hAnsi="Arial" w:cs="Arial"/>
                <w:b/>
                <w:color w:val="24634F"/>
                <w:sz w:val="18"/>
                <w:szCs w:val="18"/>
                <w:lang w:eastAsia="ja-JP"/>
              </w:rPr>
              <w:t>Total requested amount and currency</w:t>
            </w:r>
          </w:p>
        </w:tc>
        <w:tc>
          <w:tcPr>
            <w:tcW w:w="1890" w:type="dxa"/>
            <w:tcBorders>
              <w:top w:val="single" w:sz="2" w:space="0" w:color="auto"/>
              <w:left w:val="single" w:sz="2" w:space="0" w:color="auto"/>
              <w:bottom w:val="single" w:sz="2" w:space="0" w:color="auto"/>
              <w:right w:val="single" w:sz="2" w:space="0" w:color="auto"/>
            </w:tcBorders>
            <w:shd w:val="clear" w:color="auto" w:fill="auto"/>
            <w:vAlign w:val="center"/>
          </w:tcPr>
          <w:p w14:paraId="38CFC53C" w14:textId="2EB941B8" w:rsidR="00455FC0" w:rsidRPr="009908EA" w:rsidRDefault="009908EA" w:rsidP="00035D76">
            <w:pPr>
              <w:keepNext/>
              <w:spacing w:before="60" w:after="60" w:line="240" w:lineRule="auto"/>
              <w:rPr>
                <w:rFonts w:ascii="Arial" w:hAnsi="Arial" w:cs="Arial"/>
                <w:sz w:val="18"/>
                <w:szCs w:val="18"/>
              </w:rPr>
            </w:pPr>
            <w:sdt>
              <w:sdtPr>
                <w:rPr>
                  <w:rFonts w:ascii="Arial" w:hAnsi="Arial" w:cs="Arial"/>
                  <w:sz w:val="18"/>
                  <w:szCs w:val="18"/>
                </w:rPr>
                <w:id w:val="-682900159"/>
                <w:placeholder>
                  <w:docPart w:val="9C1A853C2B1E4871A72652091634169C"/>
                </w:placeholder>
                <w:dropDownList>
                  <w:listItem w:displayText="Choose Currency" w:value="Choose Currency"/>
                  <w:listItem w:displayText="USD" w:value="USD"/>
                  <w:listItem w:displayText="EUR" w:value="EUR"/>
                </w:dropDownList>
              </w:sdtPr>
              <w:sdtContent>
                <w:r w:rsidR="00455FC0" w:rsidRPr="009908EA">
                  <w:rPr>
                    <w:rFonts w:ascii="Arial" w:hAnsi="Arial" w:cs="Arial"/>
                    <w:sz w:val="18"/>
                    <w:szCs w:val="18"/>
                  </w:rPr>
                  <w:t>USD</w:t>
                </w:r>
              </w:sdtContent>
            </w:sdt>
            <w:r w:rsidR="00455FC0" w:rsidRPr="009908EA">
              <w:rPr>
                <w:rFonts w:ascii="Arial" w:hAnsi="Arial" w:cs="Arial"/>
                <w:sz w:val="18"/>
                <w:szCs w:val="18"/>
              </w:rPr>
              <w:t xml:space="preserve"> </w:t>
            </w:r>
            <w:r w:rsidRPr="009908EA">
              <w:rPr>
                <w:rFonts w:ascii="Arial" w:hAnsi="Arial" w:cs="Arial"/>
                <w:sz w:val="18"/>
                <w:szCs w:val="18"/>
              </w:rPr>
              <w:t>324</w:t>
            </w:r>
            <w:r>
              <w:rPr>
                <w:rFonts w:ascii="Arial" w:hAnsi="Arial" w:cs="Arial"/>
                <w:sz w:val="18"/>
                <w:szCs w:val="18"/>
              </w:rPr>
              <w:t>,</w:t>
            </w:r>
            <w:r w:rsidRPr="009908EA">
              <w:rPr>
                <w:rFonts w:ascii="Arial" w:hAnsi="Arial" w:cs="Arial"/>
                <w:sz w:val="18"/>
                <w:szCs w:val="18"/>
              </w:rPr>
              <w:t>198</w:t>
            </w:r>
          </w:p>
        </w:tc>
        <w:tc>
          <w:tcPr>
            <w:tcW w:w="2250"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5CE6903" w14:textId="77777777" w:rsidR="00455FC0" w:rsidRPr="001728B0" w:rsidRDefault="00455FC0" w:rsidP="00035D76">
            <w:pPr>
              <w:keepNext/>
              <w:spacing w:before="60" w:after="60" w:line="240" w:lineRule="auto"/>
              <w:rPr>
                <w:rFonts w:ascii="Arial" w:hAnsi="Arial" w:cs="Arial"/>
                <w:color w:val="A6A6A6" w:themeColor="background1" w:themeShade="A6"/>
                <w:sz w:val="18"/>
                <w:szCs w:val="18"/>
              </w:rPr>
            </w:pPr>
            <w:r w:rsidRPr="001728B0">
              <w:rPr>
                <w:rFonts w:ascii="Arial" w:eastAsia="Times New Roman" w:hAnsi="Arial" w:cs="Arial"/>
                <w:b/>
                <w:color w:val="24634F"/>
                <w:sz w:val="18"/>
                <w:szCs w:val="18"/>
                <w:lang w:eastAsia="ja-JP"/>
              </w:rPr>
              <w:t>Anticipated duration</w:t>
            </w:r>
          </w:p>
        </w:tc>
        <w:bookmarkStart w:id="3" w:name="OLE_LINK6" w:displacedByCustomXml="next"/>
        <w:sdt>
          <w:sdtPr>
            <w:rPr>
              <w:rFonts w:ascii="Arial" w:hAnsi="Arial" w:cs="Arial"/>
              <w:sz w:val="18"/>
              <w:szCs w:val="18"/>
            </w:rPr>
            <w:id w:val="-2012513979"/>
            <w:placeholder>
              <w:docPart w:val="9C1A853C2B1E4871A72652091634169C"/>
            </w:placeholder>
            <w:comboBox>
              <w:listItem w:displayText="Please specify duration in multiples of six months." w:value="Please specify duration in multiples of six months."/>
              <w:listItem w:displayText="6 months" w:value="6 months"/>
              <w:listItem w:displayText="12 months" w:value="12 months"/>
              <w:listItem w:displayText="18 months" w:value="18 months"/>
              <w:listItem w:displayText="24 months" w:value="24 months"/>
              <w:listItem w:displayText="30 months" w:value="30 months"/>
              <w:listItem w:displayText="36 months" w:value="36 months"/>
              <w:listItem w:displayText="42 months" w:value="42 months"/>
              <w:listItem w:displayText="48 months" w:value="48 months"/>
              <w:listItem w:displayText="54 months" w:value="54 months"/>
              <w:listItem w:displayText="60 months" w:value="60 months"/>
            </w:comboBox>
          </w:sdtPr>
          <w:sdtContent>
            <w:tc>
              <w:tcPr>
                <w:tcW w:w="278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A9F663E" w14:textId="77777777" w:rsidR="00455FC0" w:rsidRPr="001728B0" w:rsidRDefault="00455FC0" w:rsidP="00035D76">
                <w:pPr>
                  <w:keepNext/>
                  <w:spacing w:before="60" w:after="60" w:line="240" w:lineRule="auto"/>
                  <w:rPr>
                    <w:rFonts w:ascii="Arial" w:hAnsi="Arial" w:cs="Arial"/>
                    <w:color w:val="A6A6A6" w:themeColor="background1" w:themeShade="A6"/>
                    <w:sz w:val="18"/>
                    <w:szCs w:val="18"/>
                  </w:rPr>
                </w:pPr>
                <w:r w:rsidRPr="009908EA">
                  <w:rPr>
                    <w:rFonts w:ascii="Arial" w:hAnsi="Arial" w:cs="Arial"/>
                    <w:sz w:val="18"/>
                    <w:szCs w:val="18"/>
                  </w:rPr>
                  <w:t>18 months</w:t>
                </w:r>
              </w:p>
            </w:tc>
          </w:sdtContent>
        </w:sdt>
        <w:bookmarkEnd w:id="3" w:displacedByCustomXml="prev"/>
      </w:tr>
      <w:tr w:rsidR="00455FC0" w:rsidRPr="001B2195" w14:paraId="39F77065" w14:textId="77777777" w:rsidTr="00035D76">
        <w:trPr>
          <w:trHeight w:val="1677"/>
        </w:trPr>
        <w:tc>
          <w:tcPr>
            <w:tcW w:w="4047" w:type="dxa"/>
            <w:gridSpan w:val="3"/>
            <w:tcBorders>
              <w:right w:val="single" w:sz="2" w:space="0" w:color="auto"/>
            </w:tcBorders>
            <w:shd w:val="clear" w:color="auto" w:fill="F2F2F2" w:themeFill="background1" w:themeFillShade="F2"/>
            <w:noWrap/>
            <w:vAlign w:val="center"/>
          </w:tcPr>
          <w:p w14:paraId="77CB2FCB" w14:textId="77777777" w:rsidR="00455FC0" w:rsidRPr="001728B0" w:rsidRDefault="00455FC0" w:rsidP="00035D76">
            <w:pPr>
              <w:keepNext/>
              <w:spacing w:before="60" w:after="60" w:line="240" w:lineRule="auto"/>
              <w:rPr>
                <w:rFonts w:ascii="Arial" w:eastAsia="Times New Roman" w:hAnsi="Arial" w:cs="Arial"/>
                <w:b/>
                <w:color w:val="24634F"/>
                <w:sz w:val="18"/>
                <w:szCs w:val="18"/>
                <w:lang w:eastAsia="ja-JP"/>
              </w:rPr>
            </w:pPr>
            <w:r w:rsidRPr="001728B0">
              <w:rPr>
                <w:rFonts w:ascii="Arial" w:eastAsia="Times New Roman" w:hAnsi="Arial" w:cs="Arial"/>
                <w:b/>
                <w:color w:val="24634F"/>
                <w:sz w:val="18"/>
                <w:szCs w:val="18"/>
                <w:lang w:eastAsia="ja-JP"/>
              </w:rPr>
              <w:t>Has the country received or is expecting to receive other Readiness and Preparatory Support funding allocations (including adaptation planning) from GCF or other donors?</w:t>
            </w:r>
          </w:p>
        </w:tc>
        <w:tc>
          <w:tcPr>
            <w:tcW w:w="5038"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48F5859E" w14:textId="4CA09F34" w:rsidR="00455FC0" w:rsidRPr="001728B0" w:rsidRDefault="009908EA" w:rsidP="00035D76">
            <w:pPr>
              <w:spacing w:after="0" w:line="240" w:lineRule="auto"/>
              <w:rPr>
                <w:rFonts w:ascii="Arial" w:hAnsi="Arial" w:cs="Arial"/>
                <w:color w:val="000000"/>
                <w:sz w:val="18"/>
                <w:szCs w:val="18"/>
              </w:rPr>
            </w:pPr>
            <w:sdt>
              <w:sdtPr>
                <w:rPr>
                  <w:rFonts w:ascii="Arial" w:hAnsi="Arial" w:cs="Arial"/>
                  <w:color w:val="000000"/>
                  <w:sz w:val="18"/>
                  <w:szCs w:val="18"/>
                </w:rPr>
                <w:id w:val="279154582"/>
                <w14:checkbox>
                  <w14:checked w14:val="1"/>
                  <w14:checkedState w14:val="2612" w14:font="MS Gothic"/>
                  <w14:uncheckedState w14:val="2610" w14:font="MS Gothic"/>
                </w14:checkbox>
              </w:sdtPr>
              <w:sdtContent>
                <w:r w:rsidR="009C0EDF">
                  <w:rPr>
                    <w:rFonts w:ascii="MS Gothic" w:eastAsia="MS Gothic" w:hAnsi="MS Gothic" w:cs="Arial" w:hint="eastAsia"/>
                    <w:color w:val="000000"/>
                    <w:sz w:val="18"/>
                    <w:szCs w:val="18"/>
                  </w:rPr>
                  <w:t>☒</w:t>
                </w:r>
              </w:sdtContent>
            </w:sdt>
            <w:r w:rsidR="00455FC0" w:rsidRPr="001728B0">
              <w:rPr>
                <w:rFonts w:ascii="Arial" w:hAnsi="Arial" w:cs="Arial"/>
                <w:color w:val="000000"/>
                <w:sz w:val="18"/>
                <w:szCs w:val="18"/>
              </w:rPr>
              <w:t xml:space="preserve"> Yes </w:t>
            </w:r>
          </w:p>
          <w:p w14:paraId="0E13D671" w14:textId="77777777" w:rsidR="00455FC0" w:rsidRPr="001728B0" w:rsidRDefault="009908EA" w:rsidP="00035D76">
            <w:pPr>
              <w:spacing w:after="0" w:line="240" w:lineRule="auto"/>
              <w:rPr>
                <w:rFonts w:ascii="Arial" w:hAnsi="Arial" w:cs="Arial"/>
                <w:color w:val="000000"/>
                <w:sz w:val="18"/>
                <w:szCs w:val="18"/>
              </w:rPr>
            </w:pPr>
            <w:sdt>
              <w:sdtPr>
                <w:rPr>
                  <w:rFonts w:ascii="Arial" w:hAnsi="Arial" w:cs="Arial"/>
                  <w:color w:val="000000"/>
                  <w:sz w:val="18"/>
                  <w:szCs w:val="18"/>
                </w:rPr>
                <w:id w:val="651868306"/>
                <w14:checkbox>
                  <w14:checked w14:val="0"/>
                  <w14:checkedState w14:val="2612" w14:font="MS Gothic"/>
                  <w14:uncheckedState w14:val="2610" w14:font="MS Gothic"/>
                </w14:checkbox>
              </w:sdtPr>
              <w:sdtContent>
                <w:r w:rsidR="00455FC0" w:rsidRPr="001728B0">
                  <w:rPr>
                    <w:rFonts w:ascii="Segoe UI Symbol" w:eastAsia="MS Gothic" w:hAnsi="Segoe UI Symbol" w:cs="Segoe UI Symbol"/>
                    <w:color w:val="000000"/>
                    <w:sz w:val="18"/>
                    <w:szCs w:val="18"/>
                  </w:rPr>
                  <w:t>☐</w:t>
                </w:r>
              </w:sdtContent>
            </w:sdt>
            <w:r w:rsidR="00455FC0" w:rsidRPr="001728B0">
              <w:rPr>
                <w:rFonts w:ascii="Arial" w:hAnsi="Arial" w:cs="Arial"/>
                <w:color w:val="000000"/>
                <w:sz w:val="18"/>
                <w:szCs w:val="18"/>
              </w:rPr>
              <w:t xml:space="preserve"> No</w:t>
            </w:r>
          </w:p>
          <w:p w14:paraId="2A1670F0" w14:textId="34E14F4D" w:rsidR="00455FC0" w:rsidRPr="001728B0" w:rsidRDefault="00BD02D2" w:rsidP="00035D76">
            <w:pPr>
              <w:spacing w:before="240" w:after="0" w:line="276" w:lineRule="auto"/>
              <w:ind w:right="-29"/>
              <w:rPr>
                <w:rFonts w:ascii="Arial" w:hAnsi="Arial" w:cs="Arial"/>
                <w:sz w:val="18"/>
                <w:szCs w:val="18"/>
              </w:rPr>
            </w:pPr>
            <w:r>
              <w:rPr>
                <w:rFonts w:ascii="Arial" w:hAnsi="Arial" w:cs="Arial"/>
                <w:sz w:val="18"/>
                <w:szCs w:val="18"/>
              </w:rPr>
              <w:t>Mozambique have</w:t>
            </w:r>
            <w:r w:rsidR="00DA3A6C">
              <w:rPr>
                <w:rFonts w:ascii="Arial" w:hAnsi="Arial" w:cs="Arial"/>
                <w:sz w:val="18"/>
                <w:szCs w:val="18"/>
              </w:rPr>
              <w:t xml:space="preserve"> received </w:t>
            </w:r>
            <w:r w:rsidR="00DB5A6E">
              <w:rPr>
                <w:rFonts w:ascii="Arial" w:hAnsi="Arial" w:cs="Arial"/>
                <w:sz w:val="18"/>
                <w:szCs w:val="18"/>
              </w:rPr>
              <w:t xml:space="preserve">readiness funding from the GCF of USD </w:t>
            </w:r>
            <w:r>
              <w:rPr>
                <w:rFonts w:ascii="Arial" w:hAnsi="Arial" w:cs="Arial"/>
                <w:sz w:val="18"/>
                <w:szCs w:val="18"/>
              </w:rPr>
              <w:t>300000</w:t>
            </w:r>
            <w:r w:rsidR="00DB5A6E">
              <w:rPr>
                <w:rFonts w:ascii="Arial" w:hAnsi="Arial" w:cs="Arial"/>
                <w:sz w:val="18"/>
                <w:szCs w:val="18"/>
              </w:rPr>
              <w:t xml:space="preserve"> for </w:t>
            </w:r>
            <w:r>
              <w:rPr>
                <w:rFonts w:ascii="Arial" w:hAnsi="Arial" w:cs="Arial"/>
                <w:sz w:val="18"/>
                <w:szCs w:val="18"/>
              </w:rPr>
              <w:t xml:space="preserve">NDA Strengthening and Country Programming </w:t>
            </w:r>
            <w:r w:rsidR="00DB5A6E">
              <w:rPr>
                <w:rFonts w:ascii="Arial" w:hAnsi="Arial" w:cs="Arial"/>
                <w:sz w:val="18"/>
                <w:szCs w:val="18"/>
              </w:rPr>
              <w:t xml:space="preserve">in </w:t>
            </w:r>
            <w:r w:rsidR="00DB5A6E" w:rsidRPr="009A726D">
              <w:rPr>
                <w:rFonts w:ascii="Arial" w:hAnsi="Arial" w:cs="Arial"/>
                <w:sz w:val="18"/>
                <w:szCs w:val="18"/>
              </w:rPr>
              <w:t xml:space="preserve">2017 </w:t>
            </w:r>
            <w:r w:rsidRPr="009A726D">
              <w:rPr>
                <w:rFonts w:ascii="Arial" w:hAnsi="Arial" w:cs="Arial"/>
                <w:sz w:val="18"/>
                <w:szCs w:val="18"/>
              </w:rPr>
              <w:t xml:space="preserve">with </w:t>
            </w:r>
            <w:r w:rsidRPr="009A726D">
              <w:rPr>
                <w:rFonts w:ascii="Arial" w:hAnsi="Arial" w:cs="Arial"/>
                <w:b/>
                <w:bCs/>
                <w:sz w:val="18"/>
                <w:szCs w:val="18"/>
              </w:rPr>
              <w:t xml:space="preserve">Fundo Nacional de </w:t>
            </w:r>
            <w:proofErr w:type="spellStart"/>
            <w:r w:rsidRPr="009A726D">
              <w:rPr>
                <w:rFonts w:ascii="Arial" w:hAnsi="Arial" w:cs="Arial"/>
                <w:b/>
                <w:bCs/>
                <w:sz w:val="18"/>
                <w:szCs w:val="18"/>
              </w:rPr>
              <w:t>Desenvolvimento</w:t>
            </w:r>
            <w:proofErr w:type="spellEnd"/>
            <w:r w:rsidRPr="009A726D">
              <w:rPr>
                <w:rFonts w:ascii="Arial" w:hAnsi="Arial" w:cs="Arial"/>
                <w:b/>
                <w:bCs/>
                <w:sz w:val="18"/>
                <w:szCs w:val="18"/>
              </w:rPr>
              <w:t xml:space="preserve"> </w:t>
            </w:r>
            <w:proofErr w:type="spellStart"/>
            <w:r w:rsidRPr="009A726D">
              <w:rPr>
                <w:rFonts w:ascii="Arial" w:hAnsi="Arial" w:cs="Arial"/>
                <w:b/>
                <w:bCs/>
                <w:sz w:val="18"/>
                <w:szCs w:val="18"/>
              </w:rPr>
              <w:t>Sustentavel</w:t>
            </w:r>
            <w:proofErr w:type="spellEnd"/>
            <w:r w:rsidRPr="009A726D">
              <w:rPr>
                <w:rFonts w:ascii="Arial" w:hAnsi="Arial" w:cs="Arial"/>
                <w:sz w:val="18"/>
                <w:szCs w:val="18"/>
              </w:rPr>
              <w:t xml:space="preserve"> </w:t>
            </w:r>
            <w:r w:rsidR="009A726D" w:rsidRPr="009A726D">
              <w:rPr>
                <w:rFonts w:ascii="Arial" w:hAnsi="Arial" w:cs="Arial"/>
                <w:sz w:val="18"/>
                <w:szCs w:val="18"/>
              </w:rPr>
              <w:t>(</w:t>
            </w:r>
            <w:r w:rsidRPr="009A726D">
              <w:rPr>
                <w:rFonts w:ascii="Arial" w:hAnsi="Arial" w:cs="Arial"/>
                <w:sz w:val="18"/>
                <w:szCs w:val="18"/>
              </w:rPr>
              <w:t>FNDS</w:t>
            </w:r>
            <w:r w:rsidR="009A726D" w:rsidRPr="009A726D">
              <w:rPr>
                <w:rFonts w:ascii="Arial" w:hAnsi="Arial" w:cs="Arial"/>
                <w:sz w:val="18"/>
                <w:szCs w:val="18"/>
              </w:rPr>
              <w:t xml:space="preserve">) </w:t>
            </w:r>
            <w:r w:rsidRPr="009A726D">
              <w:rPr>
                <w:rFonts w:ascii="Arial" w:hAnsi="Arial" w:cs="Arial"/>
                <w:sz w:val="18"/>
                <w:szCs w:val="18"/>
              </w:rPr>
              <w:t>as delivery partner</w:t>
            </w:r>
            <w:r w:rsidR="00DB5A6E" w:rsidRPr="009A726D">
              <w:rPr>
                <w:rFonts w:ascii="Arial" w:hAnsi="Arial" w:cs="Arial"/>
                <w:sz w:val="18"/>
                <w:szCs w:val="18"/>
              </w:rPr>
              <w:t>.</w:t>
            </w:r>
            <w:r w:rsidR="00DB5A6E">
              <w:rPr>
                <w:rFonts w:ascii="Arial" w:hAnsi="Arial" w:cs="Arial"/>
                <w:sz w:val="18"/>
                <w:szCs w:val="18"/>
              </w:rPr>
              <w:t xml:space="preserve"> </w:t>
            </w:r>
          </w:p>
        </w:tc>
      </w:tr>
    </w:tbl>
    <w:p w14:paraId="649F97EC" w14:textId="77777777" w:rsidR="00455FC0" w:rsidRDefault="00455FC0" w:rsidP="00455FC0"/>
    <w:tbl>
      <w:tblPr>
        <w:tblW w:w="9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042"/>
      </w:tblGrid>
      <w:tr w:rsidR="00455FC0" w:rsidRPr="004A416A" w14:paraId="2567ABBA" w14:textId="77777777" w:rsidTr="00751D39">
        <w:trPr>
          <w:trHeight w:val="497"/>
        </w:trPr>
        <w:tc>
          <w:tcPr>
            <w:tcW w:w="9101" w:type="dxa"/>
            <w:shd w:val="clear" w:color="auto" w:fill="24634F"/>
            <w:vAlign w:val="center"/>
          </w:tcPr>
          <w:p w14:paraId="599432A4" w14:textId="77777777" w:rsidR="00455FC0" w:rsidRPr="004A416A" w:rsidRDefault="00455FC0" w:rsidP="004A416A">
            <w:pPr>
              <w:pStyle w:val="ListParagraph"/>
              <w:keepNext/>
              <w:numPr>
                <w:ilvl w:val="0"/>
                <w:numId w:val="3"/>
              </w:numPr>
              <w:tabs>
                <w:tab w:val="left" w:pos="342"/>
              </w:tabs>
              <w:spacing w:after="0" w:line="240" w:lineRule="auto"/>
              <w:ind w:hanging="720"/>
              <w:rPr>
                <w:rStyle w:val="IntenseReference"/>
                <w:rFonts w:ascii="Arial" w:hAnsi="Arial" w:cs="Arial"/>
                <w:smallCaps w:val="0"/>
                <w:color w:val="FFFFFF" w:themeColor="background1"/>
                <w:sz w:val="18"/>
                <w:szCs w:val="18"/>
              </w:rPr>
            </w:pPr>
            <w:r w:rsidRPr="004A416A">
              <w:rPr>
                <w:rStyle w:val="IntenseReference"/>
                <w:rFonts w:ascii="Arial" w:hAnsi="Arial" w:cs="Arial"/>
                <w:color w:val="FFFFFF" w:themeColor="background1"/>
                <w:sz w:val="18"/>
                <w:szCs w:val="18"/>
              </w:rPr>
              <w:t xml:space="preserve">BACKGROUND </w:t>
            </w:r>
          </w:p>
        </w:tc>
      </w:tr>
      <w:tr w:rsidR="00455FC0" w:rsidRPr="004A416A" w14:paraId="06F6F721" w14:textId="77777777" w:rsidTr="00751D39">
        <w:trPr>
          <w:trHeight w:val="678"/>
        </w:trPr>
        <w:tc>
          <w:tcPr>
            <w:tcW w:w="9101" w:type="dxa"/>
            <w:vMerge w:val="restart"/>
            <w:tcBorders>
              <w:right w:val="single" w:sz="2" w:space="0" w:color="auto"/>
            </w:tcBorders>
            <w:shd w:val="clear" w:color="auto" w:fill="FFFFFF" w:themeFill="background1"/>
            <w:noWrap/>
          </w:tcPr>
          <w:p w14:paraId="3DDCC3B5" w14:textId="07A4E67E" w:rsidR="00EE78D1" w:rsidRPr="00F72419" w:rsidRDefault="00EE78D1" w:rsidP="004001A7">
            <w:pPr>
              <w:spacing w:after="0" w:line="240" w:lineRule="auto"/>
              <w:ind w:right="-29"/>
              <w:jc w:val="both"/>
              <w:rPr>
                <w:rFonts w:ascii="Arial" w:hAnsi="Arial" w:cs="Arial"/>
                <w:sz w:val="18"/>
                <w:szCs w:val="18"/>
              </w:rPr>
            </w:pPr>
            <w:r w:rsidRPr="00F72419">
              <w:rPr>
                <w:rFonts w:ascii="Arial" w:hAnsi="Arial" w:cs="Arial"/>
                <w:sz w:val="18"/>
                <w:szCs w:val="18"/>
              </w:rPr>
              <w:t>The Republic of Mozambique lies on the east coast of Southern Africa with the Indian Ocean to the east. Malawi and Zambia are to the northwest, Zimbabwe to the west, Swaziland and South Africa to the southwest, and Tanzania to the north.</w:t>
            </w:r>
            <w:r w:rsidR="00751D39" w:rsidRPr="00F72419">
              <w:rPr>
                <w:rFonts w:ascii="Arial" w:hAnsi="Arial" w:cs="Arial"/>
                <w:sz w:val="18"/>
                <w:szCs w:val="18"/>
              </w:rPr>
              <w:t xml:space="preserve"> </w:t>
            </w:r>
            <w:r w:rsidRPr="00F72419">
              <w:rPr>
                <w:rFonts w:ascii="Arial" w:hAnsi="Arial" w:cs="Arial"/>
                <w:color w:val="000000" w:themeColor="text1"/>
                <w:sz w:val="18"/>
                <w:szCs w:val="18"/>
              </w:rPr>
              <w:t xml:space="preserve">Mozambique has the second highest electricity production of the SADC countries, largely based on its hydropower capacity. </w:t>
            </w:r>
            <w:r w:rsidRPr="00F72419">
              <w:rPr>
                <w:rFonts w:ascii="Arial" w:hAnsi="Arial" w:cs="Arial"/>
                <w:sz w:val="18"/>
                <w:szCs w:val="18"/>
              </w:rPr>
              <w:lastRenderedPageBreak/>
              <w:t xml:space="preserve">Hydropower currently accounts for 92% of Mozambique’s generation mix of installed capacity, mostly provided by the </w:t>
            </w:r>
            <w:proofErr w:type="spellStart"/>
            <w:r w:rsidRPr="00F72419">
              <w:rPr>
                <w:rFonts w:ascii="Arial" w:hAnsi="Arial" w:cs="Arial"/>
                <w:sz w:val="18"/>
                <w:szCs w:val="18"/>
              </w:rPr>
              <w:t>Cahorra</w:t>
            </w:r>
            <w:proofErr w:type="spellEnd"/>
            <w:r w:rsidRPr="00F72419">
              <w:rPr>
                <w:rFonts w:ascii="Arial" w:hAnsi="Arial" w:cs="Arial"/>
                <w:sz w:val="18"/>
                <w:szCs w:val="18"/>
              </w:rPr>
              <w:t xml:space="preserve"> </w:t>
            </w:r>
            <w:proofErr w:type="spellStart"/>
            <w:r w:rsidRPr="00F72419">
              <w:rPr>
                <w:rFonts w:ascii="Arial" w:hAnsi="Arial" w:cs="Arial"/>
                <w:sz w:val="18"/>
                <w:szCs w:val="18"/>
              </w:rPr>
              <w:t>Bassa</w:t>
            </w:r>
            <w:proofErr w:type="spellEnd"/>
            <w:r w:rsidRPr="00F72419">
              <w:rPr>
                <w:rFonts w:ascii="Arial" w:hAnsi="Arial" w:cs="Arial"/>
                <w:sz w:val="18"/>
                <w:szCs w:val="18"/>
              </w:rPr>
              <w:t xml:space="preserve"> dam (HCB) in the northwestern province of </w:t>
            </w:r>
            <w:proofErr w:type="spellStart"/>
            <w:r w:rsidRPr="00F72419">
              <w:rPr>
                <w:rFonts w:ascii="Arial" w:hAnsi="Arial" w:cs="Arial"/>
                <w:sz w:val="18"/>
                <w:szCs w:val="18"/>
              </w:rPr>
              <w:t>Tete</w:t>
            </w:r>
            <w:proofErr w:type="spellEnd"/>
            <w:r w:rsidRPr="00F72419">
              <w:rPr>
                <w:rFonts w:ascii="Arial" w:hAnsi="Arial" w:cs="Arial"/>
                <w:sz w:val="18"/>
                <w:szCs w:val="18"/>
              </w:rPr>
              <w:t xml:space="preserve"> and 3 small hydro dams. The remaining generation is from natural gas turbines, and numerous diesel generators. Yet, in 2015, about 97% of total household energy needs were still met by traditional biomass fuels such as wood and charcoal, with only about 23% of households having access to electricity</w:t>
            </w:r>
          </w:p>
          <w:p w14:paraId="713BFC49" w14:textId="77777777" w:rsidR="00EE78D1" w:rsidRPr="00F72419" w:rsidRDefault="00EE78D1" w:rsidP="004001A7">
            <w:pPr>
              <w:spacing w:after="0" w:line="240" w:lineRule="auto"/>
              <w:ind w:right="-29"/>
              <w:jc w:val="both"/>
              <w:rPr>
                <w:rFonts w:ascii="Arial" w:hAnsi="Arial" w:cs="Arial"/>
                <w:sz w:val="18"/>
                <w:szCs w:val="18"/>
              </w:rPr>
            </w:pPr>
          </w:p>
          <w:p w14:paraId="129B3326" w14:textId="2A8EB6A8" w:rsidR="00EE78D1" w:rsidRPr="00F72419" w:rsidRDefault="00EE78D1" w:rsidP="00751D39">
            <w:pPr>
              <w:spacing w:after="0" w:line="240" w:lineRule="auto"/>
              <w:ind w:right="-29"/>
              <w:jc w:val="both"/>
              <w:rPr>
                <w:rFonts w:ascii="Arial" w:hAnsi="Arial" w:cs="Arial"/>
                <w:sz w:val="18"/>
                <w:szCs w:val="18"/>
              </w:rPr>
            </w:pPr>
            <w:r w:rsidRPr="00F72419">
              <w:rPr>
                <w:rFonts w:ascii="Arial" w:hAnsi="Arial" w:cs="Arial"/>
                <w:sz w:val="18"/>
                <w:szCs w:val="18"/>
              </w:rPr>
              <w:t xml:space="preserve">Mozambique is a member of the Southern African Power Pool (SAPP), which began in 1996 as the first formal international power pool in Africa, with a mission to provide reliable and economical electricity supply to consumers in SAPP member countries. </w:t>
            </w:r>
            <w:r w:rsidR="00751D39" w:rsidRPr="00F72419">
              <w:rPr>
                <w:rFonts w:ascii="Arial" w:hAnsi="Arial" w:cs="Arial"/>
                <w:sz w:val="18"/>
                <w:szCs w:val="18"/>
              </w:rPr>
              <w:t xml:space="preserve">The table below </w:t>
            </w:r>
            <w:r w:rsidRPr="00F72419">
              <w:rPr>
                <w:rFonts w:ascii="Arial" w:hAnsi="Arial" w:cs="Arial"/>
                <w:sz w:val="18"/>
                <w:szCs w:val="18"/>
              </w:rPr>
              <w:t>provides an overview of the extent of energy efficiency and demand-side management (DSM) activities in Mozambique.</w:t>
            </w:r>
          </w:p>
          <w:p w14:paraId="05C3E224" w14:textId="3894055F" w:rsidR="00EE78D1" w:rsidRPr="00F72419" w:rsidRDefault="00EE78D1" w:rsidP="005D655F">
            <w:pPr>
              <w:pStyle w:val="Caption"/>
              <w:spacing w:after="0"/>
              <w:jc w:val="center"/>
              <w:rPr>
                <w:rFonts w:cstheme="minorHAnsi"/>
              </w:rPr>
            </w:pPr>
            <w:bookmarkStart w:id="4" w:name="_Ref512255926"/>
            <w:proofErr w:type="gramStart"/>
            <w:r w:rsidRPr="00F72419">
              <w:t xml:space="preserve">Table </w:t>
            </w:r>
            <w:bookmarkEnd w:id="4"/>
            <w:r w:rsidR="00751D39" w:rsidRPr="00F72419">
              <w:t>:</w:t>
            </w:r>
            <w:proofErr w:type="gramEnd"/>
            <w:r w:rsidR="00751D39" w:rsidRPr="00F72419">
              <w:t xml:space="preserve"> </w:t>
            </w:r>
            <w:r w:rsidRPr="00F72419">
              <w:t xml:space="preserve">Energy efficiency and Demand-Side Management (DSM) activities in </w:t>
            </w:r>
            <w:r w:rsidR="00751D39" w:rsidRPr="00F72419">
              <w:t>Mozambique</w:t>
            </w:r>
          </w:p>
          <w:tbl>
            <w:tblPr>
              <w:tblW w:w="9820" w:type="dxa"/>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1350"/>
              <w:gridCol w:w="579"/>
              <w:gridCol w:w="607"/>
              <w:gridCol w:w="607"/>
              <w:gridCol w:w="607"/>
              <w:gridCol w:w="607"/>
              <w:gridCol w:w="607"/>
              <w:gridCol w:w="607"/>
              <w:gridCol w:w="607"/>
              <w:gridCol w:w="607"/>
              <w:gridCol w:w="607"/>
              <w:gridCol w:w="607"/>
              <w:gridCol w:w="607"/>
              <w:gridCol w:w="607"/>
              <w:gridCol w:w="607"/>
            </w:tblGrid>
            <w:tr w:rsidR="00EE78D1" w:rsidRPr="00F72419" w14:paraId="405D39BC" w14:textId="77777777" w:rsidTr="00751D39">
              <w:trPr>
                <w:cantSplit/>
                <w:trHeight w:hRule="exact" w:val="2227"/>
              </w:trPr>
              <w:tc>
                <w:tcPr>
                  <w:tcW w:w="1350" w:type="dxa"/>
                  <w:tcBorders>
                    <w:top w:val="single" w:sz="6" w:space="0" w:color="auto"/>
                    <w:left w:val="single" w:sz="2" w:space="0" w:color="auto"/>
                    <w:bottom w:val="single" w:sz="6" w:space="0" w:color="auto"/>
                    <w:right w:val="single" w:sz="6" w:space="0" w:color="auto"/>
                  </w:tcBorders>
                  <w:shd w:val="clear" w:color="auto" w:fill="009FDA"/>
                  <w:textDirection w:val="btLr"/>
                  <w:vAlign w:val="center"/>
                </w:tcPr>
                <w:p w14:paraId="46C743F0" w14:textId="77777777" w:rsidR="00EE78D1" w:rsidRPr="00F72419" w:rsidRDefault="00EE78D1" w:rsidP="00EE78D1">
                  <w:pPr>
                    <w:spacing w:before="120" w:after="120" w:line="240" w:lineRule="auto"/>
                    <w:ind w:left="113"/>
                    <w:rPr>
                      <w:rFonts w:ascii="Verdana" w:hAnsi="Verdana"/>
                      <w:b/>
                      <w:color w:val="FFFFFF" w:themeColor="background1"/>
                      <w:sz w:val="16"/>
                      <w:szCs w:val="16"/>
                    </w:rPr>
                  </w:pPr>
                  <w:r w:rsidRPr="00F72419">
                    <w:rPr>
                      <w:rFonts w:ascii="Verdana" w:hAnsi="Verdana"/>
                      <w:b/>
                      <w:color w:val="FFFFFF" w:themeColor="background1"/>
                      <w:sz w:val="16"/>
                      <w:szCs w:val="16"/>
                    </w:rPr>
                    <w:t>Programme type</w:t>
                  </w:r>
                </w:p>
              </w:tc>
              <w:tc>
                <w:tcPr>
                  <w:tcW w:w="579" w:type="dxa"/>
                  <w:tcBorders>
                    <w:top w:val="single" w:sz="6" w:space="0" w:color="auto"/>
                    <w:left w:val="single" w:sz="6" w:space="0" w:color="auto"/>
                    <w:bottom w:val="single" w:sz="6" w:space="0" w:color="auto"/>
                    <w:right w:val="single" w:sz="6" w:space="0" w:color="auto"/>
                  </w:tcBorders>
                  <w:shd w:val="clear" w:color="auto" w:fill="009FDA"/>
                  <w:textDirection w:val="btLr"/>
                  <w:vAlign w:val="center"/>
                </w:tcPr>
                <w:p w14:paraId="65862541" w14:textId="77777777" w:rsidR="00EE78D1" w:rsidRPr="00F72419" w:rsidRDefault="00EE78D1" w:rsidP="00EE78D1">
                  <w:pPr>
                    <w:spacing w:before="120" w:after="120" w:line="240" w:lineRule="auto"/>
                    <w:ind w:left="113"/>
                    <w:rPr>
                      <w:rFonts w:ascii="Verdana" w:hAnsi="Verdana"/>
                      <w:b/>
                      <w:color w:val="FFFFFF" w:themeColor="background1"/>
                      <w:sz w:val="16"/>
                      <w:szCs w:val="16"/>
                    </w:rPr>
                  </w:pPr>
                  <w:r w:rsidRPr="00F72419">
                    <w:rPr>
                      <w:rFonts w:ascii="Verdana" w:hAnsi="Verdana"/>
                      <w:b/>
                      <w:color w:val="FFFFFF" w:themeColor="background1"/>
                      <w:sz w:val="16"/>
                      <w:szCs w:val="16"/>
                    </w:rPr>
                    <w:t>CFL exchange</w:t>
                  </w:r>
                </w:p>
              </w:tc>
              <w:tc>
                <w:tcPr>
                  <w:tcW w:w="607" w:type="dxa"/>
                  <w:tcBorders>
                    <w:top w:val="single" w:sz="6" w:space="0" w:color="auto"/>
                    <w:left w:val="single" w:sz="6" w:space="0" w:color="auto"/>
                    <w:bottom w:val="single" w:sz="6" w:space="0" w:color="auto"/>
                    <w:right w:val="single" w:sz="6" w:space="0" w:color="auto"/>
                  </w:tcBorders>
                  <w:shd w:val="clear" w:color="auto" w:fill="009FDA"/>
                  <w:textDirection w:val="btLr"/>
                  <w:vAlign w:val="center"/>
                </w:tcPr>
                <w:p w14:paraId="66500AFF" w14:textId="77777777" w:rsidR="00EE78D1" w:rsidRPr="00F72419" w:rsidRDefault="00EE78D1" w:rsidP="00EE78D1">
                  <w:pPr>
                    <w:spacing w:before="120" w:after="120" w:line="240" w:lineRule="auto"/>
                    <w:ind w:left="113"/>
                    <w:rPr>
                      <w:rFonts w:ascii="Verdana" w:hAnsi="Verdana"/>
                      <w:b/>
                      <w:color w:val="FFFFFF" w:themeColor="background1"/>
                      <w:sz w:val="16"/>
                      <w:szCs w:val="16"/>
                    </w:rPr>
                  </w:pPr>
                  <w:r w:rsidRPr="00F72419">
                    <w:rPr>
                      <w:rFonts w:ascii="Verdana" w:hAnsi="Verdana"/>
                      <w:b/>
                      <w:color w:val="FFFFFF" w:themeColor="background1"/>
                      <w:sz w:val="16"/>
                      <w:szCs w:val="16"/>
                    </w:rPr>
                    <w:t>Energy-saving awareness</w:t>
                  </w:r>
                </w:p>
              </w:tc>
              <w:tc>
                <w:tcPr>
                  <w:tcW w:w="607" w:type="dxa"/>
                  <w:tcBorders>
                    <w:top w:val="single" w:sz="6" w:space="0" w:color="auto"/>
                    <w:left w:val="single" w:sz="6" w:space="0" w:color="auto"/>
                    <w:bottom w:val="single" w:sz="6" w:space="0" w:color="auto"/>
                    <w:right w:val="single" w:sz="6" w:space="0" w:color="auto"/>
                  </w:tcBorders>
                  <w:shd w:val="clear" w:color="auto" w:fill="009FDA"/>
                  <w:textDirection w:val="btLr"/>
                  <w:vAlign w:val="center"/>
                </w:tcPr>
                <w:p w14:paraId="27C2D76B" w14:textId="77777777" w:rsidR="00EE78D1" w:rsidRPr="00F72419" w:rsidRDefault="00EE78D1" w:rsidP="00EE78D1">
                  <w:pPr>
                    <w:spacing w:before="120" w:after="120" w:line="240" w:lineRule="auto"/>
                    <w:ind w:left="113"/>
                    <w:rPr>
                      <w:rFonts w:ascii="Verdana" w:hAnsi="Verdana"/>
                      <w:b/>
                      <w:color w:val="FFFFFF" w:themeColor="background1"/>
                      <w:sz w:val="16"/>
                      <w:szCs w:val="16"/>
                    </w:rPr>
                  </w:pPr>
                  <w:r w:rsidRPr="00F72419">
                    <w:rPr>
                      <w:rFonts w:ascii="Verdana" w:hAnsi="Verdana"/>
                      <w:b/>
                      <w:color w:val="FFFFFF" w:themeColor="background1"/>
                      <w:sz w:val="16"/>
                      <w:szCs w:val="16"/>
                    </w:rPr>
                    <w:t>Demand market participation</w:t>
                  </w:r>
                </w:p>
              </w:tc>
              <w:tc>
                <w:tcPr>
                  <w:tcW w:w="607" w:type="dxa"/>
                  <w:tcBorders>
                    <w:top w:val="single" w:sz="6" w:space="0" w:color="auto"/>
                    <w:left w:val="single" w:sz="6" w:space="0" w:color="auto"/>
                    <w:bottom w:val="single" w:sz="6" w:space="0" w:color="auto"/>
                    <w:right w:val="single" w:sz="6" w:space="0" w:color="auto"/>
                  </w:tcBorders>
                  <w:shd w:val="clear" w:color="auto" w:fill="009FDA"/>
                  <w:textDirection w:val="btLr"/>
                  <w:vAlign w:val="center"/>
                </w:tcPr>
                <w:p w14:paraId="78CEE43B" w14:textId="77777777" w:rsidR="00EE78D1" w:rsidRPr="00F72419" w:rsidRDefault="00EE78D1" w:rsidP="00EE78D1">
                  <w:pPr>
                    <w:spacing w:before="120" w:after="120" w:line="240" w:lineRule="auto"/>
                    <w:ind w:left="113"/>
                    <w:rPr>
                      <w:rFonts w:ascii="Verdana" w:hAnsi="Verdana"/>
                      <w:b/>
                      <w:color w:val="FFFFFF" w:themeColor="background1"/>
                      <w:sz w:val="16"/>
                      <w:szCs w:val="16"/>
                    </w:rPr>
                  </w:pPr>
                  <w:r w:rsidRPr="00F72419">
                    <w:rPr>
                      <w:rFonts w:ascii="Verdana" w:hAnsi="Verdana"/>
                      <w:b/>
                      <w:color w:val="FFFFFF" w:themeColor="background1"/>
                      <w:sz w:val="16"/>
                      <w:szCs w:val="16"/>
                    </w:rPr>
                    <w:t>Time-of-use tariff</w:t>
                  </w:r>
                </w:p>
              </w:tc>
              <w:tc>
                <w:tcPr>
                  <w:tcW w:w="607" w:type="dxa"/>
                  <w:tcBorders>
                    <w:top w:val="single" w:sz="6" w:space="0" w:color="auto"/>
                    <w:left w:val="single" w:sz="6" w:space="0" w:color="auto"/>
                    <w:bottom w:val="single" w:sz="6" w:space="0" w:color="auto"/>
                    <w:right w:val="single" w:sz="6" w:space="0" w:color="auto"/>
                  </w:tcBorders>
                  <w:shd w:val="clear" w:color="auto" w:fill="009FDA"/>
                  <w:textDirection w:val="btLr"/>
                  <w:vAlign w:val="center"/>
                </w:tcPr>
                <w:p w14:paraId="3416ACC3" w14:textId="77777777" w:rsidR="00EE78D1" w:rsidRPr="00F72419" w:rsidRDefault="00EE78D1" w:rsidP="00EE78D1">
                  <w:pPr>
                    <w:spacing w:before="120" w:after="120" w:line="240" w:lineRule="auto"/>
                    <w:ind w:left="113"/>
                    <w:rPr>
                      <w:rFonts w:ascii="Verdana" w:hAnsi="Verdana"/>
                      <w:b/>
                      <w:color w:val="FFFFFF" w:themeColor="background1"/>
                      <w:sz w:val="16"/>
                      <w:szCs w:val="16"/>
                    </w:rPr>
                  </w:pPr>
                  <w:r w:rsidRPr="00F72419">
                    <w:rPr>
                      <w:rFonts w:ascii="Verdana" w:hAnsi="Verdana"/>
                      <w:b/>
                      <w:color w:val="FFFFFF" w:themeColor="background1"/>
                      <w:sz w:val="16"/>
                      <w:szCs w:val="16"/>
                    </w:rPr>
                    <w:t>Hot water load control</w:t>
                  </w:r>
                </w:p>
              </w:tc>
              <w:tc>
                <w:tcPr>
                  <w:tcW w:w="607" w:type="dxa"/>
                  <w:tcBorders>
                    <w:top w:val="single" w:sz="6" w:space="0" w:color="auto"/>
                    <w:left w:val="single" w:sz="6" w:space="0" w:color="auto"/>
                    <w:bottom w:val="single" w:sz="6" w:space="0" w:color="auto"/>
                    <w:right w:val="single" w:sz="6" w:space="0" w:color="auto"/>
                  </w:tcBorders>
                  <w:shd w:val="clear" w:color="auto" w:fill="009FDA"/>
                  <w:textDirection w:val="btLr"/>
                  <w:vAlign w:val="center"/>
                </w:tcPr>
                <w:p w14:paraId="64EE7C18" w14:textId="77777777" w:rsidR="00EE78D1" w:rsidRPr="00F72419" w:rsidRDefault="00EE78D1" w:rsidP="00EE78D1">
                  <w:pPr>
                    <w:spacing w:before="120" w:after="120" w:line="240" w:lineRule="auto"/>
                    <w:ind w:left="113"/>
                    <w:rPr>
                      <w:rFonts w:ascii="Verdana" w:hAnsi="Verdana"/>
                      <w:b/>
                      <w:color w:val="FFFFFF" w:themeColor="background1"/>
                      <w:sz w:val="16"/>
                      <w:szCs w:val="16"/>
                    </w:rPr>
                  </w:pPr>
                  <w:r w:rsidRPr="00F72419">
                    <w:rPr>
                      <w:rFonts w:ascii="Verdana" w:hAnsi="Verdana"/>
                      <w:b/>
                      <w:color w:val="FFFFFF" w:themeColor="background1"/>
                      <w:sz w:val="16"/>
                      <w:szCs w:val="16"/>
                    </w:rPr>
                    <w:t>Solar water heating</w:t>
                  </w:r>
                </w:p>
              </w:tc>
              <w:tc>
                <w:tcPr>
                  <w:tcW w:w="607" w:type="dxa"/>
                  <w:tcBorders>
                    <w:top w:val="single" w:sz="6" w:space="0" w:color="auto"/>
                    <w:left w:val="single" w:sz="6" w:space="0" w:color="auto"/>
                    <w:bottom w:val="single" w:sz="6" w:space="0" w:color="auto"/>
                    <w:right w:val="single" w:sz="6" w:space="0" w:color="auto"/>
                  </w:tcBorders>
                  <w:shd w:val="clear" w:color="auto" w:fill="009FDA"/>
                  <w:textDirection w:val="btLr"/>
                  <w:vAlign w:val="center"/>
                </w:tcPr>
                <w:p w14:paraId="2C1B9AF5" w14:textId="77777777" w:rsidR="00EE78D1" w:rsidRPr="00F72419" w:rsidRDefault="00EE78D1" w:rsidP="00EE78D1">
                  <w:pPr>
                    <w:spacing w:before="120" w:after="120" w:line="240" w:lineRule="auto"/>
                    <w:ind w:left="113"/>
                    <w:rPr>
                      <w:rFonts w:ascii="Verdana" w:hAnsi="Verdana"/>
                      <w:b/>
                      <w:color w:val="FFFFFF" w:themeColor="background1"/>
                      <w:sz w:val="16"/>
                      <w:szCs w:val="16"/>
                    </w:rPr>
                  </w:pPr>
                  <w:r w:rsidRPr="00F72419">
                    <w:rPr>
                      <w:rFonts w:ascii="Verdana" w:hAnsi="Verdana"/>
                      <w:b/>
                      <w:color w:val="FFFFFF" w:themeColor="background1"/>
                      <w:sz w:val="16"/>
                      <w:szCs w:val="16"/>
                    </w:rPr>
                    <w:t>Energy efficiency in buildings</w:t>
                  </w:r>
                </w:p>
              </w:tc>
              <w:tc>
                <w:tcPr>
                  <w:tcW w:w="607" w:type="dxa"/>
                  <w:tcBorders>
                    <w:top w:val="single" w:sz="6" w:space="0" w:color="auto"/>
                    <w:left w:val="single" w:sz="6" w:space="0" w:color="auto"/>
                    <w:bottom w:val="single" w:sz="6" w:space="0" w:color="auto"/>
                    <w:right w:val="single" w:sz="6" w:space="0" w:color="auto"/>
                  </w:tcBorders>
                  <w:shd w:val="clear" w:color="auto" w:fill="009FDA"/>
                  <w:textDirection w:val="btLr"/>
                  <w:vAlign w:val="center"/>
                </w:tcPr>
                <w:p w14:paraId="3A14749B" w14:textId="77777777" w:rsidR="00EE78D1" w:rsidRPr="00F72419" w:rsidRDefault="00EE78D1" w:rsidP="00EE78D1">
                  <w:pPr>
                    <w:spacing w:before="120" w:after="120" w:line="240" w:lineRule="auto"/>
                    <w:ind w:left="113"/>
                    <w:rPr>
                      <w:rFonts w:ascii="Verdana" w:hAnsi="Verdana"/>
                      <w:b/>
                      <w:color w:val="FFFFFF" w:themeColor="background1"/>
                      <w:sz w:val="16"/>
                      <w:szCs w:val="16"/>
                    </w:rPr>
                  </w:pPr>
                  <w:r w:rsidRPr="00F72419">
                    <w:rPr>
                      <w:rFonts w:ascii="Verdana" w:hAnsi="Verdana"/>
                      <w:b/>
                      <w:color w:val="FFFFFF" w:themeColor="background1"/>
                      <w:sz w:val="16"/>
                      <w:szCs w:val="16"/>
                    </w:rPr>
                    <w:t>Energy efficiency audits</w:t>
                  </w:r>
                </w:p>
              </w:tc>
              <w:tc>
                <w:tcPr>
                  <w:tcW w:w="607" w:type="dxa"/>
                  <w:tcBorders>
                    <w:top w:val="single" w:sz="6" w:space="0" w:color="auto"/>
                    <w:left w:val="single" w:sz="6" w:space="0" w:color="auto"/>
                    <w:bottom w:val="single" w:sz="6" w:space="0" w:color="auto"/>
                    <w:right w:val="single" w:sz="6" w:space="0" w:color="auto"/>
                  </w:tcBorders>
                  <w:shd w:val="clear" w:color="auto" w:fill="009FDA"/>
                  <w:textDirection w:val="btLr"/>
                  <w:vAlign w:val="center"/>
                </w:tcPr>
                <w:p w14:paraId="3DCA42B7" w14:textId="77777777" w:rsidR="00EE78D1" w:rsidRPr="00F72419" w:rsidRDefault="00EE78D1" w:rsidP="00EE78D1">
                  <w:pPr>
                    <w:spacing w:before="120" w:after="120" w:line="240" w:lineRule="auto"/>
                    <w:ind w:left="113"/>
                    <w:rPr>
                      <w:rFonts w:ascii="Verdana" w:hAnsi="Verdana"/>
                      <w:b/>
                      <w:color w:val="FFFFFF" w:themeColor="background1"/>
                      <w:sz w:val="16"/>
                      <w:szCs w:val="16"/>
                    </w:rPr>
                  </w:pPr>
                  <w:r w:rsidRPr="00F72419">
                    <w:rPr>
                      <w:rFonts w:ascii="Verdana" w:hAnsi="Verdana"/>
                      <w:b/>
                      <w:color w:val="FFFFFF" w:themeColor="background1"/>
                      <w:sz w:val="16"/>
                      <w:szCs w:val="16"/>
                    </w:rPr>
                    <w:t>Prepaid meters</w:t>
                  </w:r>
                </w:p>
              </w:tc>
              <w:tc>
                <w:tcPr>
                  <w:tcW w:w="607" w:type="dxa"/>
                  <w:tcBorders>
                    <w:top w:val="single" w:sz="6" w:space="0" w:color="auto"/>
                    <w:left w:val="single" w:sz="6" w:space="0" w:color="auto"/>
                    <w:bottom w:val="single" w:sz="6" w:space="0" w:color="auto"/>
                    <w:right w:val="single" w:sz="6" w:space="0" w:color="auto"/>
                  </w:tcBorders>
                  <w:shd w:val="clear" w:color="auto" w:fill="009FDA"/>
                  <w:textDirection w:val="btLr"/>
                  <w:vAlign w:val="center"/>
                </w:tcPr>
                <w:p w14:paraId="136E293F" w14:textId="77777777" w:rsidR="00EE78D1" w:rsidRPr="00F72419" w:rsidRDefault="00EE78D1" w:rsidP="00EE78D1">
                  <w:pPr>
                    <w:spacing w:before="120" w:after="120" w:line="240" w:lineRule="auto"/>
                    <w:ind w:left="113"/>
                    <w:rPr>
                      <w:rFonts w:ascii="Verdana" w:hAnsi="Verdana"/>
                      <w:b/>
                      <w:color w:val="FFFFFF" w:themeColor="background1"/>
                      <w:sz w:val="16"/>
                      <w:szCs w:val="16"/>
                    </w:rPr>
                  </w:pPr>
                  <w:r w:rsidRPr="00F72419">
                    <w:rPr>
                      <w:rFonts w:ascii="Verdana" w:hAnsi="Verdana"/>
                      <w:b/>
                      <w:color w:val="FFFFFF" w:themeColor="background1"/>
                      <w:sz w:val="16"/>
                      <w:szCs w:val="16"/>
                    </w:rPr>
                    <w:t>General rehabilitation</w:t>
                  </w:r>
                </w:p>
              </w:tc>
              <w:tc>
                <w:tcPr>
                  <w:tcW w:w="607" w:type="dxa"/>
                  <w:tcBorders>
                    <w:top w:val="single" w:sz="6" w:space="0" w:color="auto"/>
                    <w:left w:val="single" w:sz="6" w:space="0" w:color="auto"/>
                    <w:bottom w:val="single" w:sz="6" w:space="0" w:color="auto"/>
                    <w:right w:val="single" w:sz="6" w:space="0" w:color="auto"/>
                  </w:tcBorders>
                  <w:shd w:val="clear" w:color="auto" w:fill="009FDA"/>
                  <w:textDirection w:val="btLr"/>
                  <w:vAlign w:val="center"/>
                </w:tcPr>
                <w:p w14:paraId="0431034C" w14:textId="77777777" w:rsidR="00EE78D1" w:rsidRPr="00F72419" w:rsidRDefault="00EE78D1" w:rsidP="00EE78D1">
                  <w:pPr>
                    <w:spacing w:before="120" w:after="120" w:line="240" w:lineRule="auto"/>
                    <w:ind w:left="113"/>
                    <w:rPr>
                      <w:rFonts w:ascii="Verdana" w:hAnsi="Verdana"/>
                      <w:b/>
                      <w:color w:val="FFFFFF" w:themeColor="background1"/>
                      <w:sz w:val="16"/>
                      <w:szCs w:val="16"/>
                    </w:rPr>
                  </w:pPr>
                  <w:r w:rsidRPr="00F72419">
                    <w:rPr>
                      <w:rFonts w:ascii="Verdana" w:hAnsi="Verdana"/>
                      <w:b/>
                      <w:color w:val="FFFFFF" w:themeColor="background1"/>
                      <w:sz w:val="16"/>
                      <w:szCs w:val="16"/>
                    </w:rPr>
                    <w:t>Transmission line upgrade</w:t>
                  </w:r>
                </w:p>
              </w:tc>
              <w:tc>
                <w:tcPr>
                  <w:tcW w:w="607" w:type="dxa"/>
                  <w:tcBorders>
                    <w:top w:val="single" w:sz="6" w:space="0" w:color="auto"/>
                    <w:left w:val="single" w:sz="6" w:space="0" w:color="auto"/>
                    <w:bottom w:val="single" w:sz="6" w:space="0" w:color="auto"/>
                    <w:right w:val="single" w:sz="6" w:space="0" w:color="auto"/>
                  </w:tcBorders>
                  <w:shd w:val="clear" w:color="auto" w:fill="009FDA"/>
                  <w:textDirection w:val="btLr"/>
                  <w:vAlign w:val="center"/>
                </w:tcPr>
                <w:p w14:paraId="675830EE" w14:textId="77777777" w:rsidR="00EE78D1" w:rsidRPr="00F72419" w:rsidRDefault="00EE78D1" w:rsidP="00EE78D1">
                  <w:pPr>
                    <w:spacing w:before="120" w:after="120" w:line="240" w:lineRule="auto"/>
                    <w:ind w:left="113"/>
                    <w:rPr>
                      <w:rFonts w:ascii="Verdana" w:hAnsi="Verdana"/>
                      <w:b/>
                      <w:color w:val="FFFFFF" w:themeColor="background1"/>
                      <w:sz w:val="16"/>
                      <w:szCs w:val="16"/>
                    </w:rPr>
                  </w:pPr>
                  <w:r w:rsidRPr="00F72419">
                    <w:rPr>
                      <w:rFonts w:ascii="Verdana" w:hAnsi="Verdana"/>
                      <w:b/>
                      <w:color w:val="FFFFFF" w:themeColor="background1"/>
                      <w:sz w:val="16"/>
                      <w:szCs w:val="16"/>
                    </w:rPr>
                    <w:t>Power factor correction</w:t>
                  </w:r>
                </w:p>
              </w:tc>
              <w:tc>
                <w:tcPr>
                  <w:tcW w:w="607" w:type="dxa"/>
                  <w:tcBorders>
                    <w:top w:val="single" w:sz="6" w:space="0" w:color="auto"/>
                    <w:left w:val="single" w:sz="6" w:space="0" w:color="auto"/>
                    <w:bottom w:val="single" w:sz="6" w:space="0" w:color="auto"/>
                    <w:right w:val="single" w:sz="6" w:space="0" w:color="auto"/>
                  </w:tcBorders>
                  <w:shd w:val="clear" w:color="auto" w:fill="009FDA"/>
                  <w:textDirection w:val="btLr"/>
                  <w:vAlign w:val="center"/>
                </w:tcPr>
                <w:p w14:paraId="3D5A0EC0" w14:textId="77777777" w:rsidR="00EE78D1" w:rsidRPr="00F72419" w:rsidRDefault="00EE78D1" w:rsidP="00EE78D1">
                  <w:pPr>
                    <w:spacing w:before="120" w:after="120" w:line="240" w:lineRule="auto"/>
                    <w:ind w:left="113"/>
                    <w:rPr>
                      <w:rFonts w:ascii="Verdana" w:hAnsi="Verdana"/>
                      <w:b/>
                      <w:color w:val="FFFFFF" w:themeColor="background1"/>
                      <w:sz w:val="16"/>
                      <w:szCs w:val="16"/>
                    </w:rPr>
                  </w:pPr>
                  <w:r w:rsidRPr="00F72419">
                    <w:rPr>
                      <w:rFonts w:ascii="Verdana" w:hAnsi="Verdana"/>
                      <w:b/>
                      <w:color w:val="FFFFFF" w:themeColor="background1"/>
                      <w:sz w:val="16"/>
                      <w:szCs w:val="16"/>
                    </w:rPr>
                    <w:t>Distribution loss reduction</w:t>
                  </w:r>
                </w:p>
              </w:tc>
              <w:tc>
                <w:tcPr>
                  <w:tcW w:w="607" w:type="dxa"/>
                  <w:tcBorders>
                    <w:top w:val="single" w:sz="6" w:space="0" w:color="auto"/>
                    <w:left w:val="single" w:sz="6" w:space="0" w:color="auto"/>
                    <w:bottom w:val="single" w:sz="6" w:space="0" w:color="auto"/>
                    <w:right w:val="single" w:sz="2" w:space="0" w:color="auto"/>
                  </w:tcBorders>
                  <w:shd w:val="clear" w:color="auto" w:fill="009FDA"/>
                  <w:textDirection w:val="btLr"/>
                  <w:vAlign w:val="center"/>
                </w:tcPr>
                <w:p w14:paraId="42F4B1FE" w14:textId="77777777" w:rsidR="00EE78D1" w:rsidRPr="00F72419" w:rsidRDefault="00EE78D1" w:rsidP="00EE78D1">
                  <w:pPr>
                    <w:spacing w:before="120" w:after="120" w:line="240" w:lineRule="auto"/>
                    <w:ind w:left="113"/>
                    <w:rPr>
                      <w:rFonts w:ascii="Verdana" w:hAnsi="Verdana"/>
                      <w:b/>
                      <w:color w:val="FFFFFF" w:themeColor="background1"/>
                      <w:sz w:val="16"/>
                      <w:szCs w:val="16"/>
                    </w:rPr>
                  </w:pPr>
                  <w:r w:rsidRPr="00F72419">
                    <w:rPr>
                      <w:rFonts w:ascii="Verdana" w:hAnsi="Verdana"/>
                      <w:b/>
                      <w:color w:val="FFFFFF" w:themeColor="background1"/>
                      <w:sz w:val="16"/>
                      <w:szCs w:val="16"/>
                    </w:rPr>
                    <w:t>Standards and product labelling</w:t>
                  </w:r>
                </w:p>
              </w:tc>
            </w:tr>
            <w:tr w:rsidR="00EE78D1" w:rsidRPr="00F72419" w14:paraId="10F6DFF8" w14:textId="77777777" w:rsidTr="00751D39">
              <w:trPr>
                <w:trHeight w:hRule="exact" w:val="576"/>
              </w:trPr>
              <w:tc>
                <w:tcPr>
                  <w:tcW w:w="1350" w:type="dxa"/>
                  <w:tcBorders>
                    <w:top w:val="single" w:sz="6" w:space="0" w:color="auto"/>
                    <w:left w:val="single" w:sz="2" w:space="0" w:color="auto"/>
                    <w:bottom w:val="single" w:sz="2" w:space="0" w:color="auto"/>
                    <w:right w:val="single" w:sz="6" w:space="0" w:color="auto"/>
                  </w:tcBorders>
                  <w:vAlign w:val="center"/>
                </w:tcPr>
                <w:p w14:paraId="537CC0AE" w14:textId="77777777" w:rsidR="00EE78D1" w:rsidRPr="00F72419" w:rsidRDefault="00EE78D1" w:rsidP="00EE78D1">
                  <w:pPr>
                    <w:spacing w:before="120" w:after="120" w:line="240" w:lineRule="auto"/>
                    <w:ind w:left="113"/>
                    <w:rPr>
                      <w:rFonts w:ascii="Verdana" w:hAnsi="Verdana"/>
                      <w:sz w:val="16"/>
                      <w:szCs w:val="16"/>
                    </w:rPr>
                  </w:pPr>
                  <w:r w:rsidRPr="00F72419">
                    <w:rPr>
                      <w:rFonts w:ascii="Verdana" w:hAnsi="Verdana"/>
                      <w:sz w:val="16"/>
                      <w:szCs w:val="16"/>
                    </w:rPr>
                    <w:t>Mozambique</w:t>
                  </w:r>
                </w:p>
              </w:tc>
              <w:tc>
                <w:tcPr>
                  <w:tcW w:w="579" w:type="dxa"/>
                  <w:tcBorders>
                    <w:top w:val="single" w:sz="6" w:space="0" w:color="auto"/>
                    <w:left w:val="single" w:sz="6" w:space="0" w:color="auto"/>
                    <w:bottom w:val="single" w:sz="2" w:space="0" w:color="auto"/>
                    <w:right w:val="single" w:sz="6" w:space="0" w:color="auto"/>
                  </w:tcBorders>
                  <w:shd w:val="clear" w:color="auto" w:fill="FFFFFF" w:themeFill="background1"/>
                  <w:vAlign w:val="center"/>
                </w:tcPr>
                <w:p w14:paraId="73F8B5D0" w14:textId="77777777" w:rsidR="00EE78D1" w:rsidRPr="00F72419" w:rsidRDefault="00EE78D1" w:rsidP="00EE78D1">
                  <w:pPr>
                    <w:spacing w:before="120" w:after="120" w:line="240" w:lineRule="auto"/>
                    <w:ind w:left="113"/>
                    <w:jc w:val="center"/>
                    <w:rPr>
                      <w:rFonts w:ascii="Verdana" w:hAnsi="Verdana"/>
                      <w:sz w:val="16"/>
                      <w:szCs w:val="16"/>
                    </w:rPr>
                  </w:pPr>
                  <w:r w:rsidRPr="00F72419">
                    <w:rPr>
                      <w:rFonts w:ascii="Verdana" w:hAnsi="Verdana"/>
                      <w:sz w:val="16"/>
                      <w:szCs w:val="16"/>
                    </w:rPr>
                    <w:t>X</w:t>
                  </w:r>
                </w:p>
              </w:tc>
              <w:tc>
                <w:tcPr>
                  <w:tcW w:w="607" w:type="dxa"/>
                  <w:tcBorders>
                    <w:top w:val="single" w:sz="6" w:space="0" w:color="auto"/>
                    <w:left w:val="single" w:sz="6" w:space="0" w:color="auto"/>
                    <w:bottom w:val="single" w:sz="2" w:space="0" w:color="auto"/>
                    <w:right w:val="single" w:sz="6" w:space="0" w:color="auto"/>
                  </w:tcBorders>
                  <w:shd w:val="clear" w:color="auto" w:fill="FFFFFF" w:themeFill="background1"/>
                </w:tcPr>
                <w:p w14:paraId="2763EE44" w14:textId="77777777" w:rsidR="00EE78D1" w:rsidRPr="00F72419" w:rsidRDefault="00EE78D1" w:rsidP="00EE78D1">
                  <w:pPr>
                    <w:spacing w:before="120" w:after="120" w:line="240" w:lineRule="auto"/>
                    <w:ind w:left="113"/>
                    <w:rPr>
                      <w:rFonts w:ascii="Verdana" w:hAnsi="Verdana"/>
                      <w:sz w:val="16"/>
                      <w:szCs w:val="16"/>
                    </w:rPr>
                  </w:pPr>
                </w:p>
              </w:tc>
              <w:tc>
                <w:tcPr>
                  <w:tcW w:w="607" w:type="dxa"/>
                  <w:tcBorders>
                    <w:top w:val="single" w:sz="6" w:space="0" w:color="auto"/>
                    <w:left w:val="single" w:sz="6" w:space="0" w:color="auto"/>
                    <w:bottom w:val="single" w:sz="2" w:space="0" w:color="auto"/>
                    <w:right w:val="single" w:sz="6" w:space="0" w:color="auto"/>
                  </w:tcBorders>
                  <w:shd w:val="clear" w:color="auto" w:fill="FFFFFF" w:themeFill="background1"/>
                </w:tcPr>
                <w:p w14:paraId="3FB86A5D" w14:textId="77777777" w:rsidR="00EE78D1" w:rsidRPr="00F72419" w:rsidRDefault="00EE78D1" w:rsidP="00EE78D1">
                  <w:pPr>
                    <w:spacing w:before="120" w:after="120" w:line="240" w:lineRule="auto"/>
                    <w:ind w:left="113"/>
                    <w:rPr>
                      <w:rFonts w:ascii="Verdana" w:hAnsi="Verdana"/>
                      <w:sz w:val="16"/>
                      <w:szCs w:val="16"/>
                    </w:rPr>
                  </w:pPr>
                </w:p>
              </w:tc>
              <w:tc>
                <w:tcPr>
                  <w:tcW w:w="607" w:type="dxa"/>
                  <w:tcBorders>
                    <w:top w:val="single" w:sz="6" w:space="0" w:color="auto"/>
                    <w:left w:val="single" w:sz="6" w:space="0" w:color="auto"/>
                    <w:bottom w:val="single" w:sz="2" w:space="0" w:color="auto"/>
                    <w:right w:val="single" w:sz="6" w:space="0" w:color="auto"/>
                  </w:tcBorders>
                  <w:shd w:val="clear" w:color="auto" w:fill="FFFFFF" w:themeFill="background1"/>
                </w:tcPr>
                <w:p w14:paraId="20D54C73" w14:textId="77777777" w:rsidR="00EE78D1" w:rsidRPr="00F72419" w:rsidRDefault="00EE78D1" w:rsidP="00EE78D1">
                  <w:pPr>
                    <w:spacing w:before="120" w:after="120" w:line="240" w:lineRule="auto"/>
                    <w:ind w:left="113"/>
                    <w:rPr>
                      <w:rFonts w:ascii="Verdana" w:hAnsi="Verdana"/>
                      <w:sz w:val="16"/>
                      <w:szCs w:val="16"/>
                    </w:rPr>
                  </w:pPr>
                </w:p>
              </w:tc>
              <w:tc>
                <w:tcPr>
                  <w:tcW w:w="607" w:type="dxa"/>
                  <w:tcBorders>
                    <w:top w:val="single" w:sz="6" w:space="0" w:color="auto"/>
                    <w:left w:val="single" w:sz="6" w:space="0" w:color="auto"/>
                    <w:bottom w:val="single" w:sz="2" w:space="0" w:color="auto"/>
                    <w:right w:val="single" w:sz="6" w:space="0" w:color="auto"/>
                  </w:tcBorders>
                  <w:shd w:val="clear" w:color="auto" w:fill="FFFFFF" w:themeFill="background1"/>
                </w:tcPr>
                <w:p w14:paraId="31E2A960" w14:textId="77777777" w:rsidR="00EE78D1" w:rsidRPr="00F72419" w:rsidRDefault="00EE78D1" w:rsidP="00EE78D1">
                  <w:pPr>
                    <w:spacing w:before="120" w:after="120" w:line="240" w:lineRule="auto"/>
                    <w:ind w:left="113"/>
                    <w:rPr>
                      <w:rFonts w:ascii="Verdana" w:hAnsi="Verdana"/>
                      <w:sz w:val="16"/>
                      <w:szCs w:val="16"/>
                    </w:rPr>
                  </w:pPr>
                </w:p>
              </w:tc>
              <w:tc>
                <w:tcPr>
                  <w:tcW w:w="607" w:type="dxa"/>
                  <w:tcBorders>
                    <w:top w:val="single" w:sz="6" w:space="0" w:color="auto"/>
                    <w:left w:val="single" w:sz="6" w:space="0" w:color="auto"/>
                    <w:bottom w:val="single" w:sz="2" w:space="0" w:color="auto"/>
                    <w:right w:val="single" w:sz="6" w:space="0" w:color="auto"/>
                  </w:tcBorders>
                  <w:shd w:val="clear" w:color="auto" w:fill="FFFFFF" w:themeFill="background1"/>
                </w:tcPr>
                <w:p w14:paraId="5F889A4B" w14:textId="77777777" w:rsidR="00EE78D1" w:rsidRPr="00F72419" w:rsidRDefault="00EE78D1" w:rsidP="00EE78D1">
                  <w:pPr>
                    <w:spacing w:before="120" w:after="120" w:line="240" w:lineRule="auto"/>
                    <w:ind w:left="113"/>
                    <w:rPr>
                      <w:rFonts w:ascii="Verdana" w:hAnsi="Verdana"/>
                      <w:sz w:val="16"/>
                      <w:szCs w:val="16"/>
                    </w:rPr>
                  </w:pPr>
                </w:p>
              </w:tc>
              <w:tc>
                <w:tcPr>
                  <w:tcW w:w="607" w:type="dxa"/>
                  <w:tcBorders>
                    <w:top w:val="single" w:sz="6" w:space="0" w:color="auto"/>
                    <w:left w:val="single" w:sz="6" w:space="0" w:color="auto"/>
                    <w:bottom w:val="single" w:sz="2" w:space="0" w:color="auto"/>
                    <w:right w:val="single" w:sz="6" w:space="0" w:color="auto"/>
                  </w:tcBorders>
                  <w:shd w:val="clear" w:color="auto" w:fill="FFFFFF" w:themeFill="background1"/>
                </w:tcPr>
                <w:p w14:paraId="169427F5" w14:textId="77777777" w:rsidR="00EE78D1" w:rsidRPr="00F72419" w:rsidRDefault="00EE78D1" w:rsidP="00EE78D1">
                  <w:pPr>
                    <w:spacing w:before="120" w:after="120" w:line="240" w:lineRule="auto"/>
                    <w:ind w:left="113"/>
                    <w:rPr>
                      <w:rFonts w:ascii="Verdana" w:hAnsi="Verdana"/>
                      <w:sz w:val="16"/>
                      <w:szCs w:val="16"/>
                    </w:rPr>
                  </w:pPr>
                </w:p>
              </w:tc>
              <w:tc>
                <w:tcPr>
                  <w:tcW w:w="607" w:type="dxa"/>
                  <w:tcBorders>
                    <w:top w:val="single" w:sz="6" w:space="0" w:color="auto"/>
                    <w:left w:val="single" w:sz="6" w:space="0" w:color="auto"/>
                    <w:bottom w:val="single" w:sz="2" w:space="0" w:color="auto"/>
                    <w:right w:val="single" w:sz="6" w:space="0" w:color="auto"/>
                  </w:tcBorders>
                  <w:shd w:val="clear" w:color="auto" w:fill="FFFFFF" w:themeFill="background1"/>
                </w:tcPr>
                <w:p w14:paraId="4CCDAD62" w14:textId="77777777" w:rsidR="00EE78D1" w:rsidRPr="00F72419" w:rsidRDefault="00EE78D1" w:rsidP="00EE78D1">
                  <w:pPr>
                    <w:spacing w:before="120" w:after="120" w:line="240" w:lineRule="auto"/>
                    <w:ind w:left="113"/>
                    <w:rPr>
                      <w:rFonts w:ascii="Verdana" w:hAnsi="Verdana"/>
                      <w:sz w:val="16"/>
                      <w:szCs w:val="16"/>
                    </w:rPr>
                  </w:pPr>
                </w:p>
              </w:tc>
              <w:tc>
                <w:tcPr>
                  <w:tcW w:w="607" w:type="dxa"/>
                  <w:tcBorders>
                    <w:top w:val="single" w:sz="6" w:space="0" w:color="auto"/>
                    <w:left w:val="single" w:sz="6" w:space="0" w:color="auto"/>
                    <w:bottom w:val="single" w:sz="2" w:space="0" w:color="auto"/>
                    <w:right w:val="single" w:sz="6" w:space="0" w:color="auto"/>
                  </w:tcBorders>
                  <w:shd w:val="clear" w:color="auto" w:fill="FFFFFF" w:themeFill="background1"/>
                </w:tcPr>
                <w:p w14:paraId="0981581B" w14:textId="77777777" w:rsidR="00EE78D1" w:rsidRPr="00F72419" w:rsidRDefault="00EE78D1" w:rsidP="00EE78D1">
                  <w:pPr>
                    <w:spacing w:before="120" w:after="120" w:line="240" w:lineRule="auto"/>
                    <w:ind w:left="113"/>
                    <w:rPr>
                      <w:rFonts w:ascii="Verdana" w:hAnsi="Verdana"/>
                      <w:sz w:val="16"/>
                      <w:szCs w:val="16"/>
                    </w:rPr>
                  </w:pPr>
                </w:p>
              </w:tc>
              <w:tc>
                <w:tcPr>
                  <w:tcW w:w="607" w:type="dxa"/>
                  <w:tcBorders>
                    <w:top w:val="single" w:sz="6" w:space="0" w:color="auto"/>
                    <w:left w:val="single" w:sz="6" w:space="0" w:color="auto"/>
                    <w:bottom w:val="single" w:sz="2" w:space="0" w:color="auto"/>
                    <w:right w:val="single" w:sz="6" w:space="0" w:color="auto"/>
                  </w:tcBorders>
                  <w:shd w:val="clear" w:color="auto" w:fill="FFFFFF" w:themeFill="background1"/>
                </w:tcPr>
                <w:p w14:paraId="421DAC92" w14:textId="77777777" w:rsidR="00EE78D1" w:rsidRPr="00F72419" w:rsidRDefault="00EE78D1" w:rsidP="00EE78D1">
                  <w:pPr>
                    <w:spacing w:before="120" w:after="120" w:line="240" w:lineRule="auto"/>
                    <w:ind w:left="113"/>
                    <w:rPr>
                      <w:rFonts w:ascii="Verdana" w:hAnsi="Verdana"/>
                      <w:sz w:val="16"/>
                      <w:szCs w:val="16"/>
                    </w:rPr>
                  </w:pPr>
                </w:p>
              </w:tc>
              <w:tc>
                <w:tcPr>
                  <w:tcW w:w="607" w:type="dxa"/>
                  <w:tcBorders>
                    <w:top w:val="single" w:sz="6" w:space="0" w:color="auto"/>
                    <w:left w:val="single" w:sz="6" w:space="0" w:color="auto"/>
                    <w:bottom w:val="single" w:sz="2" w:space="0" w:color="auto"/>
                    <w:right w:val="single" w:sz="6" w:space="0" w:color="auto"/>
                  </w:tcBorders>
                  <w:shd w:val="clear" w:color="auto" w:fill="FFFFFF" w:themeFill="background1"/>
                </w:tcPr>
                <w:p w14:paraId="07722FB0" w14:textId="77777777" w:rsidR="00EE78D1" w:rsidRPr="00F72419" w:rsidRDefault="00EE78D1" w:rsidP="00EE78D1">
                  <w:pPr>
                    <w:spacing w:before="120" w:after="120" w:line="240" w:lineRule="auto"/>
                    <w:ind w:left="113"/>
                    <w:rPr>
                      <w:rFonts w:ascii="Verdana" w:hAnsi="Verdana"/>
                      <w:sz w:val="16"/>
                      <w:szCs w:val="16"/>
                    </w:rPr>
                  </w:pPr>
                </w:p>
              </w:tc>
              <w:tc>
                <w:tcPr>
                  <w:tcW w:w="607" w:type="dxa"/>
                  <w:tcBorders>
                    <w:top w:val="single" w:sz="6" w:space="0" w:color="auto"/>
                    <w:left w:val="single" w:sz="6" w:space="0" w:color="auto"/>
                    <w:bottom w:val="single" w:sz="2" w:space="0" w:color="auto"/>
                    <w:right w:val="single" w:sz="6" w:space="0" w:color="auto"/>
                  </w:tcBorders>
                  <w:shd w:val="clear" w:color="auto" w:fill="FFFFFF" w:themeFill="background1"/>
                </w:tcPr>
                <w:p w14:paraId="429C33D3" w14:textId="77777777" w:rsidR="00EE78D1" w:rsidRPr="00F72419" w:rsidRDefault="00EE78D1" w:rsidP="00EE78D1">
                  <w:pPr>
                    <w:spacing w:before="120" w:after="120" w:line="240" w:lineRule="auto"/>
                    <w:ind w:left="113"/>
                    <w:rPr>
                      <w:rFonts w:ascii="Verdana" w:hAnsi="Verdana"/>
                      <w:sz w:val="16"/>
                      <w:szCs w:val="16"/>
                    </w:rPr>
                  </w:pPr>
                </w:p>
              </w:tc>
              <w:tc>
                <w:tcPr>
                  <w:tcW w:w="607" w:type="dxa"/>
                  <w:tcBorders>
                    <w:top w:val="single" w:sz="6" w:space="0" w:color="auto"/>
                    <w:left w:val="single" w:sz="6" w:space="0" w:color="auto"/>
                    <w:bottom w:val="single" w:sz="2" w:space="0" w:color="auto"/>
                    <w:right w:val="single" w:sz="6" w:space="0" w:color="auto"/>
                  </w:tcBorders>
                  <w:shd w:val="clear" w:color="auto" w:fill="FFFFFF" w:themeFill="background1"/>
                </w:tcPr>
                <w:p w14:paraId="7D7D0B07" w14:textId="77777777" w:rsidR="00EE78D1" w:rsidRPr="00F72419" w:rsidRDefault="00EE78D1" w:rsidP="00EE78D1">
                  <w:pPr>
                    <w:spacing w:before="120" w:after="120" w:line="240" w:lineRule="auto"/>
                    <w:ind w:left="113"/>
                    <w:rPr>
                      <w:rFonts w:ascii="Verdana" w:hAnsi="Verdana"/>
                      <w:sz w:val="16"/>
                      <w:szCs w:val="16"/>
                    </w:rPr>
                  </w:pPr>
                </w:p>
              </w:tc>
              <w:tc>
                <w:tcPr>
                  <w:tcW w:w="607" w:type="dxa"/>
                  <w:tcBorders>
                    <w:top w:val="single" w:sz="6" w:space="0" w:color="auto"/>
                    <w:left w:val="single" w:sz="6" w:space="0" w:color="auto"/>
                    <w:bottom w:val="single" w:sz="2" w:space="0" w:color="auto"/>
                    <w:right w:val="single" w:sz="2" w:space="0" w:color="auto"/>
                  </w:tcBorders>
                  <w:shd w:val="clear" w:color="auto" w:fill="FFFFFF" w:themeFill="background1"/>
                </w:tcPr>
                <w:p w14:paraId="411D0288" w14:textId="77777777" w:rsidR="00EE78D1" w:rsidRPr="00F72419" w:rsidRDefault="00EE78D1" w:rsidP="00EE78D1">
                  <w:pPr>
                    <w:spacing w:before="120" w:after="120" w:line="240" w:lineRule="auto"/>
                    <w:ind w:left="113"/>
                    <w:rPr>
                      <w:rFonts w:ascii="Verdana" w:hAnsi="Verdana"/>
                      <w:sz w:val="16"/>
                      <w:szCs w:val="16"/>
                    </w:rPr>
                  </w:pPr>
                </w:p>
              </w:tc>
            </w:tr>
          </w:tbl>
          <w:p w14:paraId="59AE2564" w14:textId="72274D27" w:rsidR="00EE78D1" w:rsidRPr="00F72419" w:rsidRDefault="005D655F" w:rsidP="005D655F">
            <w:pPr>
              <w:pStyle w:val="CTCN"/>
              <w:spacing w:before="0" w:after="0" w:line="240" w:lineRule="auto"/>
              <w:rPr>
                <w:rFonts w:ascii="Arial" w:hAnsi="Arial" w:cs="Arial"/>
                <w:i/>
                <w:iCs/>
              </w:rPr>
            </w:pPr>
            <w:r w:rsidRPr="00F72419">
              <w:rPr>
                <w:rFonts w:ascii="Arial" w:hAnsi="Arial" w:cs="Arial"/>
              </w:rPr>
              <w:lastRenderedPageBreak/>
              <w:t>In addition, the table</w:t>
            </w:r>
            <w:r w:rsidR="00751D39" w:rsidRPr="00F72419">
              <w:rPr>
                <w:rFonts w:ascii="Arial" w:hAnsi="Arial" w:cs="Arial"/>
              </w:rPr>
              <w:t xml:space="preserve"> below</w:t>
            </w:r>
            <w:r w:rsidR="00EE78D1" w:rsidRPr="00F72419">
              <w:rPr>
                <w:rFonts w:ascii="Arial" w:hAnsi="Arial" w:cs="Arial"/>
              </w:rPr>
              <w:t xml:space="preserve"> provides a summary of energy efficiency targets by type of programme. Because most targets are qualitative rather than quantitative, the table is simply an indication of whether a </w:t>
            </w:r>
            <w:proofErr w:type="gramStart"/>
            <w:r w:rsidR="00EE78D1" w:rsidRPr="00F72419">
              <w:rPr>
                <w:rFonts w:ascii="Arial" w:hAnsi="Arial" w:cs="Arial"/>
              </w:rPr>
              <w:t>particular policy</w:t>
            </w:r>
            <w:proofErr w:type="gramEnd"/>
            <w:r w:rsidR="00EE78D1" w:rsidRPr="00F72419">
              <w:rPr>
                <w:rFonts w:ascii="Arial" w:hAnsi="Arial" w:cs="Arial"/>
              </w:rPr>
              <w:t xml:space="preserve"> target has been </w:t>
            </w:r>
            <w:r w:rsidRPr="00F72419">
              <w:rPr>
                <w:rFonts w:ascii="Arial" w:hAnsi="Arial" w:cs="Arial"/>
              </w:rPr>
              <w:t xml:space="preserve">and is to be </w:t>
            </w:r>
            <w:r w:rsidR="00EE78D1" w:rsidRPr="00F72419">
              <w:rPr>
                <w:rFonts w:ascii="Arial" w:hAnsi="Arial" w:cs="Arial"/>
              </w:rPr>
              <w:t>implemented</w:t>
            </w:r>
            <w:r w:rsidR="00EE78D1" w:rsidRPr="00F72419">
              <w:rPr>
                <w:rFonts w:ascii="Arial" w:hAnsi="Arial" w:cs="Arial"/>
                <w:i/>
                <w:iCs/>
              </w:rPr>
              <w:t>.</w:t>
            </w:r>
          </w:p>
          <w:p w14:paraId="08DD4440" w14:textId="150C605B" w:rsidR="00EE78D1" w:rsidRPr="00F72419" w:rsidRDefault="00EE78D1" w:rsidP="005D655F">
            <w:pPr>
              <w:pStyle w:val="Caption"/>
              <w:spacing w:before="40" w:after="140" w:line="280" w:lineRule="exact"/>
              <w:jc w:val="center"/>
              <w:rPr>
                <w:i w:val="0"/>
                <w:iCs w:val="0"/>
              </w:rPr>
            </w:pPr>
            <w:bookmarkStart w:id="5" w:name="_Ref512350756"/>
            <w:proofErr w:type="gramStart"/>
            <w:r w:rsidRPr="00F72419">
              <w:t xml:space="preserve">Table </w:t>
            </w:r>
            <w:bookmarkEnd w:id="5"/>
            <w:r w:rsidR="00751D39" w:rsidRPr="00F72419">
              <w:t>:</w:t>
            </w:r>
            <w:proofErr w:type="gramEnd"/>
            <w:r w:rsidR="00751D39" w:rsidRPr="00F72419">
              <w:t xml:space="preserve"> </w:t>
            </w:r>
            <w:r w:rsidRPr="00F72419">
              <w:t>Mozambique’s national energy efficiency targeted programmes</w:t>
            </w: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shd w:val="clear" w:color="auto" w:fill="009FDA"/>
              <w:tblCellMar>
                <w:left w:w="0" w:type="dxa"/>
                <w:right w:w="0" w:type="dxa"/>
              </w:tblCellMar>
              <w:tblLook w:val="01E0" w:firstRow="1" w:lastRow="1" w:firstColumn="1" w:lastColumn="1" w:noHBand="0" w:noVBand="0"/>
            </w:tblPr>
            <w:tblGrid>
              <w:gridCol w:w="1949"/>
              <w:gridCol w:w="1126"/>
              <w:gridCol w:w="1314"/>
              <w:gridCol w:w="935"/>
              <w:gridCol w:w="1125"/>
              <w:gridCol w:w="1125"/>
              <w:gridCol w:w="1125"/>
              <w:gridCol w:w="1121"/>
            </w:tblGrid>
            <w:tr w:rsidR="00EE78D1" w:rsidRPr="00F72419" w14:paraId="57735A23" w14:textId="77777777" w:rsidTr="00751D39">
              <w:trPr>
                <w:trHeight w:hRule="exact" w:val="1686"/>
              </w:trPr>
              <w:tc>
                <w:tcPr>
                  <w:tcW w:w="992" w:type="pct"/>
                  <w:tcBorders>
                    <w:bottom w:val="single" w:sz="6" w:space="0" w:color="auto"/>
                  </w:tcBorders>
                  <w:shd w:val="clear" w:color="auto" w:fill="009FDA"/>
                  <w:vAlign w:val="center"/>
                </w:tcPr>
                <w:p w14:paraId="2B8FF357" w14:textId="77777777" w:rsidR="00EE78D1" w:rsidRPr="00F72419" w:rsidRDefault="00EE78D1" w:rsidP="00EE78D1">
                  <w:pPr>
                    <w:spacing w:before="120" w:after="120" w:line="240" w:lineRule="auto"/>
                    <w:rPr>
                      <w:rFonts w:ascii="Verdana" w:hAnsi="Verdana"/>
                      <w:b/>
                      <w:color w:val="FFFFFF" w:themeColor="background1"/>
                      <w:sz w:val="18"/>
                      <w:szCs w:val="18"/>
                    </w:rPr>
                  </w:pPr>
                </w:p>
                <w:p w14:paraId="4C770AE6" w14:textId="77777777" w:rsidR="00EE78D1" w:rsidRPr="00F72419" w:rsidRDefault="00EE78D1" w:rsidP="00EE78D1">
                  <w:pPr>
                    <w:spacing w:before="120" w:after="120" w:line="240" w:lineRule="auto"/>
                    <w:ind w:left="113"/>
                    <w:rPr>
                      <w:rFonts w:ascii="Verdana" w:hAnsi="Verdana"/>
                      <w:b/>
                      <w:color w:val="FFFFFF" w:themeColor="background1"/>
                      <w:sz w:val="18"/>
                      <w:szCs w:val="18"/>
                    </w:rPr>
                  </w:pPr>
                  <w:r w:rsidRPr="00F72419">
                    <w:rPr>
                      <w:rFonts w:ascii="Verdana" w:hAnsi="Verdana"/>
                      <w:b/>
                      <w:color w:val="FFFFFF" w:themeColor="background1"/>
                      <w:sz w:val="18"/>
                      <w:szCs w:val="18"/>
                    </w:rPr>
                    <w:t>Target                   type</w:t>
                  </w:r>
                </w:p>
                <w:p w14:paraId="0DE9FF89" w14:textId="77777777" w:rsidR="00EE78D1" w:rsidRPr="00F72419" w:rsidRDefault="00EE78D1" w:rsidP="00EE78D1">
                  <w:pPr>
                    <w:spacing w:before="120" w:after="120" w:line="240" w:lineRule="auto"/>
                    <w:ind w:left="113"/>
                    <w:rPr>
                      <w:rFonts w:ascii="Verdana" w:hAnsi="Verdana"/>
                      <w:b/>
                      <w:color w:val="FFFFFF" w:themeColor="background1"/>
                      <w:sz w:val="18"/>
                      <w:szCs w:val="18"/>
                    </w:rPr>
                  </w:pPr>
                </w:p>
              </w:tc>
              <w:tc>
                <w:tcPr>
                  <w:tcW w:w="573" w:type="pct"/>
                  <w:tcBorders>
                    <w:bottom w:val="single" w:sz="6" w:space="0" w:color="auto"/>
                  </w:tcBorders>
                  <w:shd w:val="clear" w:color="auto" w:fill="009FDA"/>
                  <w:textDirection w:val="btLr"/>
                  <w:vAlign w:val="center"/>
                </w:tcPr>
                <w:p w14:paraId="64FCE669" w14:textId="77777777" w:rsidR="00EE78D1" w:rsidRPr="00F72419" w:rsidRDefault="00EE78D1" w:rsidP="00EE78D1">
                  <w:pPr>
                    <w:spacing w:before="120" w:after="120" w:line="240" w:lineRule="auto"/>
                    <w:ind w:left="113"/>
                    <w:rPr>
                      <w:rFonts w:ascii="Verdana" w:hAnsi="Verdana"/>
                      <w:b/>
                      <w:color w:val="FFFFFF" w:themeColor="background1"/>
                      <w:sz w:val="18"/>
                      <w:szCs w:val="18"/>
                    </w:rPr>
                  </w:pPr>
                  <w:r w:rsidRPr="00F72419">
                    <w:rPr>
                      <w:rFonts w:ascii="Verdana" w:hAnsi="Verdana"/>
                      <w:b/>
                      <w:color w:val="FFFFFF" w:themeColor="background1"/>
                      <w:sz w:val="18"/>
                      <w:szCs w:val="18"/>
                    </w:rPr>
                    <w:t>Lighting retrofit</w:t>
                  </w:r>
                </w:p>
              </w:tc>
              <w:tc>
                <w:tcPr>
                  <w:tcW w:w="669" w:type="pct"/>
                  <w:tcBorders>
                    <w:bottom w:val="single" w:sz="6" w:space="0" w:color="auto"/>
                  </w:tcBorders>
                  <w:shd w:val="clear" w:color="auto" w:fill="009FDA"/>
                  <w:textDirection w:val="btLr"/>
                  <w:vAlign w:val="center"/>
                </w:tcPr>
                <w:p w14:paraId="55203A76" w14:textId="77777777" w:rsidR="00EE78D1" w:rsidRPr="00F72419" w:rsidRDefault="00EE78D1" w:rsidP="00EE78D1">
                  <w:pPr>
                    <w:spacing w:before="120" w:after="120" w:line="240" w:lineRule="auto"/>
                    <w:ind w:left="113"/>
                    <w:rPr>
                      <w:rFonts w:ascii="Verdana" w:hAnsi="Verdana"/>
                      <w:b/>
                      <w:color w:val="FFFFFF" w:themeColor="background1"/>
                      <w:sz w:val="18"/>
                      <w:szCs w:val="18"/>
                    </w:rPr>
                  </w:pPr>
                  <w:r w:rsidRPr="00F72419">
                    <w:rPr>
                      <w:rFonts w:ascii="Verdana" w:hAnsi="Verdana"/>
                      <w:b/>
                      <w:color w:val="FFFFFF" w:themeColor="background1"/>
                      <w:sz w:val="18"/>
                      <w:szCs w:val="18"/>
                    </w:rPr>
                    <w:t>Reduce electricity distribution losses</w:t>
                  </w:r>
                </w:p>
              </w:tc>
              <w:tc>
                <w:tcPr>
                  <w:tcW w:w="476" w:type="pct"/>
                  <w:tcBorders>
                    <w:bottom w:val="single" w:sz="6" w:space="0" w:color="auto"/>
                  </w:tcBorders>
                  <w:shd w:val="clear" w:color="auto" w:fill="009FDA"/>
                  <w:textDirection w:val="btLr"/>
                  <w:vAlign w:val="center"/>
                </w:tcPr>
                <w:p w14:paraId="506FA56C" w14:textId="77777777" w:rsidR="00EE78D1" w:rsidRPr="00F72419" w:rsidRDefault="00EE78D1" w:rsidP="00EE78D1">
                  <w:pPr>
                    <w:spacing w:before="120" w:after="120" w:line="240" w:lineRule="auto"/>
                    <w:ind w:left="113"/>
                    <w:rPr>
                      <w:rFonts w:ascii="Verdana" w:hAnsi="Verdana"/>
                      <w:b/>
                      <w:color w:val="FFFFFF" w:themeColor="background1"/>
                      <w:sz w:val="18"/>
                      <w:szCs w:val="18"/>
                    </w:rPr>
                  </w:pPr>
                  <w:r w:rsidRPr="00F72419">
                    <w:rPr>
                      <w:rFonts w:ascii="Verdana" w:hAnsi="Verdana"/>
                      <w:b/>
                      <w:color w:val="FFFFFF" w:themeColor="background1"/>
                      <w:sz w:val="18"/>
                      <w:szCs w:val="18"/>
                    </w:rPr>
                    <w:t>Improved cooking devices</w:t>
                  </w:r>
                </w:p>
              </w:tc>
              <w:tc>
                <w:tcPr>
                  <w:tcW w:w="573" w:type="pct"/>
                  <w:tcBorders>
                    <w:bottom w:val="single" w:sz="6" w:space="0" w:color="auto"/>
                  </w:tcBorders>
                  <w:shd w:val="clear" w:color="auto" w:fill="009FDA"/>
                  <w:textDirection w:val="btLr"/>
                  <w:vAlign w:val="center"/>
                </w:tcPr>
                <w:p w14:paraId="6629F0EE" w14:textId="77777777" w:rsidR="00EE78D1" w:rsidRPr="00F72419" w:rsidRDefault="00EE78D1" w:rsidP="00EE78D1">
                  <w:pPr>
                    <w:spacing w:before="120" w:after="120" w:line="240" w:lineRule="auto"/>
                    <w:ind w:left="113"/>
                    <w:rPr>
                      <w:rFonts w:ascii="Verdana" w:hAnsi="Verdana"/>
                      <w:b/>
                      <w:color w:val="FFFFFF" w:themeColor="background1"/>
                      <w:sz w:val="18"/>
                      <w:szCs w:val="18"/>
                    </w:rPr>
                  </w:pPr>
                  <w:r w:rsidRPr="00F72419">
                    <w:rPr>
                      <w:rFonts w:ascii="Verdana" w:hAnsi="Verdana"/>
                      <w:b/>
                      <w:color w:val="FFFFFF" w:themeColor="background1"/>
                      <w:sz w:val="18"/>
                      <w:szCs w:val="18"/>
                    </w:rPr>
                    <w:t>Load management</w:t>
                  </w:r>
                </w:p>
              </w:tc>
              <w:tc>
                <w:tcPr>
                  <w:tcW w:w="573" w:type="pct"/>
                  <w:tcBorders>
                    <w:bottom w:val="single" w:sz="6" w:space="0" w:color="auto"/>
                  </w:tcBorders>
                  <w:shd w:val="clear" w:color="auto" w:fill="009FDA"/>
                  <w:textDirection w:val="btLr"/>
                  <w:vAlign w:val="center"/>
                </w:tcPr>
                <w:p w14:paraId="720CCC59" w14:textId="77777777" w:rsidR="00EE78D1" w:rsidRPr="00F72419" w:rsidRDefault="00EE78D1" w:rsidP="00EE78D1">
                  <w:pPr>
                    <w:spacing w:before="120" w:after="120" w:line="240" w:lineRule="auto"/>
                    <w:ind w:left="113"/>
                    <w:rPr>
                      <w:rFonts w:ascii="Verdana" w:hAnsi="Verdana"/>
                      <w:b/>
                      <w:color w:val="FFFFFF" w:themeColor="background1"/>
                      <w:sz w:val="18"/>
                      <w:szCs w:val="18"/>
                    </w:rPr>
                  </w:pPr>
                  <w:r w:rsidRPr="00F72419">
                    <w:rPr>
                      <w:rFonts w:ascii="Verdana" w:hAnsi="Verdana"/>
                      <w:b/>
                      <w:color w:val="FFFFFF" w:themeColor="background1"/>
                      <w:sz w:val="18"/>
                      <w:szCs w:val="18"/>
                    </w:rPr>
                    <w:t>Standards and     Labelling</w:t>
                  </w:r>
                </w:p>
              </w:tc>
              <w:tc>
                <w:tcPr>
                  <w:tcW w:w="573" w:type="pct"/>
                  <w:tcBorders>
                    <w:bottom w:val="single" w:sz="6" w:space="0" w:color="auto"/>
                  </w:tcBorders>
                  <w:shd w:val="clear" w:color="auto" w:fill="009FDA"/>
                  <w:textDirection w:val="btLr"/>
                  <w:vAlign w:val="center"/>
                </w:tcPr>
                <w:p w14:paraId="70087621" w14:textId="77777777" w:rsidR="00EE78D1" w:rsidRPr="00F72419" w:rsidRDefault="00EE78D1" w:rsidP="00EE78D1">
                  <w:pPr>
                    <w:spacing w:before="120" w:after="120" w:line="240" w:lineRule="auto"/>
                    <w:ind w:left="113"/>
                    <w:rPr>
                      <w:rFonts w:ascii="Verdana" w:hAnsi="Verdana"/>
                      <w:b/>
                      <w:color w:val="FFFFFF" w:themeColor="background1"/>
                      <w:sz w:val="18"/>
                      <w:szCs w:val="18"/>
                    </w:rPr>
                  </w:pPr>
                  <w:r w:rsidRPr="00F72419">
                    <w:rPr>
                      <w:rFonts w:ascii="Verdana" w:hAnsi="Verdana"/>
                      <w:b/>
                      <w:color w:val="FFFFFF" w:themeColor="background1"/>
                      <w:sz w:val="18"/>
                      <w:szCs w:val="18"/>
                    </w:rPr>
                    <w:t>Financing</w:t>
                  </w:r>
                </w:p>
              </w:tc>
              <w:tc>
                <w:tcPr>
                  <w:tcW w:w="573" w:type="pct"/>
                  <w:tcBorders>
                    <w:bottom w:val="single" w:sz="6" w:space="0" w:color="auto"/>
                  </w:tcBorders>
                  <w:shd w:val="clear" w:color="auto" w:fill="009FDA"/>
                  <w:textDirection w:val="btLr"/>
                  <w:vAlign w:val="center"/>
                </w:tcPr>
                <w:p w14:paraId="0FA8BD50" w14:textId="77777777" w:rsidR="00EE78D1" w:rsidRPr="00F72419" w:rsidRDefault="00EE78D1" w:rsidP="00EE78D1">
                  <w:pPr>
                    <w:spacing w:before="120" w:after="120" w:line="240" w:lineRule="auto"/>
                    <w:ind w:left="113"/>
                    <w:rPr>
                      <w:rFonts w:ascii="Verdana" w:hAnsi="Verdana"/>
                      <w:b/>
                      <w:color w:val="FFFFFF" w:themeColor="background1"/>
                      <w:sz w:val="18"/>
                      <w:szCs w:val="18"/>
                    </w:rPr>
                  </w:pPr>
                  <w:r w:rsidRPr="00F72419">
                    <w:rPr>
                      <w:rFonts w:ascii="Verdana" w:hAnsi="Verdana"/>
                      <w:b/>
                      <w:color w:val="FFFFFF" w:themeColor="background1"/>
                      <w:sz w:val="18"/>
                      <w:szCs w:val="18"/>
                    </w:rPr>
                    <w:t>Revised building codes</w:t>
                  </w:r>
                </w:p>
              </w:tc>
            </w:tr>
            <w:tr w:rsidR="00EE78D1" w:rsidRPr="00F72419" w14:paraId="32FC2104" w14:textId="77777777" w:rsidTr="00751D39">
              <w:trPr>
                <w:trHeight w:hRule="exact" w:val="432"/>
              </w:trPr>
              <w:tc>
                <w:tcPr>
                  <w:tcW w:w="992" w:type="pct"/>
                  <w:tcBorders>
                    <w:top w:val="single" w:sz="6" w:space="0" w:color="auto"/>
                    <w:bottom w:val="single" w:sz="2" w:space="0" w:color="auto"/>
                  </w:tcBorders>
                  <w:shd w:val="clear" w:color="auto" w:fill="FFFFFF" w:themeFill="background1"/>
                </w:tcPr>
                <w:p w14:paraId="7F55D3C4" w14:textId="77777777" w:rsidR="00EE78D1" w:rsidRPr="00F72419" w:rsidRDefault="00EE78D1" w:rsidP="00EE78D1">
                  <w:pPr>
                    <w:spacing w:before="120" w:after="120" w:line="240" w:lineRule="auto"/>
                    <w:ind w:left="113"/>
                    <w:rPr>
                      <w:rFonts w:ascii="Verdana" w:hAnsi="Verdana"/>
                      <w:sz w:val="18"/>
                      <w:szCs w:val="18"/>
                    </w:rPr>
                  </w:pPr>
                  <w:r w:rsidRPr="00F72419">
                    <w:rPr>
                      <w:rFonts w:ascii="Verdana" w:hAnsi="Verdana"/>
                      <w:sz w:val="18"/>
                      <w:szCs w:val="18"/>
                    </w:rPr>
                    <w:t>Mozambique</w:t>
                  </w:r>
                </w:p>
              </w:tc>
              <w:tc>
                <w:tcPr>
                  <w:tcW w:w="573" w:type="pct"/>
                  <w:tcBorders>
                    <w:top w:val="single" w:sz="6" w:space="0" w:color="auto"/>
                    <w:bottom w:val="single" w:sz="2" w:space="0" w:color="auto"/>
                  </w:tcBorders>
                  <w:shd w:val="clear" w:color="auto" w:fill="FFFFFF" w:themeFill="background1"/>
                  <w:vAlign w:val="center"/>
                </w:tcPr>
                <w:p w14:paraId="1AAA0B5A" w14:textId="77777777" w:rsidR="00EE78D1" w:rsidRPr="00F72419" w:rsidRDefault="00EE78D1" w:rsidP="00EE78D1">
                  <w:pPr>
                    <w:spacing w:before="120" w:after="120" w:line="240" w:lineRule="auto"/>
                    <w:ind w:left="113"/>
                    <w:jc w:val="center"/>
                    <w:rPr>
                      <w:rFonts w:ascii="Verdana" w:hAnsi="Verdana"/>
                      <w:sz w:val="18"/>
                      <w:szCs w:val="18"/>
                    </w:rPr>
                  </w:pPr>
                  <w:r w:rsidRPr="00F72419">
                    <w:rPr>
                      <w:rFonts w:ascii="Verdana" w:hAnsi="Verdana"/>
                      <w:sz w:val="18"/>
                      <w:szCs w:val="18"/>
                    </w:rPr>
                    <w:t>X</w:t>
                  </w:r>
                </w:p>
              </w:tc>
              <w:tc>
                <w:tcPr>
                  <w:tcW w:w="669" w:type="pct"/>
                  <w:tcBorders>
                    <w:top w:val="single" w:sz="6" w:space="0" w:color="auto"/>
                    <w:bottom w:val="single" w:sz="2" w:space="0" w:color="auto"/>
                  </w:tcBorders>
                  <w:shd w:val="clear" w:color="auto" w:fill="FFFFFF" w:themeFill="background1"/>
                  <w:vAlign w:val="center"/>
                </w:tcPr>
                <w:p w14:paraId="08824CFF" w14:textId="77777777" w:rsidR="00EE78D1" w:rsidRPr="00F72419" w:rsidRDefault="00EE78D1" w:rsidP="00EE78D1">
                  <w:pPr>
                    <w:spacing w:before="120" w:after="120" w:line="240" w:lineRule="auto"/>
                    <w:ind w:left="113"/>
                    <w:jc w:val="center"/>
                    <w:rPr>
                      <w:rFonts w:ascii="Verdana" w:hAnsi="Verdana"/>
                      <w:sz w:val="18"/>
                      <w:szCs w:val="18"/>
                    </w:rPr>
                  </w:pPr>
                </w:p>
              </w:tc>
              <w:tc>
                <w:tcPr>
                  <w:tcW w:w="476" w:type="pct"/>
                  <w:tcBorders>
                    <w:top w:val="single" w:sz="6" w:space="0" w:color="auto"/>
                    <w:bottom w:val="single" w:sz="2" w:space="0" w:color="auto"/>
                  </w:tcBorders>
                  <w:shd w:val="clear" w:color="auto" w:fill="FFFFFF" w:themeFill="background1"/>
                  <w:vAlign w:val="center"/>
                </w:tcPr>
                <w:p w14:paraId="09D08930" w14:textId="77777777" w:rsidR="00EE78D1" w:rsidRPr="00F72419" w:rsidRDefault="00EE78D1" w:rsidP="00EE78D1">
                  <w:pPr>
                    <w:spacing w:before="120" w:after="120" w:line="240" w:lineRule="auto"/>
                    <w:ind w:left="113"/>
                    <w:jc w:val="center"/>
                    <w:rPr>
                      <w:rFonts w:ascii="Verdana" w:hAnsi="Verdana"/>
                      <w:sz w:val="18"/>
                      <w:szCs w:val="18"/>
                    </w:rPr>
                  </w:pPr>
                  <w:r w:rsidRPr="00F72419">
                    <w:rPr>
                      <w:rFonts w:ascii="Verdana" w:hAnsi="Verdana"/>
                      <w:sz w:val="18"/>
                      <w:szCs w:val="18"/>
                    </w:rPr>
                    <w:t>X</w:t>
                  </w:r>
                </w:p>
              </w:tc>
              <w:tc>
                <w:tcPr>
                  <w:tcW w:w="573" w:type="pct"/>
                  <w:tcBorders>
                    <w:top w:val="single" w:sz="6" w:space="0" w:color="auto"/>
                    <w:bottom w:val="single" w:sz="2" w:space="0" w:color="auto"/>
                  </w:tcBorders>
                  <w:shd w:val="clear" w:color="auto" w:fill="FFFFFF" w:themeFill="background1"/>
                  <w:vAlign w:val="center"/>
                </w:tcPr>
                <w:p w14:paraId="202BB2E8" w14:textId="77777777" w:rsidR="00EE78D1" w:rsidRPr="00F72419" w:rsidRDefault="00EE78D1" w:rsidP="00EE78D1">
                  <w:pPr>
                    <w:spacing w:before="120" w:after="120" w:line="240" w:lineRule="auto"/>
                    <w:ind w:left="113"/>
                    <w:jc w:val="center"/>
                    <w:rPr>
                      <w:rFonts w:ascii="Verdana" w:hAnsi="Verdana"/>
                      <w:sz w:val="18"/>
                      <w:szCs w:val="18"/>
                    </w:rPr>
                  </w:pPr>
                </w:p>
              </w:tc>
              <w:tc>
                <w:tcPr>
                  <w:tcW w:w="573" w:type="pct"/>
                  <w:tcBorders>
                    <w:top w:val="single" w:sz="6" w:space="0" w:color="auto"/>
                    <w:bottom w:val="single" w:sz="2" w:space="0" w:color="auto"/>
                  </w:tcBorders>
                  <w:shd w:val="clear" w:color="auto" w:fill="FFFFFF" w:themeFill="background1"/>
                  <w:vAlign w:val="center"/>
                </w:tcPr>
                <w:p w14:paraId="477B3829" w14:textId="77777777" w:rsidR="00EE78D1" w:rsidRPr="00F72419" w:rsidRDefault="00EE78D1" w:rsidP="00EE78D1">
                  <w:pPr>
                    <w:spacing w:before="120" w:after="120" w:line="240" w:lineRule="auto"/>
                    <w:ind w:left="113"/>
                    <w:jc w:val="center"/>
                    <w:rPr>
                      <w:rFonts w:ascii="Verdana" w:hAnsi="Verdana"/>
                      <w:sz w:val="18"/>
                      <w:szCs w:val="18"/>
                    </w:rPr>
                  </w:pPr>
                </w:p>
              </w:tc>
              <w:tc>
                <w:tcPr>
                  <w:tcW w:w="573" w:type="pct"/>
                  <w:tcBorders>
                    <w:top w:val="single" w:sz="6" w:space="0" w:color="auto"/>
                    <w:bottom w:val="single" w:sz="2" w:space="0" w:color="auto"/>
                  </w:tcBorders>
                  <w:shd w:val="clear" w:color="auto" w:fill="FFFFFF" w:themeFill="background1"/>
                  <w:vAlign w:val="center"/>
                </w:tcPr>
                <w:p w14:paraId="5D265A7A" w14:textId="77777777" w:rsidR="00EE78D1" w:rsidRPr="00F72419" w:rsidRDefault="00EE78D1" w:rsidP="00EE78D1">
                  <w:pPr>
                    <w:spacing w:before="120" w:after="120" w:line="240" w:lineRule="auto"/>
                    <w:ind w:left="113"/>
                    <w:jc w:val="center"/>
                    <w:rPr>
                      <w:rFonts w:ascii="Verdana" w:hAnsi="Verdana"/>
                      <w:sz w:val="18"/>
                      <w:szCs w:val="18"/>
                    </w:rPr>
                  </w:pPr>
                </w:p>
              </w:tc>
              <w:tc>
                <w:tcPr>
                  <w:tcW w:w="573" w:type="pct"/>
                  <w:tcBorders>
                    <w:top w:val="single" w:sz="6" w:space="0" w:color="auto"/>
                    <w:bottom w:val="single" w:sz="2" w:space="0" w:color="auto"/>
                  </w:tcBorders>
                  <w:shd w:val="clear" w:color="auto" w:fill="FFFFFF" w:themeFill="background1"/>
                  <w:vAlign w:val="center"/>
                </w:tcPr>
                <w:p w14:paraId="2369F581" w14:textId="77777777" w:rsidR="00EE78D1" w:rsidRPr="00F72419" w:rsidRDefault="00EE78D1" w:rsidP="00EE78D1">
                  <w:pPr>
                    <w:spacing w:before="120" w:after="120" w:line="240" w:lineRule="auto"/>
                    <w:ind w:left="113"/>
                    <w:jc w:val="center"/>
                    <w:rPr>
                      <w:rFonts w:ascii="Verdana" w:hAnsi="Verdana"/>
                      <w:sz w:val="18"/>
                      <w:szCs w:val="18"/>
                    </w:rPr>
                  </w:pPr>
                  <w:r w:rsidRPr="00F72419">
                    <w:rPr>
                      <w:rFonts w:ascii="Verdana" w:hAnsi="Verdana"/>
                      <w:sz w:val="18"/>
                      <w:szCs w:val="18"/>
                    </w:rPr>
                    <w:t>X</w:t>
                  </w:r>
                </w:p>
              </w:tc>
            </w:tr>
          </w:tbl>
          <w:p w14:paraId="1FA4DC11" w14:textId="77777777" w:rsidR="00EE78D1" w:rsidRPr="00F72419" w:rsidRDefault="00EE78D1" w:rsidP="005D655F">
            <w:pPr>
              <w:pStyle w:val="CTCN"/>
              <w:spacing w:before="0" w:after="0" w:line="240" w:lineRule="auto"/>
              <w:rPr>
                <w:rFonts w:ascii="Arial" w:hAnsi="Arial" w:cs="Arial"/>
              </w:rPr>
            </w:pPr>
          </w:p>
          <w:p w14:paraId="47A07904" w14:textId="46FE3A5E" w:rsidR="00EE78D1" w:rsidRPr="00F72419" w:rsidRDefault="00EE78D1" w:rsidP="005D655F">
            <w:pPr>
              <w:pStyle w:val="CTCN"/>
              <w:spacing w:before="0" w:after="0" w:line="240" w:lineRule="auto"/>
              <w:rPr>
                <w:rFonts w:ascii="Arial" w:hAnsi="Arial" w:cs="Arial"/>
              </w:rPr>
            </w:pPr>
            <w:r w:rsidRPr="00F72419">
              <w:rPr>
                <w:rFonts w:ascii="Arial" w:hAnsi="Arial" w:cs="Arial"/>
              </w:rPr>
              <w:t xml:space="preserve">Mozambique’s electricity sector is overseen by the Ministry of Energy, but the bulk of its generation, transmission, and distribution is undertaken by </w:t>
            </w:r>
            <w:proofErr w:type="spellStart"/>
            <w:r w:rsidRPr="00F72419">
              <w:rPr>
                <w:rFonts w:ascii="Arial" w:hAnsi="Arial" w:cs="Arial"/>
              </w:rPr>
              <w:t>Electricidade</w:t>
            </w:r>
            <w:proofErr w:type="spellEnd"/>
            <w:r w:rsidRPr="00F72419">
              <w:rPr>
                <w:rFonts w:ascii="Arial" w:hAnsi="Arial" w:cs="Arial"/>
              </w:rPr>
              <w:t xml:space="preserve"> de </w:t>
            </w:r>
            <w:proofErr w:type="spellStart"/>
            <w:r w:rsidRPr="00F72419">
              <w:rPr>
                <w:rFonts w:ascii="Arial" w:hAnsi="Arial" w:cs="Arial"/>
              </w:rPr>
              <w:t>Moçambique</w:t>
            </w:r>
            <w:proofErr w:type="spellEnd"/>
            <w:r w:rsidRPr="00F72419">
              <w:rPr>
                <w:rFonts w:ascii="Arial" w:hAnsi="Arial" w:cs="Arial"/>
              </w:rPr>
              <w:t xml:space="preserve"> (EDM), a 100% state-owned company. Regulations to govern energy efficiency have been in the pipeline since 2013 but have not been approved due to the complex relationships among multiple stakeholders. Reducing the sales of electricity through promotion of energy efficiency effectively reduces potential revenue for the utility. </w:t>
            </w:r>
            <w:r w:rsidR="005D655F" w:rsidRPr="00F72419">
              <w:rPr>
                <w:rFonts w:ascii="Arial" w:hAnsi="Arial" w:cs="Arial"/>
              </w:rPr>
              <w:t>L</w:t>
            </w:r>
            <w:r w:rsidRPr="00F72419">
              <w:rPr>
                <w:rFonts w:ascii="Arial" w:hAnsi="Arial" w:cs="Arial"/>
              </w:rPr>
              <w:t xml:space="preserve">ack of </w:t>
            </w:r>
            <w:proofErr w:type="gramStart"/>
            <w:r w:rsidRPr="00F72419">
              <w:rPr>
                <w:rFonts w:ascii="Arial" w:hAnsi="Arial" w:cs="Arial"/>
              </w:rPr>
              <w:t>sufficient</w:t>
            </w:r>
            <w:proofErr w:type="gramEnd"/>
            <w:r w:rsidRPr="00F72419">
              <w:rPr>
                <w:rFonts w:ascii="Arial" w:hAnsi="Arial" w:cs="Arial"/>
              </w:rPr>
              <w:t xml:space="preserve"> </w:t>
            </w:r>
            <w:r w:rsidR="005D655F" w:rsidRPr="00F72419">
              <w:rPr>
                <w:rFonts w:ascii="Arial" w:hAnsi="Arial" w:cs="Arial"/>
              </w:rPr>
              <w:t xml:space="preserve">generation </w:t>
            </w:r>
            <w:r w:rsidRPr="00F72419">
              <w:rPr>
                <w:rFonts w:ascii="Arial" w:hAnsi="Arial" w:cs="Arial"/>
              </w:rPr>
              <w:t>capacity results in regular power outages, so reduced consumption could be redistributed</w:t>
            </w:r>
            <w:r w:rsidR="005D655F" w:rsidRPr="00F72419">
              <w:rPr>
                <w:rFonts w:ascii="Arial" w:hAnsi="Arial" w:cs="Arial"/>
              </w:rPr>
              <w:t xml:space="preserve"> and would lead to less outages</w:t>
            </w:r>
            <w:r w:rsidRPr="00F72419">
              <w:rPr>
                <w:rFonts w:ascii="Arial" w:hAnsi="Arial" w:cs="Arial"/>
              </w:rPr>
              <w:t>. Since the utility is state owned, this enables the state to use the utility to drive energy efficiency roll outs despite the apparent conflict.</w:t>
            </w:r>
            <w:r w:rsidR="00751D39" w:rsidRPr="00F72419">
              <w:rPr>
                <w:rFonts w:ascii="Arial" w:hAnsi="Arial" w:cs="Arial"/>
              </w:rPr>
              <w:t xml:space="preserve"> The table below </w:t>
            </w:r>
            <w:r w:rsidRPr="00F72419">
              <w:rPr>
                <w:rFonts w:ascii="Arial" w:hAnsi="Arial" w:cs="Arial"/>
              </w:rPr>
              <w:t>indicate the range of energy efficiency and renewable energy and support policies in Mozambique.</w:t>
            </w:r>
          </w:p>
          <w:p w14:paraId="6D777EDC" w14:textId="55D6FCB7" w:rsidR="00EE78D1" w:rsidRPr="00F72419" w:rsidRDefault="00EE78D1" w:rsidP="005D655F">
            <w:pPr>
              <w:pStyle w:val="Caption"/>
              <w:spacing w:before="40" w:after="140" w:line="280" w:lineRule="exact"/>
              <w:jc w:val="center"/>
            </w:pPr>
            <w:bookmarkStart w:id="6" w:name="_Ref513642531"/>
            <w:r w:rsidRPr="00F72419">
              <w:t>Table</w:t>
            </w:r>
            <w:bookmarkEnd w:id="6"/>
            <w:r w:rsidR="00751D39" w:rsidRPr="00F72419">
              <w:t xml:space="preserve">: </w:t>
            </w:r>
            <w:r w:rsidRPr="00F72419">
              <w:t xml:space="preserve">Energy efficiency support policies initiated by 2016 in Mozambique </w:t>
            </w:r>
          </w:p>
          <w:tbl>
            <w:tblPr>
              <w:tblW w:w="9625" w:type="dxa"/>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1313"/>
              <w:gridCol w:w="657"/>
              <w:gridCol w:w="850"/>
              <w:gridCol w:w="851"/>
              <w:gridCol w:w="850"/>
              <w:gridCol w:w="850"/>
              <w:gridCol w:w="850"/>
              <w:gridCol w:w="850"/>
              <w:gridCol w:w="850"/>
              <w:gridCol w:w="850"/>
              <w:gridCol w:w="854"/>
            </w:tblGrid>
            <w:tr w:rsidR="00EE78D1" w:rsidRPr="00F72419" w14:paraId="7A4A84EC" w14:textId="77777777" w:rsidTr="00751D39">
              <w:trPr>
                <w:cantSplit/>
                <w:trHeight w:hRule="exact" w:val="2547"/>
              </w:trPr>
              <w:tc>
                <w:tcPr>
                  <w:tcW w:w="1313" w:type="dxa"/>
                  <w:tcBorders>
                    <w:top w:val="single" w:sz="2" w:space="0" w:color="auto"/>
                    <w:bottom w:val="single" w:sz="6" w:space="0" w:color="auto"/>
                  </w:tcBorders>
                  <w:shd w:val="clear" w:color="auto" w:fill="009FDA"/>
                  <w:vAlign w:val="center"/>
                </w:tcPr>
                <w:p w14:paraId="1C4ABE6D" w14:textId="77777777" w:rsidR="00EE78D1" w:rsidRPr="00F72419" w:rsidRDefault="00EE78D1" w:rsidP="00EE78D1">
                  <w:pPr>
                    <w:spacing w:before="120" w:after="120" w:line="240" w:lineRule="auto"/>
                    <w:ind w:left="113"/>
                    <w:rPr>
                      <w:rFonts w:ascii="Verdana" w:hAnsi="Verdana"/>
                      <w:b/>
                      <w:color w:val="FFFFFF" w:themeColor="background1"/>
                      <w:sz w:val="18"/>
                      <w:szCs w:val="18"/>
                    </w:rPr>
                  </w:pPr>
                  <w:r w:rsidRPr="00F72419">
                    <w:rPr>
                      <w:rFonts w:ascii="Verdana" w:hAnsi="Verdana"/>
                      <w:b/>
                      <w:color w:val="FFFFFF" w:themeColor="background1"/>
                      <w:sz w:val="18"/>
                      <w:szCs w:val="18"/>
                    </w:rPr>
                    <w:t xml:space="preserve">Policy </w:t>
                  </w:r>
                  <w:r w:rsidRPr="00F72419">
                    <w:rPr>
                      <w:rFonts w:ascii="Verdana" w:hAnsi="Verdana"/>
                      <w:b/>
                      <w:color w:val="FFFFFF" w:themeColor="background1"/>
                      <w:sz w:val="18"/>
                      <w:szCs w:val="18"/>
                    </w:rPr>
                    <w:br/>
                    <w:t>type</w:t>
                  </w:r>
                </w:p>
              </w:tc>
              <w:tc>
                <w:tcPr>
                  <w:tcW w:w="657" w:type="dxa"/>
                  <w:tcBorders>
                    <w:top w:val="single" w:sz="2" w:space="0" w:color="auto"/>
                    <w:bottom w:val="single" w:sz="6" w:space="0" w:color="auto"/>
                  </w:tcBorders>
                  <w:shd w:val="clear" w:color="auto" w:fill="009FDA"/>
                  <w:textDirection w:val="btLr"/>
                  <w:vAlign w:val="center"/>
                </w:tcPr>
                <w:p w14:paraId="7A7822DA" w14:textId="77777777" w:rsidR="00EE78D1" w:rsidRPr="00F72419" w:rsidRDefault="00EE78D1" w:rsidP="00EE78D1">
                  <w:pPr>
                    <w:spacing w:before="120" w:after="120" w:line="240" w:lineRule="auto"/>
                    <w:ind w:left="113"/>
                    <w:contextualSpacing/>
                    <w:rPr>
                      <w:rFonts w:ascii="Verdana" w:hAnsi="Verdana"/>
                      <w:b/>
                      <w:color w:val="FFFFFF" w:themeColor="background1"/>
                      <w:sz w:val="18"/>
                      <w:szCs w:val="18"/>
                    </w:rPr>
                  </w:pPr>
                  <w:r w:rsidRPr="00F72419">
                    <w:rPr>
                      <w:rFonts w:ascii="Verdana" w:hAnsi="Verdana"/>
                      <w:b/>
                      <w:color w:val="FFFFFF" w:themeColor="background1"/>
                      <w:sz w:val="18"/>
                      <w:szCs w:val="18"/>
                    </w:rPr>
                    <w:t>Industrial commercial load reduction</w:t>
                  </w:r>
                </w:p>
              </w:tc>
              <w:tc>
                <w:tcPr>
                  <w:tcW w:w="850" w:type="dxa"/>
                  <w:tcBorders>
                    <w:top w:val="single" w:sz="2" w:space="0" w:color="auto"/>
                    <w:bottom w:val="single" w:sz="6" w:space="0" w:color="auto"/>
                  </w:tcBorders>
                  <w:shd w:val="clear" w:color="auto" w:fill="009FDA"/>
                  <w:textDirection w:val="btLr"/>
                  <w:vAlign w:val="center"/>
                </w:tcPr>
                <w:p w14:paraId="6DDDFB6E" w14:textId="77777777" w:rsidR="00EE78D1" w:rsidRPr="00F72419" w:rsidRDefault="00EE78D1" w:rsidP="00EE78D1">
                  <w:pPr>
                    <w:spacing w:before="120" w:after="120" w:line="240" w:lineRule="auto"/>
                    <w:ind w:left="113"/>
                    <w:contextualSpacing/>
                    <w:rPr>
                      <w:rFonts w:ascii="Verdana" w:hAnsi="Verdana"/>
                      <w:b/>
                      <w:color w:val="FFFFFF" w:themeColor="background1"/>
                      <w:sz w:val="18"/>
                      <w:szCs w:val="18"/>
                    </w:rPr>
                  </w:pPr>
                  <w:r w:rsidRPr="00F72419">
                    <w:rPr>
                      <w:rFonts w:ascii="Verdana" w:hAnsi="Verdana"/>
                      <w:b/>
                      <w:color w:val="FFFFFF" w:themeColor="background1"/>
                      <w:sz w:val="18"/>
                      <w:szCs w:val="18"/>
                    </w:rPr>
                    <w:t>Residential incentives (lighting, hot water load control)</w:t>
                  </w:r>
                </w:p>
              </w:tc>
              <w:tc>
                <w:tcPr>
                  <w:tcW w:w="851" w:type="dxa"/>
                  <w:tcBorders>
                    <w:top w:val="single" w:sz="2" w:space="0" w:color="auto"/>
                    <w:bottom w:val="single" w:sz="6" w:space="0" w:color="auto"/>
                  </w:tcBorders>
                  <w:shd w:val="clear" w:color="auto" w:fill="009FDA"/>
                  <w:textDirection w:val="btLr"/>
                  <w:vAlign w:val="center"/>
                </w:tcPr>
                <w:p w14:paraId="78039D13" w14:textId="77777777" w:rsidR="00EE78D1" w:rsidRPr="00F72419" w:rsidRDefault="00EE78D1" w:rsidP="00EE78D1">
                  <w:pPr>
                    <w:spacing w:before="120" w:after="120" w:line="240" w:lineRule="auto"/>
                    <w:ind w:left="113"/>
                    <w:contextualSpacing/>
                    <w:rPr>
                      <w:rFonts w:ascii="Verdana" w:hAnsi="Verdana"/>
                      <w:b/>
                      <w:color w:val="FFFFFF" w:themeColor="background1"/>
                      <w:sz w:val="18"/>
                      <w:szCs w:val="18"/>
                    </w:rPr>
                  </w:pPr>
                  <w:r w:rsidRPr="00F72419">
                    <w:rPr>
                      <w:rFonts w:ascii="Verdana" w:hAnsi="Verdana"/>
                      <w:b/>
                      <w:color w:val="FFFFFF" w:themeColor="background1"/>
                      <w:sz w:val="18"/>
                      <w:szCs w:val="18"/>
                    </w:rPr>
                    <w:t>Support for efficient cooking and heating</w:t>
                  </w:r>
                </w:p>
              </w:tc>
              <w:tc>
                <w:tcPr>
                  <w:tcW w:w="850" w:type="dxa"/>
                  <w:tcBorders>
                    <w:top w:val="single" w:sz="2" w:space="0" w:color="auto"/>
                    <w:bottom w:val="single" w:sz="6" w:space="0" w:color="auto"/>
                  </w:tcBorders>
                  <w:shd w:val="clear" w:color="auto" w:fill="009FDA"/>
                  <w:textDirection w:val="btLr"/>
                  <w:vAlign w:val="center"/>
                </w:tcPr>
                <w:p w14:paraId="3DADD451" w14:textId="77777777" w:rsidR="00EE78D1" w:rsidRPr="00F72419" w:rsidRDefault="00EE78D1" w:rsidP="00EE78D1">
                  <w:pPr>
                    <w:spacing w:before="120" w:after="120" w:line="240" w:lineRule="auto"/>
                    <w:ind w:left="113"/>
                    <w:contextualSpacing/>
                    <w:rPr>
                      <w:rFonts w:ascii="Verdana" w:hAnsi="Verdana"/>
                      <w:b/>
                      <w:color w:val="FFFFFF" w:themeColor="background1"/>
                      <w:sz w:val="18"/>
                      <w:szCs w:val="18"/>
                    </w:rPr>
                  </w:pPr>
                  <w:r w:rsidRPr="00F72419">
                    <w:rPr>
                      <w:rFonts w:ascii="Verdana" w:hAnsi="Verdana"/>
                      <w:b/>
                      <w:color w:val="FFFFFF" w:themeColor="background1"/>
                      <w:sz w:val="18"/>
                      <w:szCs w:val="18"/>
                    </w:rPr>
                    <w:t>Building efficiency guidelines</w:t>
                  </w:r>
                </w:p>
              </w:tc>
              <w:tc>
                <w:tcPr>
                  <w:tcW w:w="850" w:type="dxa"/>
                  <w:tcBorders>
                    <w:top w:val="single" w:sz="2" w:space="0" w:color="auto"/>
                    <w:bottom w:val="single" w:sz="6" w:space="0" w:color="auto"/>
                  </w:tcBorders>
                  <w:shd w:val="clear" w:color="auto" w:fill="009FDA"/>
                  <w:textDirection w:val="btLr"/>
                  <w:vAlign w:val="center"/>
                </w:tcPr>
                <w:p w14:paraId="50B70F5A" w14:textId="77777777" w:rsidR="00EE78D1" w:rsidRPr="00F72419" w:rsidRDefault="00EE78D1" w:rsidP="00EE78D1">
                  <w:pPr>
                    <w:spacing w:before="120" w:after="120" w:line="240" w:lineRule="auto"/>
                    <w:ind w:left="113"/>
                    <w:contextualSpacing/>
                    <w:rPr>
                      <w:rFonts w:ascii="Verdana" w:hAnsi="Verdana"/>
                      <w:b/>
                      <w:color w:val="FFFFFF" w:themeColor="background1"/>
                      <w:sz w:val="18"/>
                      <w:szCs w:val="18"/>
                    </w:rPr>
                  </w:pPr>
                  <w:r w:rsidRPr="00F72419">
                    <w:rPr>
                      <w:rFonts w:ascii="Verdana" w:hAnsi="Verdana"/>
                      <w:b/>
                      <w:color w:val="FFFFFF" w:themeColor="background1"/>
                      <w:sz w:val="18"/>
                      <w:szCs w:val="18"/>
                    </w:rPr>
                    <w:t>Solar water heater subsidies</w:t>
                  </w:r>
                </w:p>
              </w:tc>
              <w:tc>
                <w:tcPr>
                  <w:tcW w:w="850" w:type="dxa"/>
                  <w:tcBorders>
                    <w:top w:val="single" w:sz="2" w:space="0" w:color="auto"/>
                    <w:bottom w:val="single" w:sz="6" w:space="0" w:color="auto"/>
                  </w:tcBorders>
                  <w:shd w:val="clear" w:color="auto" w:fill="009FDA"/>
                  <w:textDirection w:val="btLr"/>
                  <w:vAlign w:val="center"/>
                </w:tcPr>
                <w:p w14:paraId="19D4C710" w14:textId="77777777" w:rsidR="00EE78D1" w:rsidRPr="00F72419" w:rsidRDefault="00EE78D1" w:rsidP="00EE78D1">
                  <w:pPr>
                    <w:spacing w:before="120" w:after="120" w:line="240" w:lineRule="auto"/>
                    <w:ind w:left="113"/>
                    <w:contextualSpacing/>
                    <w:rPr>
                      <w:rFonts w:ascii="Verdana" w:hAnsi="Verdana"/>
                      <w:b/>
                      <w:color w:val="FFFFFF" w:themeColor="background1"/>
                      <w:sz w:val="18"/>
                      <w:szCs w:val="18"/>
                    </w:rPr>
                  </w:pPr>
                  <w:r w:rsidRPr="00F72419">
                    <w:rPr>
                      <w:rFonts w:ascii="Verdana" w:hAnsi="Verdana"/>
                      <w:b/>
                      <w:color w:val="FFFFFF" w:themeColor="background1"/>
                      <w:sz w:val="18"/>
                      <w:szCs w:val="18"/>
                    </w:rPr>
                    <w:t>Mandatory energy management for industry and buildings</w:t>
                  </w:r>
                </w:p>
              </w:tc>
              <w:tc>
                <w:tcPr>
                  <w:tcW w:w="850" w:type="dxa"/>
                  <w:tcBorders>
                    <w:top w:val="single" w:sz="2" w:space="0" w:color="auto"/>
                    <w:bottom w:val="single" w:sz="6" w:space="0" w:color="auto"/>
                  </w:tcBorders>
                  <w:shd w:val="clear" w:color="auto" w:fill="009FDA"/>
                  <w:textDirection w:val="btLr"/>
                  <w:vAlign w:val="center"/>
                </w:tcPr>
                <w:p w14:paraId="12E582B6" w14:textId="77777777" w:rsidR="00EE78D1" w:rsidRPr="00F72419" w:rsidRDefault="00EE78D1" w:rsidP="00EE78D1">
                  <w:pPr>
                    <w:spacing w:before="120" w:after="120" w:line="240" w:lineRule="auto"/>
                    <w:ind w:left="113"/>
                    <w:contextualSpacing/>
                    <w:rPr>
                      <w:rFonts w:ascii="Verdana" w:hAnsi="Verdana"/>
                      <w:b/>
                      <w:color w:val="FFFFFF" w:themeColor="background1"/>
                      <w:sz w:val="18"/>
                      <w:szCs w:val="18"/>
                    </w:rPr>
                  </w:pPr>
                  <w:r w:rsidRPr="00F72419">
                    <w:rPr>
                      <w:rFonts w:ascii="Verdana" w:hAnsi="Verdana"/>
                      <w:b/>
                      <w:color w:val="FFFFFF" w:themeColor="background1"/>
                      <w:sz w:val="18"/>
                      <w:szCs w:val="18"/>
                    </w:rPr>
                    <w:t>Reduced distribution losses</w:t>
                  </w:r>
                </w:p>
              </w:tc>
              <w:tc>
                <w:tcPr>
                  <w:tcW w:w="850" w:type="dxa"/>
                  <w:tcBorders>
                    <w:top w:val="single" w:sz="2" w:space="0" w:color="auto"/>
                    <w:bottom w:val="single" w:sz="6" w:space="0" w:color="auto"/>
                  </w:tcBorders>
                  <w:shd w:val="clear" w:color="auto" w:fill="009FDA"/>
                  <w:textDirection w:val="btLr"/>
                  <w:vAlign w:val="center"/>
                </w:tcPr>
                <w:p w14:paraId="09D4480D" w14:textId="77777777" w:rsidR="00EE78D1" w:rsidRPr="00F72419" w:rsidRDefault="00EE78D1" w:rsidP="00EE78D1">
                  <w:pPr>
                    <w:spacing w:before="120" w:after="120" w:line="240" w:lineRule="auto"/>
                    <w:ind w:left="113"/>
                    <w:contextualSpacing/>
                    <w:rPr>
                      <w:rFonts w:ascii="Verdana" w:hAnsi="Verdana"/>
                      <w:b/>
                      <w:color w:val="FFFFFF" w:themeColor="background1"/>
                      <w:sz w:val="18"/>
                      <w:szCs w:val="18"/>
                    </w:rPr>
                  </w:pPr>
                  <w:r w:rsidRPr="00F72419">
                    <w:rPr>
                      <w:rFonts w:ascii="Verdana" w:hAnsi="Verdana"/>
                      <w:b/>
                      <w:color w:val="FFFFFF" w:themeColor="background1"/>
                      <w:sz w:val="18"/>
                      <w:szCs w:val="18"/>
                    </w:rPr>
                    <w:t>Transport efficiency standards</w:t>
                  </w:r>
                </w:p>
              </w:tc>
              <w:tc>
                <w:tcPr>
                  <w:tcW w:w="850" w:type="dxa"/>
                  <w:tcBorders>
                    <w:top w:val="single" w:sz="2" w:space="0" w:color="auto"/>
                    <w:bottom w:val="single" w:sz="6" w:space="0" w:color="auto"/>
                  </w:tcBorders>
                  <w:shd w:val="clear" w:color="auto" w:fill="009FDA"/>
                  <w:textDirection w:val="btLr"/>
                  <w:vAlign w:val="center"/>
                </w:tcPr>
                <w:p w14:paraId="2FDCDC96" w14:textId="77777777" w:rsidR="00EE78D1" w:rsidRPr="00F72419" w:rsidRDefault="00EE78D1" w:rsidP="00EE78D1">
                  <w:pPr>
                    <w:spacing w:before="120" w:after="120" w:line="240" w:lineRule="auto"/>
                    <w:ind w:left="113"/>
                    <w:contextualSpacing/>
                    <w:rPr>
                      <w:rFonts w:ascii="Verdana" w:hAnsi="Verdana"/>
                      <w:b/>
                      <w:color w:val="FFFFFF" w:themeColor="background1"/>
                      <w:sz w:val="18"/>
                      <w:szCs w:val="18"/>
                    </w:rPr>
                  </w:pPr>
                  <w:r w:rsidRPr="00F72419">
                    <w:rPr>
                      <w:rFonts w:ascii="Verdana" w:hAnsi="Verdana"/>
                      <w:b/>
                      <w:color w:val="FFFFFF" w:themeColor="background1"/>
                      <w:sz w:val="18"/>
                      <w:szCs w:val="18"/>
                    </w:rPr>
                    <w:t>Biofuels production incentives/ tax credits</w:t>
                  </w:r>
                </w:p>
              </w:tc>
              <w:tc>
                <w:tcPr>
                  <w:tcW w:w="854" w:type="dxa"/>
                  <w:tcBorders>
                    <w:top w:val="single" w:sz="2" w:space="0" w:color="auto"/>
                    <w:bottom w:val="single" w:sz="6" w:space="0" w:color="auto"/>
                  </w:tcBorders>
                  <w:shd w:val="clear" w:color="auto" w:fill="009FDA"/>
                  <w:textDirection w:val="btLr"/>
                  <w:vAlign w:val="center"/>
                </w:tcPr>
                <w:p w14:paraId="4707335E" w14:textId="77777777" w:rsidR="00EE78D1" w:rsidRPr="00F72419" w:rsidRDefault="00EE78D1" w:rsidP="00EE78D1">
                  <w:pPr>
                    <w:spacing w:before="120" w:after="120" w:line="240" w:lineRule="auto"/>
                    <w:ind w:left="113"/>
                    <w:contextualSpacing/>
                    <w:rPr>
                      <w:rFonts w:ascii="Verdana" w:hAnsi="Verdana"/>
                      <w:b/>
                      <w:color w:val="FFFFFF" w:themeColor="background1"/>
                      <w:sz w:val="18"/>
                      <w:szCs w:val="18"/>
                    </w:rPr>
                  </w:pPr>
                  <w:r w:rsidRPr="00F72419">
                    <w:rPr>
                      <w:rFonts w:ascii="Verdana" w:hAnsi="Verdana"/>
                      <w:b/>
                      <w:color w:val="FFFFFF" w:themeColor="background1"/>
                      <w:sz w:val="18"/>
                      <w:szCs w:val="18"/>
                    </w:rPr>
                    <w:t>Voluntary business energy efficiency programmes</w:t>
                  </w:r>
                </w:p>
              </w:tc>
            </w:tr>
            <w:tr w:rsidR="00EE78D1" w:rsidRPr="00F72419" w14:paraId="775A44D4" w14:textId="77777777" w:rsidTr="00751D39">
              <w:trPr>
                <w:trHeight w:hRule="exact" w:val="536"/>
              </w:trPr>
              <w:tc>
                <w:tcPr>
                  <w:tcW w:w="1313" w:type="dxa"/>
                  <w:tcBorders>
                    <w:top w:val="single" w:sz="6" w:space="0" w:color="auto"/>
                    <w:bottom w:val="single" w:sz="6" w:space="0" w:color="auto"/>
                  </w:tcBorders>
                  <w:vAlign w:val="center"/>
                </w:tcPr>
                <w:p w14:paraId="17DA4188" w14:textId="77777777" w:rsidR="00EE78D1" w:rsidRPr="00F72419" w:rsidRDefault="00EE78D1" w:rsidP="00EE78D1">
                  <w:pPr>
                    <w:spacing w:before="120" w:after="120" w:line="280" w:lineRule="exact"/>
                    <w:ind w:left="113"/>
                    <w:rPr>
                      <w:rFonts w:ascii="Verdana" w:hAnsi="Verdana"/>
                      <w:sz w:val="18"/>
                      <w:szCs w:val="18"/>
                    </w:rPr>
                  </w:pPr>
                  <w:r w:rsidRPr="00F72419">
                    <w:rPr>
                      <w:rFonts w:ascii="Verdana" w:hAnsi="Verdana"/>
                      <w:sz w:val="18"/>
                      <w:szCs w:val="18"/>
                    </w:rPr>
                    <w:t>Mozambique</w:t>
                  </w:r>
                </w:p>
              </w:tc>
              <w:tc>
                <w:tcPr>
                  <w:tcW w:w="657" w:type="dxa"/>
                  <w:tcBorders>
                    <w:top w:val="single" w:sz="6" w:space="0" w:color="auto"/>
                    <w:bottom w:val="single" w:sz="6" w:space="0" w:color="auto"/>
                  </w:tcBorders>
                  <w:shd w:val="clear" w:color="auto" w:fill="FFFFFF" w:themeFill="background1"/>
                  <w:vAlign w:val="center"/>
                </w:tcPr>
                <w:p w14:paraId="2B10B22F" w14:textId="77777777" w:rsidR="00EE78D1" w:rsidRPr="00F72419" w:rsidRDefault="00EE78D1" w:rsidP="00EE78D1">
                  <w:pPr>
                    <w:spacing w:before="120" w:after="120" w:line="280" w:lineRule="exact"/>
                    <w:ind w:left="113"/>
                    <w:jc w:val="center"/>
                    <w:rPr>
                      <w:rFonts w:ascii="Verdana" w:hAnsi="Verdana"/>
                      <w:sz w:val="18"/>
                      <w:szCs w:val="18"/>
                    </w:rPr>
                  </w:pPr>
                </w:p>
              </w:tc>
              <w:tc>
                <w:tcPr>
                  <w:tcW w:w="850" w:type="dxa"/>
                  <w:tcBorders>
                    <w:top w:val="single" w:sz="6" w:space="0" w:color="auto"/>
                    <w:bottom w:val="single" w:sz="6" w:space="0" w:color="auto"/>
                  </w:tcBorders>
                  <w:shd w:val="clear" w:color="auto" w:fill="FFFFFF" w:themeFill="background1"/>
                  <w:vAlign w:val="center"/>
                </w:tcPr>
                <w:p w14:paraId="3A907C42" w14:textId="77777777" w:rsidR="00EE78D1" w:rsidRPr="00F72419" w:rsidRDefault="00EE78D1" w:rsidP="00EE78D1">
                  <w:pPr>
                    <w:spacing w:before="120" w:after="120" w:line="280" w:lineRule="exact"/>
                    <w:ind w:left="113"/>
                    <w:jc w:val="center"/>
                    <w:rPr>
                      <w:rFonts w:ascii="Verdana" w:hAnsi="Verdana"/>
                      <w:sz w:val="18"/>
                      <w:szCs w:val="18"/>
                    </w:rPr>
                  </w:pPr>
                </w:p>
              </w:tc>
              <w:tc>
                <w:tcPr>
                  <w:tcW w:w="851" w:type="dxa"/>
                  <w:tcBorders>
                    <w:top w:val="single" w:sz="6" w:space="0" w:color="auto"/>
                    <w:bottom w:val="single" w:sz="6" w:space="0" w:color="auto"/>
                  </w:tcBorders>
                  <w:shd w:val="clear" w:color="auto" w:fill="FFFFFF" w:themeFill="background1"/>
                  <w:vAlign w:val="center"/>
                </w:tcPr>
                <w:p w14:paraId="53FBB8E2" w14:textId="77777777" w:rsidR="00EE78D1" w:rsidRPr="00F72419" w:rsidRDefault="00EE78D1" w:rsidP="00EE78D1">
                  <w:pPr>
                    <w:spacing w:before="120" w:after="120" w:line="280" w:lineRule="exact"/>
                    <w:ind w:left="113"/>
                    <w:jc w:val="center"/>
                    <w:rPr>
                      <w:rFonts w:ascii="Verdana" w:hAnsi="Verdana"/>
                      <w:sz w:val="18"/>
                      <w:szCs w:val="18"/>
                    </w:rPr>
                  </w:pPr>
                  <w:r w:rsidRPr="00F72419">
                    <w:rPr>
                      <w:rFonts w:ascii="Verdana" w:hAnsi="Verdana"/>
                      <w:sz w:val="18"/>
                      <w:szCs w:val="18"/>
                    </w:rPr>
                    <w:t>X</w:t>
                  </w:r>
                </w:p>
              </w:tc>
              <w:tc>
                <w:tcPr>
                  <w:tcW w:w="850" w:type="dxa"/>
                  <w:tcBorders>
                    <w:top w:val="single" w:sz="6" w:space="0" w:color="auto"/>
                    <w:bottom w:val="single" w:sz="6" w:space="0" w:color="auto"/>
                  </w:tcBorders>
                  <w:shd w:val="clear" w:color="auto" w:fill="FFFFFF" w:themeFill="background1"/>
                  <w:vAlign w:val="center"/>
                </w:tcPr>
                <w:p w14:paraId="7AF085D2" w14:textId="77777777" w:rsidR="00EE78D1" w:rsidRPr="00F72419" w:rsidRDefault="00EE78D1" w:rsidP="00EE78D1">
                  <w:pPr>
                    <w:spacing w:before="120" w:after="120" w:line="280" w:lineRule="exact"/>
                    <w:ind w:left="113"/>
                    <w:jc w:val="center"/>
                    <w:rPr>
                      <w:rFonts w:ascii="Verdana" w:hAnsi="Verdana"/>
                      <w:sz w:val="18"/>
                      <w:szCs w:val="18"/>
                    </w:rPr>
                  </w:pPr>
                </w:p>
              </w:tc>
              <w:tc>
                <w:tcPr>
                  <w:tcW w:w="850" w:type="dxa"/>
                  <w:tcBorders>
                    <w:top w:val="single" w:sz="6" w:space="0" w:color="auto"/>
                    <w:bottom w:val="single" w:sz="6" w:space="0" w:color="auto"/>
                  </w:tcBorders>
                  <w:shd w:val="clear" w:color="auto" w:fill="FFFFFF" w:themeFill="background1"/>
                  <w:vAlign w:val="center"/>
                </w:tcPr>
                <w:p w14:paraId="784AD3AE" w14:textId="77777777" w:rsidR="00EE78D1" w:rsidRPr="00F72419" w:rsidRDefault="00EE78D1" w:rsidP="00EE78D1">
                  <w:pPr>
                    <w:spacing w:before="120" w:after="120" w:line="280" w:lineRule="exact"/>
                    <w:ind w:left="113"/>
                    <w:jc w:val="center"/>
                    <w:rPr>
                      <w:rFonts w:ascii="Verdana" w:hAnsi="Verdana"/>
                      <w:sz w:val="18"/>
                      <w:szCs w:val="18"/>
                    </w:rPr>
                  </w:pPr>
                </w:p>
              </w:tc>
              <w:tc>
                <w:tcPr>
                  <w:tcW w:w="850" w:type="dxa"/>
                  <w:tcBorders>
                    <w:top w:val="single" w:sz="6" w:space="0" w:color="auto"/>
                    <w:bottom w:val="single" w:sz="6" w:space="0" w:color="auto"/>
                  </w:tcBorders>
                  <w:shd w:val="clear" w:color="auto" w:fill="FFFFFF" w:themeFill="background1"/>
                  <w:vAlign w:val="center"/>
                </w:tcPr>
                <w:p w14:paraId="69A7A6EE" w14:textId="77777777" w:rsidR="00EE78D1" w:rsidRPr="00F72419" w:rsidRDefault="00EE78D1" w:rsidP="00EE78D1">
                  <w:pPr>
                    <w:spacing w:before="120" w:after="120" w:line="280" w:lineRule="exact"/>
                    <w:ind w:left="113"/>
                    <w:jc w:val="center"/>
                    <w:rPr>
                      <w:rFonts w:ascii="Verdana" w:hAnsi="Verdana"/>
                      <w:sz w:val="18"/>
                      <w:szCs w:val="18"/>
                    </w:rPr>
                  </w:pPr>
                </w:p>
              </w:tc>
              <w:tc>
                <w:tcPr>
                  <w:tcW w:w="850" w:type="dxa"/>
                  <w:tcBorders>
                    <w:top w:val="single" w:sz="6" w:space="0" w:color="auto"/>
                    <w:bottom w:val="single" w:sz="6" w:space="0" w:color="auto"/>
                  </w:tcBorders>
                  <w:shd w:val="clear" w:color="auto" w:fill="FFFFFF" w:themeFill="background1"/>
                  <w:vAlign w:val="center"/>
                </w:tcPr>
                <w:p w14:paraId="5FBBE7E1" w14:textId="77777777" w:rsidR="00EE78D1" w:rsidRPr="00F72419" w:rsidRDefault="00EE78D1" w:rsidP="00EE78D1">
                  <w:pPr>
                    <w:spacing w:before="120" w:after="120" w:line="280" w:lineRule="exact"/>
                    <w:ind w:left="113"/>
                    <w:jc w:val="center"/>
                    <w:rPr>
                      <w:rFonts w:ascii="Verdana" w:hAnsi="Verdana"/>
                      <w:sz w:val="18"/>
                      <w:szCs w:val="18"/>
                    </w:rPr>
                  </w:pPr>
                  <w:r w:rsidRPr="00F72419">
                    <w:rPr>
                      <w:rFonts w:ascii="Verdana" w:hAnsi="Verdana"/>
                      <w:sz w:val="18"/>
                      <w:szCs w:val="18"/>
                    </w:rPr>
                    <w:t>X</w:t>
                  </w:r>
                </w:p>
              </w:tc>
              <w:tc>
                <w:tcPr>
                  <w:tcW w:w="850" w:type="dxa"/>
                  <w:tcBorders>
                    <w:top w:val="single" w:sz="6" w:space="0" w:color="auto"/>
                    <w:bottom w:val="single" w:sz="6" w:space="0" w:color="auto"/>
                  </w:tcBorders>
                  <w:shd w:val="clear" w:color="auto" w:fill="FFFFFF" w:themeFill="background1"/>
                  <w:vAlign w:val="center"/>
                </w:tcPr>
                <w:p w14:paraId="46BB8066" w14:textId="77777777" w:rsidR="00EE78D1" w:rsidRPr="00F72419" w:rsidRDefault="00EE78D1" w:rsidP="00EE78D1">
                  <w:pPr>
                    <w:spacing w:before="120" w:after="120" w:line="280" w:lineRule="exact"/>
                    <w:ind w:left="113"/>
                    <w:jc w:val="center"/>
                    <w:rPr>
                      <w:rFonts w:ascii="Verdana" w:hAnsi="Verdana"/>
                      <w:sz w:val="18"/>
                      <w:szCs w:val="18"/>
                    </w:rPr>
                  </w:pPr>
                </w:p>
              </w:tc>
              <w:tc>
                <w:tcPr>
                  <w:tcW w:w="850" w:type="dxa"/>
                  <w:tcBorders>
                    <w:top w:val="single" w:sz="6" w:space="0" w:color="auto"/>
                    <w:bottom w:val="single" w:sz="6" w:space="0" w:color="auto"/>
                  </w:tcBorders>
                  <w:shd w:val="clear" w:color="auto" w:fill="FFFFFF" w:themeFill="background1"/>
                  <w:vAlign w:val="center"/>
                </w:tcPr>
                <w:p w14:paraId="2239A4D8" w14:textId="77777777" w:rsidR="00EE78D1" w:rsidRPr="00F72419" w:rsidRDefault="00EE78D1" w:rsidP="00EE78D1">
                  <w:pPr>
                    <w:spacing w:before="120" w:after="120" w:line="280" w:lineRule="exact"/>
                    <w:ind w:left="113"/>
                    <w:jc w:val="center"/>
                    <w:rPr>
                      <w:rFonts w:ascii="Verdana" w:hAnsi="Verdana"/>
                      <w:sz w:val="18"/>
                      <w:szCs w:val="18"/>
                    </w:rPr>
                  </w:pPr>
                </w:p>
              </w:tc>
              <w:tc>
                <w:tcPr>
                  <w:tcW w:w="854" w:type="dxa"/>
                  <w:tcBorders>
                    <w:top w:val="single" w:sz="6" w:space="0" w:color="auto"/>
                    <w:bottom w:val="single" w:sz="6" w:space="0" w:color="auto"/>
                  </w:tcBorders>
                  <w:shd w:val="clear" w:color="auto" w:fill="FFFFFF" w:themeFill="background1"/>
                  <w:vAlign w:val="center"/>
                </w:tcPr>
                <w:p w14:paraId="1875B981" w14:textId="77777777" w:rsidR="00EE78D1" w:rsidRPr="00F72419" w:rsidRDefault="00EE78D1" w:rsidP="00EE78D1">
                  <w:pPr>
                    <w:spacing w:before="120" w:after="120" w:line="280" w:lineRule="exact"/>
                    <w:ind w:left="113"/>
                    <w:jc w:val="center"/>
                    <w:rPr>
                      <w:rFonts w:ascii="Verdana" w:hAnsi="Verdana"/>
                      <w:sz w:val="18"/>
                      <w:szCs w:val="18"/>
                    </w:rPr>
                  </w:pPr>
                </w:p>
              </w:tc>
            </w:tr>
          </w:tbl>
          <w:p w14:paraId="27C9B24B" w14:textId="77777777" w:rsidR="00EE78D1" w:rsidRPr="00F72419" w:rsidRDefault="00EE78D1" w:rsidP="004001A7">
            <w:pPr>
              <w:spacing w:after="0" w:line="240" w:lineRule="auto"/>
              <w:ind w:right="-29"/>
              <w:jc w:val="both"/>
              <w:rPr>
                <w:rFonts w:ascii="Arial" w:hAnsi="Arial" w:cs="Arial"/>
                <w:sz w:val="18"/>
                <w:szCs w:val="18"/>
              </w:rPr>
            </w:pPr>
          </w:p>
          <w:p w14:paraId="593C754B" w14:textId="01724632" w:rsidR="005B0EEA" w:rsidRPr="00F72419" w:rsidRDefault="005B0EEA" w:rsidP="004001A7">
            <w:pPr>
              <w:spacing w:after="0" w:line="240" w:lineRule="auto"/>
              <w:ind w:right="-29"/>
              <w:jc w:val="both"/>
              <w:rPr>
                <w:rFonts w:ascii="Arial" w:hAnsi="Arial" w:cs="Arial"/>
                <w:sz w:val="18"/>
                <w:szCs w:val="18"/>
              </w:rPr>
            </w:pPr>
            <w:r w:rsidRPr="00F72419">
              <w:rPr>
                <w:rFonts w:ascii="Arial" w:hAnsi="Arial" w:cs="Arial"/>
                <w:sz w:val="18"/>
                <w:szCs w:val="18"/>
              </w:rPr>
              <w:t xml:space="preserve">Like several other countries in the Southern Africa region, </w:t>
            </w:r>
            <w:r w:rsidR="00EE78D1" w:rsidRPr="00F72419">
              <w:rPr>
                <w:rFonts w:ascii="Arial" w:hAnsi="Arial" w:cs="Arial"/>
                <w:sz w:val="18"/>
                <w:szCs w:val="18"/>
              </w:rPr>
              <w:t>Mozambique’s</w:t>
            </w:r>
            <w:r w:rsidRPr="00F72419">
              <w:rPr>
                <w:rFonts w:ascii="Arial" w:hAnsi="Arial" w:cs="Arial"/>
                <w:sz w:val="18"/>
                <w:szCs w:val="18"/>
              </w:rPr>
              <w:t xml:space="preserve"> energy policy is at a very broad level. It does not address or provide for</w:t>
            </w:r>
            <w:r w:rsidR="005D655F" w:rsidRPr="00F72419">
              <w:rPr>
                <w:rFonts w:ascii="Arial" w:hAnsi="Arial" w:cs="Arial"/>
                <w:sz w:val="18"/>
                <w:szCs w:val="18"/>
              </w:rPr>
              <w:t xml:space="preserve"> promotion of</w:t>
            </w:r>
            <w:r w:rsidRPr="00F72419">
              <w:rPr>
                <w:rFonts w:ascii="Arial" w:hAnsi="Arial" w:cs="Arial"/>
                <w:sz w:val="18"/>
                <w:szCs w:val="18"/>
              </w:rPr>
              <w:t xml:space="preserve"> any energy efficient technologies, have any specific energy efficiency regulations or provide a mandate to enable such regulations. Despite the limitations noted, including low population density and low incomes, </w:t>
            </w:r>
            <w:r w:rsidR="00EE78D1" w:rsidRPr="00F72419">
              <w:rPr>
                <w:rFonts w:ascii="Arial" w:hAnsi="Arial" w:cs="Arial"/>
                <w:sz w:val="18"/>
                <w:szCs w:val="18"/>
              </w:rPr>
              <w:t>Mozambique</w:t>
            </w:r>
            <w:r w:rsidRPr="00F72419">
              <w:rPr>
                <w:rFonts w:ascii="Arial" w:hAnsi="Arial" w:cs="Arial"/>
                <w:sz w:val="18"/>
                <w:szCs w:val="18"/>
              </w:rPr>
              <w:t xml:space="preserve"> has much to gain by adopting energy efficient standards and technologies. </w:t>
            </w:r>
            <w:r w:rsidR="004001A7" w:rsidRPr="00F72419">
              <w:rPr>
                <w:rFonts w:ascii="Arial" w:hAnsi="Arial" w:cs="Arial"/>
                <w:sz w:val="18"/>
                <w:szCs w:val="18"/>
              </w:rPr>
              <w:t>The preliminary market research, data collection and analysis conducted by CTCN</w:t>
            </w:r>
            <w:r w:rsidR="004001A7" w:rsidRPr="00F72419">
              <w:rPr>
                <w:rFonts w:ascii="Arial" w:hAnsi="Arial" w:cs="Arial"/>
                <w:sz w:val="18"/>
                <w:szCs w:val="18"/>
              </w:rPr>
              <w:footnoteReference w:id="2"/>
            </w:r>
            <w:r w:rsidR="004001A7" w:rsidRPr="00F72419">
              <w:rPr>
                <w:rFonts w:ascii="Arial" w:hAnsi="Arial" w:cs="Arial"/>
                <w:sz w:val="18"/>
                <w:szCs w:val="18"/>
              </w:rPr>
              <w:t xml:space="preserve"> has been able to provide insight</w:t>
            </w:r>
            <w:r w:rsidR="005D655F" w:rsidRPr="00F72419">
              <w:rPr>
                <w:rFonts w:ascii="Arial" w:hAnsi="Arial" w:cs="Arial"/>
                <w:sz w:val="18"/>
                <w:szCs w:val="18"/>
              </w:rPr>
              <w:t>s</w:t>
            </w:r>
            <w:r w:rsidR="004001A7" w:rsidRPr="00F72419">
              <w:rPr>
                <w:rFonts w:ascii="Arial" w:hAnsi="Arial" w:cs="Arial"/>
                <w:sz w:val="18"/>
                <w:szCs w:val="18"/>
              </w:rPr>
              <w:t xml:space="preserve"> into some of the primary energy-consuming appliances and equipment. (lighting, air conditioning, refrigerators, motors and transformers)</w:t>
            </w:r>
            <w:r w:rsidRPr="00F72419">
              <w:rPr>
                <w:rFonts w:ascii="Arial" w:hAnsi="Arial" w:cs="Arial"/>
                <w:sz w:val="18"/>
                <w:szCs w:val="18"/>
              </w:rPr>
              <w:t xml:space="preserve">. The findings of this preliminary assessment </w:t>
            </w:r>
            <w:proofErr w:type="gramStart"/>
            <w:r w:rsidRPr="00F72419">
              <w:rPr>
                <w:rFonts w:ascii="Arial" w:hAnsi="Arial" w:cs="Arial"/>
                <w:sz w:val="18"/>
                <w:szCs w:val="18"/>
              </w:rPr>
              <w:t>was</w:t>
            </w:r>
            <w:proofErr w:type="gramEnd"/>
            <w:r w:rsidRPr="00F72419">
              <w:rPr>
                <w:rFonts w:ascii="Arial" w:hAnsi="Arial" w:cs="Arial"/>
                <w:sz w:val="18"/>
                <w:szCs w:val="18"/>
              </w:rPr>
              <w:t xml:space="preserve"> discussed with the major stakeholders from </w:t>
            </w:r>
            <w:r w:rsidR="00EE78D1" w:rsidRPr="00F72419">
              <w:rPr>
                <w:rFonts w:ascii="Arial" w:hAnsi="Arial" w:cs="Arial"/>
                <w:sz w:val="18"/>
                <w:szCs w:val="18"/>
              </w:rPr>
              <w:t>Mozambique</w:t>
            </w:r>
            <w:r w:rsidRPr="00F72419">
              <w:rPr>
                <w:rFonts w:ascii="Arial" w:hAnsi="Arial" w:cs="Arial"/>
                <w:sz w:val="18"/>
                <w:szCs w:val="18"/>
              </w:rPr>
              <w:t xml:space="preserve"> and looking at future trends and potential energy efficiency savings of the five leading energy consuming products the stakeholders prioritized refrigerators and distribution transformers as focus products for the development of national framework. Distribution transformers were selected considering the growth of the electrification rate in the country, while refrigerators were selected due to the</w:t>
            </w:r>
            <w:r w:rsidR="005D655F" w:rsidRPr="00F72419">
              <w:rPr>
                <w:rFonts w:ascii="Arial" w:hAnsi="Arial" w:cs="Arial"/>
                <w:sz w:val="18"/>
                <w:szCs w:val="18"/>
              </w:rPr>
              <w:t>ir</w:t>
            </w:r>
            <w:r w:rsidRPr="00F72419">
              <w:rPr>
                <w:rFonts w:ascii="Arial" w:hAnsi="Arial" w:cs="Arial"/>
                <w:sz w:val="18"/>
                <w:szCs w:val="18"/>
              </w:rPr>
              <w:t xml:space="preserve"> higher growth in the market compared to air conditioners. </w:t>
            </w:r>
          </w:p>
          <w:p w14:paraId="693770C8" w14:textId="77777777" w:rsidR="004001A7" w:rsidRPr="00F72419" w:rsidRDefault="004001A7" w:rsidP="004001A7">
            <w:pPr>
              <w:spacing w:after="0" w:line="240" w:lineRule="auto"/>
              <w:ind w:right="-29"/>
              <w:jc w:val="both"/>
              <w:rPr>
                <w:rFonts w:ascii="Arial" w:hAnsi="Arial" w:cs="Arial"/>
                <w:sz w:val="18"/>
                <w:szCs w:val="18"/>
              </w:rPr>
            </w:pPr>
          </w:p>
          <w:p w14:paraId="7F6CA7BE" w14:textId="44A3E2AA" w:rsidR="005B0EEA" w:rsidRPr="00F72419" w:rsidRDefault="005D655F" w:rsidP="004A416A">
            <w:pPr>
              <w:spacing w:after="0" w:line="240" w:lineRule="auto"/>
              <w:ind w:right="-29"/>
              <w:rPr>
                <w:rFonts w:ascii="Arial" w:hAnsi="Arial" w:cs="Arial"/>
                <w:sz w:val="18"/>
                <w:szCs w:val="18"/>
              </w:rPr>
            </w:pPr>
            <w:r w:rsidRPr="00F72419">
              <w:rPr>
                <w:rFonts w:ascii="Arial" w:hAnsi="Arial" w:cs="Arial"/>
                <w:sz w:val="18"/>
                <w:szCs w:val="18"/>
              </w:rPr>
              <w:t>Based on</w:t>
            </w:r>
            <w:r w:rsidR="005B0EEA" w:rsidRPr="00F72419">
              <w:rPr>
                <w:rFonts w:ascii="Arial" w:hAnsi="Arial" w:cs="Arial"/>
                <w:sz w:val="18"/>
                <w:szCs w:val="18"/>
              </w:rPr>
              <w:t xml:space="preserve"> the preliminary analysis the projected energy savings for </w:t>
            </w:r>
            <w:r w:rsidR="00751D39" w:rsidRPr="00F72419">
              <w:rPr>
                <w:rFonts w:ascii="Arial" w:hAnsi="Arial" w:cs="Arial"/>
                <w:sz w:val="18"/>
                <w:szCs w:val="18"/>
              </w:rPr>
              <w:t>Mozambique</w:t>
            </w:r>
            <w:r w:rsidR="005B0EEA" w:rsidRPr="00F72419">
              <w:rPr>
                <w:rFonts w:ascii="Arial" w:hAnsi="Arial" w:cs="Arial"/>
                <w:sz w:val="18"/>
                <w:szCs w:val="18"/>
              </w:rPr>
              <w:t xml:space="preserve"> when moving from the current state of technologies to Minimum Energy Performance Standards (MEPS) or to the Best Available Technologies (BAT) are shown below:</w:t>
            </w:r>
          </w:p>
          <w:tbl>
            <w:tblPr>
              <w:tblW w:w="859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35"/>
              <w:gridCol w:w="993"/>
              <w:gridCol w:w="995"/>
              <w:gridCol w:w="1273"/>
              <w:gridCol w:w="1251"/>
              <w:gridCol w:w="1251"/>
            </w:tblGrid>
            <w:tr w:rsidR="00F318A9" w:rsidRPr="00F72419" w14:paraId="7D70EE0E" w14:textId="6D5058A1" w:rsidTr="00751D39">
              <w:trPr>
                <w:trHeight w:val="274"/>
              </w:trPr>
              <w:tc>
                <w:tcPr>
                  <w:tcW w:w="2835" w:type="dxa"/>
                  <w:shd w:val="clear" w:color="DDEBF7" w:fill="DDEBF7"/>
                  <w:noWrap/>
                  <w:vAlign w:val="center"/>
                  <w:hideMark/>
                </w:tcPr>
                <w:p w14:paraId="6B12086E" w14:textId="495B3361" w:rsidR="00F318A9" w:rsidRPr="00F72419" w:rsidRDefault="00751D39" w:rsidP="00F318A9">
                  <w:pPr>
                    <w:spacing w:after="0" w:line="240" w:lineRule="auto"/>
                    <w:rPr>
                      <w:rFonts w:ascii="Arial" w:eastAsia="Times New Roman" w:hAnsi="Arial" w:cs="Arial"/>
                      <w:b/>
                      <w:bCs/>
                      <w:color w:val="000000"/>
                      <w:sz w:val="18"/>
                      <w:szCs w:val="18"/>
                    </w:rPr>
                  </w:pPr>
                  <w:r w:rsidRPr="00F72419">
                    <w:rPr>
                      <w:rFonts w:ascii="Arial" w:eastAsia="Times New Roman" w:hAnsi="Arial" w:cs="Arial"/>
                      <w:b/>
                      <w:bCs/>
                      <w:color w:val="000000"/>
                      <w:sz w:val="18"/>
                      <w:szCs w:val="18"/>
                    </w:rPr>
                    <w:t>Mozambique</w:t>
                  </w:r>
                </w:p>
              </w:tc>
              <w:tc>
                <w:tcPr>
                  <w:tcW w:w="993" w:type="dxa"/>
                  <w:shd w:val="clear" w:color="DDEBF7" w:fill="DDEBF7"/>
                  <w:noWrap/>
                  <w:vAlign w:val="center"/>
                  <w:hideMark/>
                </w:tcPr>
                <w:p w14:paraId="2DDA4299" w14:textId="77777777" w:rsidR="00F318A9" w:rsidRPr="00F72419" w:rsidRDefault="00F318A9" w:rsidP="00F318A9">
                  <w:pPr>
                    <w:spacing w:after="0" w:line="240" w:lineRule="auto"/>
                    <w:rPr>
                      <w:rFonts w:ascii="Arial" w:eastAsia="Times New Roman" w:hAnsi="Arial" w:cs="Arial"/>
                      <w:b/>
                      <w:bCs/>
                      <w:color w:val="000000"/>
                      <w:sz w:val="18"/>
                      <w:szCs w:val="18"/>
                    </w:rPr>
                  </w:pPr>
                  <w:r w:rsidRPr="00F72419">
                    <w:rPr>
                      <w:rFonts w:ascii="Arial" w:eastAsia="Times New Roman" w:hAnsi="Arial" w:cs="Arial"/>
                      <w:b/>
                      <w:bCs/>
                      <w:color w:val="000000"/>
                      <w:sz w:val="18"/>
                      <w:szCs w:val="18"/>
                    </w:rPr>
                    <w:t>GWh savings (2025)</w:t>
                  </w:r>
                </w:p>
              </w:tc>
              <w:tc>
                <w:tcPr>
                  <w:tcW w:w="995" w:type="dxa"/>
                  <w:shd w:val="clear" w:color="DDEBF7" w:fill="DDEBF7"/>
                  <w:noWrap/>
                  <w:vAlign w:val="center"/>
                  <w:hideMark/>
                </w:tcPr>
                <w:p w14:paraId="2939AAF2" w14:textId="77777777" w:rsidR="00F318A9" w:rsidRPr="00F72419" w:rsidRDefault="00F318A9" w:rsidP="00F318A9">
                  <w:pPr>
                    <w:spacing w:after="0" w:line="240" w:lineRule="auto"/>
                    <w:rPr>
                      <w:rFonts w:ascii="Arial" w:eastAsia="Times New Roman" w:hAnsi="Arial" w:cs="Arial"/>
                      <w:b/>
                      <w:bCs/>
                      <w:color w:val="000000"/>
                      <w:sz w:val="18"/>
                      <w:szCs w:val="18"/>
                    </w:rPr>
                  </w:pPr>
                  <w:r w:rsidRPr="00F72419">
                    <w:rPr>
                      <w:rFonts w:ascii="Arial" w:eastAsia="Times New Roman" w:hAnsi="Arial" w:cs="Arial"/>
                      <w:b/>
                      <w:bCs/>
                      <w:color w:val="000000"/>
                      <w:sz w:val="18"/>
                      <w:szCs w:val="18"/>
                    </w:rPr>
                    <w:t>GWh savings (2030)</w:t>
                  </w:r>
                </w:p>
              </w:tc>
              <w:tc>
                <w:tcPr>
                  <w:tcW w:w="1273" w:type="dxa"/>
                  <w:shd w:val="clear" w:color="DDEBF7" w:fill="DDEBF7"/>
                  <w:noWrap/>
                  <w:vAlign w:val="center"/>
                  <w:hideMark/>
                </w:tcPr>
                <w:p w14:paraId="245FC4B5" w14:textId="77777777" w:rsidR="00F318A9" w:rsidRPr="00F72419" w:rsidRDefault="00F318A9" w:rsidP="00F318A9">
                  <w:pPr>
                    <w:spacing w:after="0" w:line="240" w:lineRule="auto"/>
                    <w:rPr>
                      <w:rFonts w:ascii="Arial" w:eastAsia="Times New Roman" w:hAnsi="Arial" w:cs="Arial"/>
                      <w:b/>
                      <w:bCs/>
                      <w:color w:val="000000"/>
                      <w:sz w:val="18"/>
                      <w:szCs w:val="18"/>
                    </w:rPr>
                  </w:pPr>
                  <w:r w:rsidRPr="00F72419">
                    <w:rPr>
                      <w:rFonts w:ascii="Arial" w:eastAsia="Times New Roman" w:hAnsi="Arial" w:cs="Arial"/>
                      <w:b/>
                      <w:bCs/>
                      <w:color w:val="000000"/>
                      <w:sz w:val="18"/>
                      <w:szCs w:val="18"/>
                    </w:rPr>
                    <w:t>MUSD savings (2025)</w:t>
                  </w:r>
                </w:p>
              </w:tc>
              <w:tc>
                <w:tcPr>
                  <w:tcW w:w="1251" w:type="dxa"/>
                  <w:shd w:val="clear" w:color="DDEBF7" w:fill="DDEBF7"/>
                  <w:noWrap/>
                  <w:vAlign w:val="center"/>
                  <w:hideMark/>
                </w:tcPr>
                <w:p w14:paraId="090A0F7A" w14:textId="77777777" w:rsidR="00F318A9" w:rsidRPr="00F72419" w:rsidRDefault="00F318A9" w:rsidP="00F318A9">
                  <w:pPr>
                    <w:spacing w:after="0" w:line="240" w:lineRule="auto"/>
                    <w:rPr>
                      <w:rFonts w:ascii="Arial" w:eastAsia="Times New Roman" w:hAnsi="Arial" w:cs="Arial"/>
                      <w:b/>
                      <w:bCs/>
                      <w:color w:val="000000"/>
                      <w:sz w:val="18"/>
                      <w:szCs w:val="18"/>
                    </w:rPr>
                  </w:pPr>
                  <w:r w:rsidRPr="00F72419">
                    <w:rPr>
                      <w:rFonts w:ascii="Arial" w:eastAsia="Times New Roman" w:hAnsi="Arial" w:cs="Arial"/>
                      <w:b/>
                      <w:bCs/>
                      <w:color w:val="000000"/>
                      <w:sz w:val="18"/>
                      <w:szCs w:val="18"/>
                    </w:rPr>
                    <w:t>MUSD savings (2030)</w:t>
                  </w:r>
                </w:p>
              </w:tc>
              <w:tc>
                <w:tcPr>
                  <w:tcW w:w="1251" w:type="dxa"/>
                  <w:shd w:val="clear" w:color="DDEBF7" w:fill="DDEBF7"/>
                  <w:vAlign w:val="center"/>
                </w:tcPr>
                <w:p w14:paraId="3E650D87" w14:textId="221F7EB8" w:rsidR="00F318A9" w:rsidRPr="00F72419" w:rsidRDefault="00F318A9" w:rsidP="00F318A9">
                  <w:pPr>
                    <w:spacing w:after="0" w:line="240" w:lineRule="auto"/>
                    <w:rPr>
                      <w:rFonts w:ascii="Arial" w:eastAsia="Times New Roman" w:hAnsi="Arial" w:cs="Arial"/>
                      <w:b/>
                      <w:bCs/>
                      <w:color w:val="000000"/>
                      <w:sz w:val="18"/>
                      <w:szCs w:val="18"/>
                    </w:rPr>
                  </w:pPr>
                  <w:r w:rsidRPr="00F72419">
                    <w:rPr>
                      <w:rFonts w:eastAsia="Times New Roman" w:cs="Calibri"/>
                      <w:b/>
                      <w:bCs/>
                      <w:color w:val="000000"/>
                    </w:rPr>
                    <w:t>GHG savings in tons per year (2030)</w:t>
                  </w:r>
                </w:p>
              </w:tc>
            </w:tr>
            <w:tr w:rsidR="00F318A9" w:rsidRPr="00F72419" w14:paraId="0DFF6DBC" w14:textId="45C4C364" w:rsidTr="00751D39">
              <w:trPr>
                <w:trHeight w:val="274"/>
              </w:trPr>
              <w:tc>
                <w:tcPr>
                  <w:tcW w:w="2835" w:type="dxa"/>
                  <w:shd w:val="clear" w:color="auto" w:fill="auto"/>
                  <w:noWrap/>
                  <w:vAlign w:val="center"/>
                  <w:hideMark/>
                </w:tcPr>
                <w:p w14:paraId="70697D74" w14:textId="77777777" w:rsidR="00F318A9" w:rsidRPr="00F72419" w:rsidRDefault="00F318A9" w:rsidP="00F318A9">
                  <w:pPr>
                    <w:spacing w:after="0" w:line="240" w:lineRule="auto"/>
                    <w:rPr>
                      <w:rFonts w:ascii="Arial" w:eastAsia="Times New Roman" w:hAnsi="Arial" w:cs="Arial"/>
                      <w:b/>
                      <w:bCs/>
                      <w:color w:val="000000"/>
                      <w:sz w:val="18"/>
                      <w:szCs w:val="18"/>
                    </w:rPr>
                  </w:pPr>
                  <w:r w:rsidRPr="00F72419">
                    <w:rPr>
                      <w:rFonts w:ascii="Arial" w:eastAsia="Times New Roman" w:hAnsi="Arial" w:cs="Arial"/>
                      <w:b/>
                      <w:bCs/>
                      <w:color w:val="000000"/>
                      <w:sz w:val="18"/>
                      <w:szCs w:val="18"/>
                    </w:rPr>
                    <w:t>Projected MEPS</w:t>
                  </w:r>
                </w:p>
              </w:tc>
              <w:tc>
                <w:tcPr>
                  <w:tcW w:w="993" w:type="dxa"/>
                  <w:shd w:val="clear" w:color="auto" w:fill="auto"/>
                  <w:noWrap/>
                  <w:vAlign w:val="center"/>
                  <w:hideMark/>
                </w:tcPr>
                <w:p w14:paraId="19FEBA69" w14:textId="77777777" w:rsidR="00F318A9" w:rsidRPr="00F72419" w:rsidRDefault="00F318A9" w:rsidP="00F318A9">
                  <w:pPr>
                    <w:spacing w:after="0" w:line="240" w:lineRule="auto"/>
                    <w:ind w:firstLineChars="100" w:firstLine="181"/>
                    <w:rPr>
                      <w:rFonts w:ascii="Arial" w:eastAsia="Times New Roman" w:hAnsi="Arial" w:cs="Arial"/>
                      <w:b/>
                      <w:bCs/>
                      <w:color w:val="000000"/>
                      <w:sz w:val="18"/>
                      <w:szCs w:val="18"/>
                    </w:rPr>
                  </w:pPr>
                </w:p>
              </w:tc>
              <w:tc>
                <w:tcPr>
                  <w:tcW w:w="995" w:type="dxa"/>
                  <w:shd w:val="clear" w:color="auto" w:fill="auto"/>
                  <w:noWrap/>
                  <w:vAlign w:val="center"/>
                  <w:hideMark/>
                </w:tcPr>
                <w:p w14:paraId="5C421DF1" w14:textId="77777777" w:rsidR="00F318A9" w:rsidRPr="00F72419" w:rsidRDefault="00F318A9" w:rsidP="00F318A9">
                  <w:pPr>
                    <w:spacing w:after="0" w:line="240" w:lineRule="auto"/>
                    <w:rPr>
                      <w:rFonts w:ascii="Arial" w:eastAsia="Times New Roman" w:hAnsi="Arial" w:cs="Arial"/>
                      <w:sz w:val="18"/>
                      <w:szCs w:val="18"/>
                    </w:rPr>
                  </w:pPr>
                </w:p>
              </w:tc>
              <w:tc>
                <w:tcPr>
                  <w:tcW w:w="1273" w:type="dxa"/>
                  <w:shd w:val="clear" w:color="auto" w:fill="auto"/>
                  <w:noWrap/>
                  <w:vAlign w:val="center"/>
                  <w:hideMark/>
                </w:tcPr>
                <w:p w14:paraId="6F83918C" w14:textId="77777777" w:rsidR="00F318A9" w:rsidRPr="00F72419" w:rsidRDefault="00F318A9" w:rsidP="00F318A9">
                  <w:pPr>
                    <w:spacing w:after="0" w:line="240" w:lineRule="auto"/>
                    <w:rPr>
                      <w:rFonts w:ascii="Arial" w:eastAsia="Times New Roman" w:hAnsi="Arial" w:cs="Arial"/>
                      <w:sz w:val="18"/>
                      <w:szCs w:val="18"/>
                    </w:rPr>
                  </w:pPr>
                </w:p>
              </w:tc>
              <w:tc>
                <w:tcPr>
                  <w:tcW w:w="1251" w:type="dxa"/>
                  <w:shd w:val="clear" w:color="auto" w:fill="auto"/>
                  <w:noWrap/>
                  <w:vAlign w:val="center"/>
                  <w:hideMark/>
                </w:tcPr>
                <w:p w14:paraId="25739063" w14:textId="77777777" w:rsidR="00F318A9" w:rsidRPr="00F72419" w:rsidRDefault="00F318A9" w:rsidP="00F318A9">
                  <w:pPr>
                    <w:spacing w:after="0" w:line="240" w:lineRule="auto"/>
                    <w:rPr>
                      <w:rFonts w:ascii="Arial" w:eastAsia="Times New Roman" w:hAnsi="Arial" w:cs="Arial"/>
                      <w:sz w:val="18"/>
                      <w:szCs w:val="18"/>
                    </w:rPr>
                  </w:pPr>
                </w:p>
              </w:tc>
              <w:tc>
                <w:tcPr>
                  <w:tcW w:w="1251" w:type="dxa"/>
                  <w:vAlign w:val="center"/>
                </w:tcPr>
                <w:p w14:paraId="2888BAE1" w14:textId="77777777" w:rsidR="00F318A9" w:rsidRPr="00F72419" w:rsidRDefault="00F318A9" w:rsidP="00F318A9">
                  <w:pPr>
                    <w:spacing w:after="0" w:line="240" w:lineRule="auto"/>
                    <w:rPr>
                      <w:rFonts w:ascii="Arial" w:eastAsia="Times New Roman" w:hAnsi="Arial" w:cs="Arial"/>
                      <w:sz w:val="18"/>
                      <w:szCs w:val="18"/>
                    </w:rPr>
                  </w:pPr>
                </w:p>
              </w:tc>
            </w:tr>
            <w:tr w:rsidR="00751D39" w:rsidRPr="00F72419" w14:paraId="123FF527" w14:textId="207624A1" w:rsidTr="00751D39">
              <w:trPr>
                <w:trHeight w:val="274"/>
              </w:trPr>
              <w:tc>
                <w:tcPr>
                  <w:tcW w:w="2835" w:type="dxa"/>
                  <w:shd w:val="clear" w:color="auto" w:fill="auto"/>
                  <w:noWrap/>
                  <w:vAlign w:val="center"/>
                  <w:hideMark/>
                </w:tcPr>
                <w:p w14:paraId="1B216B5D" w14:textId="77777777" w:rsidR="00751D39" w:rsidRPr="00F72419" w:rsidRDefault="00751D39" w:rsidP="00751D39">
                  <w:pPr>
                    <w:spacing w:after="0" w:line="240" w:lineRule="auto"/>
                    <w:ind w:firstLineChars="200" w:firstLine="360"/>
                    <w:rPr>
                      <w:rFonts w:ascii="Arial" w:eastAsia="Times New Roman" w:hAnsi="Arial" w:cs="Arial"/>
                      <w:color w:val="000000"/>
                      <w:sz w:val="18"/>
                      <w:szCs w:val="18"/>
                    </w:rPr>
                  </w:pPr>
                  <w:r w:rsidRPr="00F72419">
                    <w:rPr>
                      <w:rFonts w:ascii="Arial" w:eastAsia="Times New Roman" w:hAnsi="Arial" w:cs="Arial"/>
                      <w:color w:val="000000"/>
                      <w:sz w:val="18"/>
                      <w:szCs w:val="18"/>
                    </w:rPr>
                    <w:t>Refrigeration</w:t>
                  </w:r>
                </w:p>
              </w:tc>
              <w:tc>
                <w:tcPr>
                  <w:tcW w:w="993" w:type="dxa"/>
                  <w:shd w:val="clear" w:color="auto" w:fill="auto"/>
                  <w:noWrap/>
                  <w:vAlign w:val="center"/>
                  <w:hideMark/>
                </w:tcPr>
                <w:p w14:paraId="6C208CC0" w14:textId="4CE97459" w:rsidR="00751D39" w:rsidRPr="00F72419" w:rsidRDefault="00751D39" w:rsidP="00751D39">
                  <w:pPr>
                    <w:spacing w:after="0" w:line="240" w:lineRule="auto"/>
                    <w:jc w:val="center"/>
                    <w:rPr>
                      <w:rFonts w:ascii="Arial" w:eastAsia="Times New Roman" w:hAnsi="Arial" w:cs="Arial"/>
                      <w:color w:val="000000"/>
                      <w:sz w:val="18"/>
                      <w:szCs w:val="18"/>
                    </w:rPr>
                  </w:pPr>
                  <w:r w:rsidRPr="00F72419">
                    <w:rPr>
                      <w:rFonts w:ascii="Calibri" w:hAnsi="Calibri" w:cs="Calibri"/>
                      <w:color w:val="000000"/>
                    </w:rPr>
                    <w:t>221</w:t>
                  </w:r>
                </w:p>
              </w:tc>
              <w:tc>
                <w:tcPr>
                  <w:tcW w:w="995" w:type="dxa"/>
                  <w:shd w:val="clear" w:color="auto" w:fill="auto"/>
                  <w:noWrap/>
                  <w:vAlign w:val="center"/>
                  <w:hideMark/>
                </w:tcPr>
                <w:p w14:paraId="37C483E8" w14:textId="20CC4BFA" w:rsidR="00751D39" w:rsidRPr="00F72419" w:rsidRDefault="00751D39" w:rsidP="00751D39">
                  <w:pPr>
                    <w:spacing w:after="0" w:line="240" w:lineRule="auto"/>
                    <w:jc w:val="center"/>
                    <w:rPr>
                      <w:rFonts w:ascii="Arial" w:eastAsia="Times New Roman" w:hAnsi="Arial" w:cs="Arial"/>
                      <w:color w:val="000000"/>
                      <w:sz w:val="18"/>
                      <w:szCs w:val="18"/>
                    </w:rPr>
                  </w:pPr>
                  <w:r w:rsidRPr="00F72419">
                    <w:rPr>
                      <w:rFonts w:ascii="Calibri" w:hAnsi="Calibri" w:cs="Calibri"/>
                      <w:color w:val="000000"/>
                    </w:rPr>
                    <w:t>640</w:t>
                  </w:r>
                </w:p>
              </w:tc>
              <w:tc>
                <w:tcPr>
                  <w:tcW w:w="1273" w:type="dxa"/>
                  <w:shd w:val="clear" w:color="auto" w:fill="auto"/>
                  <w:noWrap/>
                  <w:vAlign w:val="center"/>
                  <w:hideMark/>
                </w:tcPr>
                <w:p w14:paraId="09053353" w14:textId="7ABA5318" w:rsidR="00751D39" w:rsidRPr="00F72419" w:rsidRDefault="00751D39" w:rsidP="00751D39">
                  <w:pPr>
                    <w:spacing w:after="0" w:line="240" w:lineRule="auto"/>
                    <w:jc w:val="center"/>
                    <w:rPr>
                      <w:rFonts w:ascii="Arial" w:eastAsia="Times New Roman" w:hAnsi="Arial" w:cs="Arial"/>
                      <w:color w:val="000000"/>
                      <w:sz w:val="18"/>
                      <w:szCs w:val="18"/>
                    </w:rPr>
                  </w:pPr>
                  <w:r w:rsidRPr="00F72419">
                    <w:rPr>
                      <w:rFonts w:ascii="Calibri" w:hAnsi="Calibri" w:cs="Calibri"/>
                      <w:color w:val="000000"/>
                    </w:rPr>
                    <w:t>51</w:t>
                  </w:r>
                </w:p>
              </w:tc>
              <w:tc>
                <w:tcPr>
                  <w:tcW w:w="1251" w:type="dxa"/>
                  <w:shd w:val="clear" w:color="auto" w:fill="auto"/>
                  <w:noWrap/>
                  <w:vAlign w:val="center"/>
                  <w:hideMark/>
                </w:tcPr>
                <w:p w14:paraId="278EBB0A" w14:textId="3C209786" w:rsidR="00751D39" w:rsidRPr="00F72419" w:rsidRDefault="00751D39" w:rsidP="00751D39">
                  <w:pPr>
                    <w:spacing w:after="0" w:line="240" w:lineRule="auto"/>
                    <w:jc w:val="center"/>
                    <w:rPr>
                      <w:rFonts w:ascii="Arial" w:eastAsia="Times New Roman" w:hAnsi="Arial" w:cs="Arial"/>
                      <w:color w:val="000000"/>
                      <w:sz w:val="18"/>
                      <w:szCs w:val="18"/>
                    </w:rPr>
                  </w:pPr>
                  <w:r w:rsidRPr="00F72419">
                    <w:rPr>
                      <w:rFonts w:ascii="Calibri" w:hAnsi="Calibri" w:cs="Calibri"/>
                      <w:color w:val="000000"/>
                    </w:rPr>
                    <w:t>239</w:t>
                  </w:r>
                </w:p>
              </w:tc>
              <w:tc>
                <w:tcPr>
                  <w:tcW w:w="1251" w:type="dxa"/>
                  <w:vAlign w:val="center"/>
                </w:tcPr>
                <w:p w14:paraId="6F67F4A0" w14:textId="087EA949" w:rsidR="00751D39" w:rsidRPr="00F72419" w:rsidRDefault="00751D39" w:rsidP="00751D39">
                  <w:pPr>
                    <w:spacing w:after="0" w:line="240" w:lineRule="auto"/>
                    <w:jc w:val="center"/>
                    <w:rPr>
                      <w:rFonts w:ascii="Arial" w:hAnsi="Arial" w:cs="Arial"/>
                      <w:color w:val="000000"/>
                      <w:sz w:val="18"/>
                      <w:szCs w:val="18"/>
                    </w:rPr>
                  </w:pPr>
                  <w:r w:rsidRPr="00F72419">
                    <w:rPr>
                      <w:rFonts w:ascii="Arial" w:hAnsi="Arial" w:cs="Arial"/>
                      <w:color w:val="000000"/>
                      <w:sz w:val="18"/>
                      <w:szCs w:val="18"/>
                    </w:rPr>
                    <w:t>581</w:t>
                  </w:r>
                </w:p>
              </w:tc>
            </w:tr>
            <w:tr w:rsidR="00751D39" w:rsidRPr="00F72419" w14:paraId="38791F99" w14:textId="02208A8D" w:rsidTr="00751D39">
              <w:trPr>
                <w:trHeight w:val="274"/>
              </w:trPr>
              <w:tc>
                <w:tcPr>
                  <w:tcW w:w="2835" w:type="dxa"/>
                  <w:tcBorders>
                    <w:bottom w:val="nil"/>
                  </w:tcBorders>
                  <w:shd w:val="clear" w:color="auto" w:fill="auto"/>
                  <w:noWrap/>
                  <w:vAlign w:val="center"/>
                  <w:hideMark/>
                </w:tcPr>
                <w:p w14:paraId="3AACA0F4" w14:textId="77777777" w:rsidR="00751D39" w:rsidRPr="00F72419" w:rsidRDefault="00751D39" w:rsidP="00751D39">
                  <w:pPr>
                    <w:spacing w:after="0" w:line="240" w:lineRule="auto"/>
                    <w:ind w:firstLineChars="200" w:firstLine="360"/>
                    <w:rPr>
                      <w:rFonts w:ascii="Arial" w:eastAsia="Times New Roman" w:hAnsi="Arial" w:cs="Arial"/>
                      <w:color w:val="000000"/>
                      <w:sz w:val="18"/>
                      <w:szCs w:val="18"/>
                    </w:rPr>
                  </w:pPr>
                  <w:r w:rsidRPr="00F72419">
                    <w:rPr>
                      <w:rFonts w:ascii="Arial" w:eastAsia="Times New Roman" w:hAnsi="Arial" w:cs="Arial"/>
                      <w:color w:val="000000"/>
                      <w:sz w:val="18"/>
                      <w:szCs w:val="18"/>
                    </w:rPr>
                    <w:lastRenderedPageBreak/>
                    <w:t>Transformers</w:t>
                  </w:r>
                </w:p>
              </w:tc>
              <w:tc>
                <w:tcPr>
                  <w:tcW w:w="993" w:type="dxa"/>
                  <w:tcBorders>
                    <w:bottom w:val="nil"/>
                  </w:tcBorders>
                  <w:shd w:val="clear" w:color="auto" w:fill="auto"/>
                  <w:noWrap/>
                  <w:vAlign w:val="center"/>
                  <w:hideMark/>
                </w:tcPr>
                <w:p w14:paraId="0BA77B93" w14:textId="1FF5B812" w:rsidR="00751D39" w:rsidRPr="00F72419" w:rsidRDefault="00751D39" w:rsidP="00751D39">
                  <w:pPr>
                    <w:spacing w:after="0" w:line="240" w:lineRule="auto"/>
                    <w:jc w:val="center"/>
                    <w:rPr>
                      <w:rFonts w:ascii="Arial" w:eastAsia="Times New Roman" w:hAnsi="Arial" w:cs="Arial"/>
                      <w:color w:val="000000"/>
                      <w:sz w:val="18"/>
                      <w:szCs w:val="18"/>
                    </w:rPr>
                  </w:pPr>
                  <w:r w:rsidRPr="00F72419">
                    <w:rPr>
                      <w:rFonts w:ascii="Calibri" w:hAnsi="Calibri" w:cs="Calibri"/>
                      <w:color w:val="000000"/>
                    </w:rPr>
                    <w:t>137</w:t>
                  </w:r>
                </w:p>
              </w:tc>
              <w:tc>
                <w:tcPr>
                  <w:tcW w:w="995" w:type="dxa"/>
                  <w:tcBorders>
                    <w:bottom w:val="nil"/>
                  </w:tcBorders>
                  <w:shd w:val="clear" w:color="auto" w:fill="auto"/>
                  <w:noWrap/>
                  <w:vAlign w:val="center"/>
                  <w:hideMark/>
                </w:tcPr>
                <w:p w14:paraId="333C5C18" w14:textId="02FC00B4" w:rsidR="00751D39" w:rsidRPr="00F72419" w:rsidRDefault="00751D39" w:rsidP="00751D39">
                  <w:pPr>
                    <w:spacing w:after="0" w:line="240" w:lineRule="auto"/>
                    <w:jc w:val="center"/>
                    <w:rPr>
                      <w:rFonts w:ascii="Arial" w:eastAsia="Times New Roman" w:hAnsi="Arial" w:cs="Arial"/>
                      <w:color w:val="000000"/>
                      <w:sz w:val="18"/>
                      <w:szCs w:val="18"/>
                    </w:rPr>
                  </w:pPr>
                  <w:r w:rsidRPr="00F72419">
                    <w:rPr>
                      <w:rFonts w:ascii="Calibri" w:hAnsi="Calibri" w:cs="Calibri"/>
                      <w:color w:val="000000"/>
                    </w:rPr>
                    <w:t>242</w:t>
                  </w:r>
                </w:p>
              </w:tc>
              <w:tc>
                <w:tcPr>
                  <w:tcW w:w="1273" w:type="dxa"/>
                  <w:tcBorders>
                    <w:bottom w:val="nil"/>
                  </w:tcBorders>
                  <w:shd w:val="clear" w:color="auto" w:fill="auto"/>
                  <w:noWrap/>
                  <w:vAlign w:val="center"/>
                  <w:hideMark/>
                </w:tcPr>
                <w:p w14:paraId="2DA5C635" w14:textId="41F85B6F" w:rsidR="00751D39" w:rsidRPr="00F72419" w:rsidRDefault="00751D39" w:rsidP="00751D39">
                  <w:pPr>
                    <w:spacing w:after="0" w:line="240" w:lineRule="auto"/>
                    <w:jc w:val="center"/>
                    <w:rPr>
                      <w:rFonts w:ascii="Arial" w:eastAsia="Times New Roman" w:hAnsi="Arial" w:cs="Arial"/>
                      <w:color w:val="000000"/>
                      <w:sz w:val="18"/>
                      <w:szCs w:val="18"/>
                    </w:rPr>
                  </w:pPr>
                  <w:r w:rsidRPr="00F72419">
                    <w:rPr>
                      <w:rFonts w:ascii="Calibri" w:hAnsi="Calibri" w:cs="Calibri"/>
                      <w:color w:val="000000"/>
                    </w:rPr>
                    <w:t>9</w:t>
                  </w:r>
                </w:p>
              </w:tc>
              <w:tc>
                <w:tcPr>
                  <w:tcW w:w="1251" w:type="dxa"/>
                  <w:tcBorders>
                    <w:bottom w:val="nil"/>
                  </w:tcBorders>
                  <w:shd w:val="clear" w:color="auto" w:fill="auto"/>
                  <w:noWrap/>
                  <w:vAlign w:val="center"/>
                  <w:hideMark/>
                </w:tcPr>
                <w:p w14:paraId="4BB1AFA7" w14:textId="5EECF81F" w:rsidR="00751D39" w:rsidRPr="00F72419" w:rsidRDefault="00751D39" w:rsidP="00751D39">
                  <w:pPr>
                    <w:spacing w:after="0" w:line="240" w:lineRule="auto"/>
                    <w:jc w:val="center"/>
                    <w:rPr>
                      <w:rFonts w:ascii="Arial" w:eastAsia="Times New Roman" w:hAnsi="Arial" w:cs="Arial"/>
                      <w:color w:val="000000"/>
                      <w:sz w:val="18"/>
                      <w:szCs w:val="18"/>
                    </w:rPr>
                  </w:pPr>
                  <w:r w:rsidRPr="00F72419">
                    <w:rPr>
                      <w:rFonts w:ascii="Calibri" w:hAnsi="Calibri" w:cs="Calibri"/>
                      <w:color w:val="000000"/>
                    </w:rPr>
                    <w:t>25</w:t>
                  </w:r>
                </w:p>
              </w:tc>
              <w:tc>
                <w:tcPr>
                  <w:tcW w:w="1251" w:type="dxa"/>
                  <w:tcBorders>
                    <w:bottom w:val="nil"/>
                  </w:tcBorders>
                  <w:vAlign w:val="center"/>
                </w:tcPr>
                <w:p w14:paraId="356FF068" w14:textId="08A2D84A" w:rsidR="00751D39" w:rsidRPr="00F72419" w:rsidRDefault="00751D39" w:rsidP="00751D39">
                  <w:pPr>
                    <w:spacing w:after="0" w:line="240" w:lineRule="auto"/>
                    <w:jc w:val="center"/>
                    <w:rPr>
                      <w:rFonts w:ascii="Arial" w:hAnsi="Arial" w:cs="Arial"/>
                      <w:color w:val="000000"/>
                      <w:sz w:val="18"/>
                      <w:szCs w:val="18"/>
                    </w:rPr>
                  </w:pPr>
                  <w:r w:rsidRPr="00F72419">
                    <w:rPr>
                      <w:rFonts w:ascii="Arial" w:hAnsi="Arial" w:cs="Arial"/>
                      <w:color w:val="000000"/>
                      <w:sz w:val="18"/>
                      <w:szCs w:val="18"/>
                    </w:rPr>
                    <w:t>220</w:t>
                  </w:r>
                </w:p>
              </w:tc>
            </w:tr>
            <w:tr w:rsidR="00F318A9" w:rsidRPr="00F72419" w14:paraId="2B553BA5" w14:textId="22668D91" w:rsidTr="00751D39">
              <w:trPr>
                <w:trHeight w:val="274"/>
              </w:trPr>
              <w:tc>
                <w:tcPr>
                  <w:tcW w:w="2835" w:type="dxa"/>
                  <w:tcBorders>
                    <w:top w:val="single" w:sz="4" w:space="0" w:color="auto"/>
                  </w:tcBorders>
                  <w:shd w:val="clear" w:color="auto" w:fill="auto"/>
                  <w:noWrap/>
                  <w:vAlign w:val="center"/>
                  <w:hideMark/>
                </w:tcPr>
                <w:p w14:paraId="19BDF2AC" w14:textId="77777777" w:rsidR="00F318A9" w:rsidRPr="00F72419" w:rsidRDefault="00F318A9" w:rsidP="00F318A9">
                  <w:pPr>
                    <w:spacing w:after="0" w:line="240" w:lineRule="auto"/>
                    <w:rPr>
                      <w:rFonts w:ascii="Arial" w:eastAsia="Times New Roman" w:hAnsi="Arial" w:cs="Arial"/>
                      <w:b/>
                      <w:bCs/>
                      <w:color w:val="000000"/>
                      <w:sz w:val="18"/>
                      <w:szCs w:val="18"/>
                    </w:rPr>
                  </w:pPr>
                  <w:r w:rsidRPr="00F72419">
                    <w:rPr>
                      <w:rFonts w:ascii="Arial" w:eastAsia="Times New Roman" w:hAnsi="Arial" w:cs="Arial"/>
                      <w:b/>
                      <w:bCs/>
                      <w:color w:val="000000"/>
                      <w:sz w:val="18"/>
                      <w:szCs w:val="18"/>
                    </w:rPr>
                    <w:t>Projected BAT</w:t>
                  </w:r>
                </w:p>
              </w:tc>
              <w:tc>
                <w:tcPr>
                  <w:tcW w:w="993" w:type="dxa"/>
                  <w:tcBorders>
                    <w:top w:val="single" w:sz="4" w:space="0" w:color="auto"/>
                  </w:tcBorders>
                  <w:shd w:val="clear" w:color="auto" w:fill="auto"/>
                  <w:noWrap/>
                  <w:vAlign w:val="center"/>
                  <w:hideMark/>
                </w:tcPr>
                <w:p w14:paraId="27136BE8" w14:textId="77777777" w:rsidR="00F318A9" w:rsidRPr="00F72419" w:rsidRDefault="00F318A9" w:rsidP="00F318A9">
                  <w:pPr>
                    <w:spacing w:after="0" w:line="240" w:lineRule="auto"/>
                    <w:ind w:firstLineChars="100" w:firstLine="181"/>
                    <w:jc w:val="center"/>
                    <w:rPr>
                      <w:rFonts w:ascii="Arial" w:eastAsia="Times New Roman" w:hAnsi="Arial" w:cs="Arial"/>
                      <w:b/>
                      <w:bCs/>
                      <w:color w:val="000000"/>
                      <w:sz w:val="18"/>
                      <w:szCs w:val="18"/>
                    </w:rPr>
                  </w:pPr>
                </w:p>
              </w:tc>
              <w:tc>
                <w:tcPr>
                  <w:tcW w:w="995" w:type="dxa"/>
                  <w:tcBorders>
                    <w:top w:val="single" w:sz="4" w:space="0" w:color="auto"/>
                  </w:tcBorders>
                  <w:shd w:val="clear" w:color="auto" w:fill="auto"/>
                  <w:noWrap/>
                  <w:vAlign w:val="center"/>
                  <w:hideMark/>
                </w:tcPr>
                <w:p w14:paraId="2F1F5855" w14:textId="77777777" w:rsidR="00F318A9" w:rsidRPr="00F72419" w:rsidRDefault="00F318A9" w:rsidP="00F318A9">
                  <w:pPr>
                    <w:spacing w:after="0" w:line="240" w:lineRule="auto"/>
                    <w:jc w:val="center"/>
                    <w:rPr>
                      <w:rFonts w:ascii="Arial" w:eastAsia="Times New Roman" w:hAnsi="Arial" w:cs="Arial"/>
                      <w:sz w:val="18"/>
                      <w:szCs w:val="18"/>
                    </w:rPr>
                  </w:pPr>
                </w:p>
              </w:tc>
              <w:tc>
                <w:tcPr>
                  <w:tcW w:w="1273" w:type="dxa"/>
                  <w:tcBorders>
                    <w:top w:val="single" w:sz="4" w:space="0" w:color="auto"/>
                  </w:tcBorders>
                  <w:shd w:val="clear" w:color="auto" w:fill="auto"/>
                  <w:noWrap/>
                  <w:vAlign w:val="center"/>
                  <w:hideMark/>
                </w:tcPr>
                <w:p w14:paraId="608C7F6E" w14:textId="77777777" w:rsidR="00F318A9" w:rsidRPr="00F72419" w:rsidRDefault="00F318A9" w:rsidP="00F318A9">
                  <w:pPr>
                    <w:spacing w:after="0" w:line="240" w:lineRule="auto"/>
                    <w:jc w:val="center"/>
                    <w:rPr>
                      <w:rFonts w:ascii="Arial" w:eastAsia="Times New Roman" w:hAnsi="Arial" w:cs="Arial"/>
                      <w:sz w:val="18"/>
                      <w:szCs w:val="18"/>
                    </w:rPr>
                  </w:pPr>
                </w:p>
              </w:tc>
              <w:tc>
                <w:tcPr>
                  <w:tcW w:w="1251" w:type="dxa"/>
                  <w:tcBorders>
                    <w:top w:val="single" w:sz="4" w:space="0" w:color="auto"/>
                  </w:tcBorders>
                  <w:shd w:val="clear" w:color="auto" w:fill="auto"/>
                  <w:noWrap/>
                  <w:vAlign w:val="center"/>
                  <w:hideMark/>
                </w:tcPr>
                <w:p w14:paraId="090194E7" w14:textId="77777777" w:rsidR="00F318A9" w:rsidRPr="00F72419" w:rsidRDefault="00F318A9" w:rsidP="00F318A9">
                  <w:pPr>
                    <w:spacing w:after="0" w:line="240" w:lineRule="auto"/>
                    <w:jc w:val="center"/>
                    <w:rPr>
                      <w:rFonts w:ascii="Arial" w:eastAsia="Times New Roman" w:hAnsi="Arial" w:cs="Arial"/>
                      <w:sz w:val="18"/>
                      <w:szCs w:val="18"/>
                    </w:rPr>
                  </w:pPr>
                </w:p>
              </w:tc>
              <w:tc>
                <w:tcPr>
                  <w:tcW w:w="1251" w:type="dxa"/>
                  <w:tcBorders>
                    <w:top w:val="single" w:sz="4" w:space="0" w:color="auto"/>
                  </w:tcBorders>
                  <w:vAlign w:val="center"/>
                </w:tcPr>
                <w:p w14:paraId="5351BE9A" w14:textId="77777777" w:rsidR="00F318A9" w:rsidRPr="00F72419" w:rsidRDefault="00F318A9" w:rsidP="00F318A9">
                  <w:pPr>
                    <w:spacing w:after="0" w:line="240" w:lineRule="auto"/>
                    <w:jc w:val="center"/>
                    <w:rPr>
                      <w:rFonts w:ascii="Arial" w:eastAsia="Times New Roman" w:hAnsi="Arial" w:cs="Arial"/>
                      <w:sz w:val="18"/>
                      <w:szCs w:val="18"/>
                    </w:rPr>
                  </w:pPr>
                </w:p>
              </w:tc>
            </w:tr>
            <w:tr w:rsidR="00751D39" w:rsidRPr="00F72419" w14:paraId="553CA83B" w14:textId="020A0C5D" w:rsidTr="00751D39">
              <w:trPr>
                <w:trHeight w:val="274"/>
              </w:trPr>
              <w:tc>
                <w:tcPr>
                  <w:tcW w:w="2835" w:type="dxa"/>
                  <w:shd w:val="clear" w:color="auto" w:fill="auto"/>
                  <w:noWrap/>
                  <w:vAlign w:val="center"/>
                  <w:hideMark/>
                </w:tcPr>
                <w:p w14:paraId="7FDDE46E" w14:textId="77777777" w:rsidR="00751D39" w:rsidRPr="00F72419" w:rsidRDefault="00751D39" w:rsidP="00751D39">
                  <w:pPr>
                    <w:spacing w:after="0" w:line="240" w:lineRule="auto"/>
                    <w:ind w:firstLineChars="200" w:firstLine="360"/>
                    <w:rPr>
                      <w:rFonts w:ascii="Arial" w:eastAsia="Times New Roman" w:hAnsi="Arial" w:cs="Arial"/>
                      <w:color w:val="000000"/>
                      <w:sz w:val="18"/>
                      <w:szCs w:val="18"/>
                    </w:rPr>
                  </w:pPr>
                  <w:r w:rsidRPr="00F72419">
                    <w:rPr>
                      <w:rFonts w:ascii="Arial" w:eastAsia="Times New Roman" w:hAnsi="Arial" w:cs="Arial"/>
                      <w:color w:val="000000"/>
                      <w:sz w:val="18"/>
                      <w:szCs w:val="18"/>
                    </w:rPr>
                    <w:t>Refrigeration</w:t>
                  </w:r>
                </w:p>
              </w:tc>
              <w:tc>
                <w:tcPr>
                  <w:tcW w:w="993" w:type="dxa"/>
                  <w:shd w:val="clear" w:color="auto" w:fill="auto"/>
                  <w:noWrap/>
                  <w:vAlign w:val="center"/>
                  <w:hideMark/>
                </w:tcPr>
                <w:p w14:paraId="7E9158B4" w14:textId="0540B175" w:rsidR="00751D39" w:rsidRPr="00F72419" w:rsidRDefault="00751D39" w:rsidP="00751D39">
                  <w:pPr>
                    <w:spacing w:after="0" w:line="240" w:lineRule="auto"/>
                    <w:jc w:val="center"/>
                    <w:rPr>
                      <w:rFonts w:ascii="Arial" w:eastAsia="Times New Roman" w:hAnsi="Arial" w:cs="Arial"/>
                      <w:color w:val="000000"/>
                      <w:sz w:val="18"/>
                      <w:szCs w:val="18"/>
                    </w:rPr>
                  </w:pPr>
                  <w:r w:rsidRPr="00F72419">
                    <w:rPr>
                      <w:rFonts w:ascii="Calibri" w:hAnsi="Calibri" w:cs="Calibri"/>
                      <w:color w:val="000000"/>
                    </w:rPr>
                    <w:t>324</w:t>
                  </w:r>
                </w:p>
              </w:tc>
              <w:tc>
                <w:tcPr>
                  <w:tcW w:w="995" w:type="dxa"/>
                  <w:shd w:val="clear" w:color="auto" w:fill="auto"/>
                  <w:noWrap/>
                  <w:vAlign w:val="center"/>
                  <w:hideMark/>
                </w:tcPr>
                <w:p w14:paraId="2904DE43" w14:textId="6478EA91" w:rsidR="00751D39" w:rsidRPr="00F72419" w:rsidRDefault="00751D39" w:rsidP="00751D39">
                  <w:pPr>
                    <w:spacing w:after="0" w:line="240" w:lineRule="auto"/>
                    <w:jc w:val="center"/>
                    <w:rPr>
                      <w:rFonts w:ascii="Arial" w:eastAsia="Times New Roman" w:hAnsi="Arial" w:cs="Arial"/>
                      <w:color w:val="000000"/>
                      <w:sz w:val="18"/>
                      <w:szCs w:val="18"/>
                    </w:rPr>
                  </w:pPr>
                  <w:r w:rsidRPr="00F72419">
                    <w:rPr>
                      <w:rFonts w:ascii="Calibri" w:hAnsi="Calibri" w:cs="Calibri"/>
                      <w:color w:val="000000"/>
                    </w:rPr>
                    <w:t>801</w:t>
                  </w:r>
                </w:p>
              </w:tc>
              <w:tc>
                <w:tcPr>
                  <w:tcW w:w="1273" w:type="dxa"/>
                  <w:shd w:val="clear" w:color="auto" w:fill="auto"/>
                  <w:noWrap/>
                  <w:vAlign w:val="center"/>
                  <w:hideMark/>
                </w:tcPr>
                <w:p w14:paraId="3ACF8755" w14:textId="5ADAC3C4" w:rsidR="00751D39" w:rsidRPr="00F72419" w:rsidRDefault="00751D39" w:rsidP="00751D39">
                  <w:pPr>
                    <w:spacing w:after="0" w:line="240" w:lineRule="auto"/>
                    <w:jc w:val="center"/>
                    <w:rPr>
                      <w:rFonts w:ascii="Arial" w:eastAsia="Times New Roman" w:hAnsi="Arial" w:cs="Arial"/>
                      <w:color w:val="000000"/>
                      <w:sz w:val="18"/>
                      <w:szCs w:val="18"/>
                    </w:rPr>
                  </w:pPr>
                  <w:r w:rsidRPr="00F72419">
                    <w:rPr>
                      <w:rFonts w:ascii="Calibri" w:hAnsi="Calibri" w:cs="Calibri"/>
                      <w:color w:val="000000"/>
                    </w:rPr>
                    <w:t>75</w:t>
                  </w:r>
                </w:p>
              </w:tc>
              <w:tc>
                <w:tcPr>
                  <w:tcW w:w="1251" w:type="dxa"/>
                  <w:shd w:val="clear" w:color="auto" w:fill="auto"/>
                  <w:noWrap/>
                  <w:vAlign w:val="center"/>
                  <w:hideMark/>
                </w:tcPr>
                <w:p w14:paraId="46879D4C" w14:textId="1213ED7E" w:rsidR="00751D39" w:rsidRPr="00F72419" w:rsidRDefault="00751D39" w:rsidP="00751D39">
                  <w:pPr>
                    <w:spacing w:after="0" w:line="240" w:lineRule="auto"/>
                    <w:jc w:val="center"/>
                    <w:rPr>
                      <w:rFonts w:ascii="Arial" w:eastAsia="Times New Roman" w:hAnsi="Arial" w:cs="Arial"/>
                      <w:color w:val="000000"/>
                      <w:sz w:val="18"/>
                      <w:szCs w:val="18"/>
                    </w:rPr>
                  </w:pPr>
                  <w:r w:rsidRPr="00F72419">
                    <w:rPr>
                      <w:rFonts w:ascii="Calibri" w:hAnsi="Calibri" w:cs="Calibri"/>
                      <w:color w:val="000000"/>
                    </w:rPr>
                    <w:t>299</w:t>
                  </w:r>
                </w:p>
              </w:tc>
              <w:tc>
                <w:tcPr>
                  <w:tcW w:w="1251" w:type="dxa"/>
                  <w:vAlign w:val="center"/>
                </w:tcPr>
                <w:p w14:paraId="56890D45" w14:textId="72B29F99" w:rsidR="00751D39" w:rsidRPr="00F72419" w:rsidRDefault="00751D39" w:rsidP="00751D39">
                  <w:pPr>
                    <w:spacing w:after="0" w:line="240" w:lineRule="auto"/>
                    <w:jc w:val="center"/>
                    <w:rPr>
                      <w:rFonts w:ascii="Arial" w:hAnsi="Arial" w:cs="Arial"/>
                      <w:color w:val="000000"/>
                      <w:sz w:val="18"/>
                      <w:szCs w:val="18"/>
                    </w:rPr>
                  </w:pPr>
                  <w:r w:rsidRPr="00F72419">
                    <w:rPr>
                      <w:rFonts w:ascii="Arial" w:hAnsi="Arial" w:cs="Arial"/>
                      <w:color w:val="000000"/>
                      <w:sz w:val="18"/>
                      <w:szCs w:val="18"/>
                    </w:rPr>
                    <w:t>727</w:t>
                  </w:r>
                </w:p>
              </w:tc>
            </w:tr>
            <w:tr w:rsidR="00751D39" w:rsidRPr="00F72419" w14:paraId="22D9DD3A" w14:textId="62CF06D4" w:rsidTr="00751D39">
              <w:trPr>
                <w:trHeight w:val="274"/>
              </w:trPr>
              <w:tc>
                <w:tcPr>
                  <w:tcW w:w="2835" w:type="dxa"/>
                  <w:tcBorders>
                    <w:bottom w:val="nil"/>
                  </w:tcBorders>
                  <w:shd w:val="clear" w:color="auto" w:fill="auto"/>
                  <w:noWrap/>
                  <w:vAlign w:val="center"/>
                  <w:hideMark/>
                </w:tcPr>
                <w:p w14:paraId="130EBB26" w14:textId="77777777" w:rsidR="00751D39" w:rsidRPr="00F72419" w:rsidRDefault="00751D39" w:rsidP="00751D39">
                  <w:pPr>
                    <w:spacing w:after="0" w:line="240" w:lineRule="auto"/>
                    <w:ind w:firstLineChars="200" w:firstLine="360"/>
                    <w:rPr>
                      <w:rFonts w:ascii="Arial" w:eastAsia="Times New Roman" w:hAnsi="Arial" w:cs="Arial"/>
                      <w:color w:val="000000"/>
                      <w:sz w:val="18"/>
                      <w:szCs w:val="18"/>
                    </w:rPr>
                  </w:pPr>
                  <w:r w:rsidRPr="00F72419">
                    <w:rPr>
                      <w:rFonts w:ascii="Arial" w:eastAsia="Times New Roman" w:hAnsi="Arial" w:cs="Arial"/>
                      <w:color w:val="000000"/>
                      <w:sz w:val="18"/>
                      <w:szCs w:val="18"/>
                    </w:rPr>
                    <w:t>Transformers</w:t>
                  </w:r>
                </w:p>
              </w:tc>
              <w:tc>
                <w:tcPr>
                  <w:tcW w:w="993" w:type="dxa"/>
                  <w:tcBorders>
                    <w:bottom w:val="nil"/>
                  </w:tcBorders>
                  <w:shd w:val="clear" w:color="auto" w:fill="auto"/>
                  <w:noWrap/>
                  <w:vAlign w:val="center"/>
                  <w:hideMark/>
                </w:tcPr>
                <w:p w14:paraId="372E60DF" w14:textId="370A8C06" w:rsidR="00751D39" w:rsidRPr="00F72419" w:rsidRDefault="00751D39" w:rsidP="00751D39">
                  <w:pPr>
                    <w:spacing w:after="0" w:line="240" w:lineRule="auto"/>
                    <w:jc w:val="center"/>
                    <w:rPr>
                      <w:rFonts w:ascii="Arial" w:eastAsia="Times New Roman" w:hAnsi="Arial" w:cs="Arial"/>
                      <w:color w:val="000000"/>
                      <w:sz w:val="18"/>
                      <w:szCs w:val="18"/>
                    </w:rPr>
                  </w:pPr>
                  <w:r w:rsidRPr="00F72419">
                    <w:rPr>
                      <w:rFonts w:ascii="Calibri" w:hAnsi="Calibri" w:cs="Calibri"/>
                      <w:color w:val="000000"/>
                    </w:rPr>
                    <w:t>217</w:t>
                  </w:r>
                </w:p>
              </w:tc>
              <w:tc>
                <w:tcPr>
                  <w:tcW w:w="995" w:type="dxa"/>
                  <w:tcBorders>
                    <w:bottom w:val="nil"/>
                  </w:tcBorders>
                  <w:shd w:val="clear" w:color="auto" w:fill="auto"/>
                  <w:noWrap/>
                  <w:vAlign w:val="center"/>
                  <w:hideMark/>
                </w:tcPr>
                <w:p w14:paraId="09470A1B" w14:textId="6D448817" w:rsidR="00751D39" w:rsidRPr="00F72419" w:rsidRDefault="00751D39" w:rsidP="00751D39">
                  <w:pPr>
                    <w:spacing w:after="0" w:line="240" w:lineRule="auto"/>
                    <w:jc w:val="center"/>
                    <w:rPr>
                      <w:rFonts w:ascii="Arial" w:eastAsia="Times New Roman" w:hAnsi="Arial" w:cs="Arial"/>
                      <w:color w:val="000000"/>
                      <w:sz w:val="18"/>
                      <w:szCs w:val="18"/>
                    </w:rPr>
                  </w:pPr>
                  <w:r w:rsidRPr="00F72419">
                    <w:rPr>
                      <w:rFonts w:ascii="Calibri" w:hAnsi="Calibri" w:cs="Calibri"/>
                      <w:color w:val="000000"/>
                    </w:rPr>
                    <w:t>512</w:t>
                  </w:r>
                </w:p>
              </w:tc>
              <w:tc>
                <w:tcPr>
                  <w:tcW w:w="1273" w:type="dxa"/>
                  <w:tcBorders>
                    <w:bottom w:val="nil"/>
                  </w:tcBorders>
                  <w:shd w:val="clear" w:color="auto" w:fill="auto"/>
                  <w:noWrap/>
                  <w:vAlign w:val="center"/>
                  <w:hideMark/>
                </w:tcPr>
                <w:p w14:paraId="055B5F0A" w14:textId="3B137F26" w:rsidR="00751D39" w:rsidRPr="00F72419" w:rsidRDefault="00751D39" w:rsidP="00751D39">
                  <w:pPr>
                    <w:spacing w:after="0" w:line="240" w:lineRule="auto"/>
                    <w:jc w:val="center"/>
                    <w:rPr>
                      <w:rFonts w:ascii="Arial" w:eastAsia="Times New Roman" w:hAnsi="Arial" w:cs="Arial"/>
                      <w:color w:val="000000"/>
                      <w:sz w:val="18"/>
                      <w:szCs w:val="18"/>
                    </w:rPr>
                  </w:pPr>
                  <w:r w:rsidRPr="00F72419">
                    <w:rPr>
                      <w:rFonts w:ascii="Calibri" w:hAnsi="Calibri" w:cs="Calibri"/>
                      <w:color w:val="000000"/>
                    </w:rPr>
                    <w:t>14</w:t>
                  </w:r>
                </w:p>
              </w:tc>
              <w:tc>
                <w:tcPr>
                  <w:tcW w:w="1251" w:type="dxa"/>
                  <w:tcBorders>
                    <w:bottom w:val="nil"/>
                  </w:tcBorders>
                  <w:shd w:val="clear" w:color="auto" w:fill="auto"/>
                  <w:noWrap/>
                  <w:vAlign w:val="center"/>
                  <w:hideMark/>
                </w:tcPr>
                <w:p w14:paraId="1D59C313" w14:textId="35CFED11" w:rsidR="00751D39" w:rsidRPr="00F72419" w:rsidRDefault="00751D39" w:rsidP="00751D39">
                  <w:pPr>
                    <w:spacing w:after="0" w:line="240" w:lineRule="auto"/>
                    <w:jc w:val="center"/>
                    <w:rPr>
                      <w:rFonts w:ascii="Arial" w:eastAsia="Times New Roman" w:hAnsi="Arial" w:cs="Arial"/>
                      <w:color w:val="000000"/>
                      <w:sz w:val="18"/>
                      <w:szCs w:val="18"/>
                    </w:rPr>
                  </w:pPr>
                  <w:r w:rsidRPr="00F72419">
                    <w:rPr>
                      <w:rFonts w:ascii="Calibri" w:hAnsi="Calibri" w:cs="Calibri"/>
                      <w:color w:val="000000"/>
                    </w:rPr>
                    <w:t>53</w:t>
                  </w:r>
                </w:p>
              </w:tc>
              <w:tc>
                <w:tcPr>
                  <w:tcW w:w="1251" w:type="dxa"/>
                  <w:tcBorders>
                    <w:bottom w:val="nil"/>
                  </w:tcBorders>
                  <w:vAlign w:val="center"/>
                </w:tcPr>
                <w:p w14:paraId="3B45E009" w14:textId="7A62F73D" w:rsidR="00751D39" w:rsidRPr="00F72419" w:rsidRDefault="00751D39" w:rsidP="00751D39">
                  <w:pPr>
                    <w:spacing w:after="0" w:line="240" w:lineRule="auto"/>
                    <w:jc w:val="center"/>
                    <w:rPr>
                      <w:rFonts w:ascii="Arial" w:hAnsi="Arial" w:cs="Arial"/>
                      <w:color w:val="000000"/>
                      <w:sz w:val="18"/>
                      <w:szCs w:val="18"/>
                    </w:rPr>
                  </w:pPr>
                  <w:r w:rsidRPr="00F72419">
                    <w:rPr>
                      <w:rFonts w:ascii="Arial" w:hAnsi="Arial" w:cs="Arial"/>
                      <w:color w:val="000000"/>
                      <w:sz w:val="18"/>
                      <w:szCs w:val="18"/>
                    </w:rPr>
                    <w:t>465</w:t>
                  </w:r>
                </w:p>
              </w:tc>
            </w:tr>
            <w:tr w:rsidR="00F318A9" w:rsidRPr="00F72419" w14:paraId="53C7AD49" w14:textId="02B09E21" w:rsidTr="00751D39">
              <w:trPr>
                <w:trHeight w:val="274"/>
              </w:trPr>
              <w:tc>
                <w:tcPr>
                  <w:tcW w:w="2835" w:type="dxa"/>
                  <w:tcBorders>
                    <w:top w:val="nil"/>
                    <w:bottom w:val="single" w:sz="4" w:space="0" w:color="auto"/>
                  </w:tcBorders>
                  <w:shd w:val="clear" w:color="auto" w:fill="auto"/>
                  <w:noWrap/>
                  <w:vAlign w:val="center"/>
                </w:tcPr>
                <w:p w14:paraId="1B08CA65" w14:textId="77777777" w:rsidR="00F318A9" w:rsidRPr="00F72419" w:rsidRDefault="00F318A9" w:rsidP="00F318A9">
                  <w:pPr>
                    <w:spacing w:after="0" w:line="240" w:lineRule="auto"/>
                    <w:ind w:firstLineChars="100" w:firstLine="181"/>
                    <w:rPr>
                      <w:rFonts w:ascii="Arial" w:eastAsia="Times New Roman" w:hAnsi="Arial" w:cs="Arial"/>
                      <w:b/>
                      <w:bCs/>
                      <w:color w:val="000000"/>
                      <w:sz w:val="18"/>
                      <w:szCs w:val="18"/>
                    </w:rPr>
                  </w:pPr>
                </w:p>
              </w:tc>
              <w:tc>
                <w:tcPr>
                  <w:tcW w:w="993" w:type="dxa"/>
                  <w:tcBorders>
                    <w:top w:val="nil"/>
                    <w:bottom w:val="single" w:sz="4" w:space="0" w:color="auto"/>
                  </w:tcBorders>
                  <w:shd w:val="clear" w:color="auto" w:fill="auto"/>
                  <w:noWrap/>
                  <w:vAlign w:val="center"/>
                </w:tcPr>
                <w:p w14:paraId="3B4953BE" w14:textId="77777777" w:rsidR="00F318A9" w:rsidRPr="00F72419" w:rsidRDefault="00F318A9" w:rsidP="00F318A9">
                  <w:pPr>
                    <w:spacing w:after="0" w:line="240" w:lineRule="auto"/>
                    <w:jc w:val="center"/>
                    <w:rPr>
                      <w:rFonts w:ascii="Arial" w:eastAsia="Times New Roman" w:hAnsi="Arial" w:cs="Arial"/>
                      <w:b/>
                      <w:bCs/>
                      <w:color w:val="000000"/>
                      <w:sz w:val="18"/>
                      <w:szCs w:val="18"/>
                    </w:rPr>
                  </w:pPr>
                </w:p>
              </w:tc>
              <w:tc>
                <w:tcPr>
                  <w:tcW w:w="995" w:type="dxa"/>
                  <w:tcBorders>
                    <w:top w:val="nil"/>
                    <w:bottom w:val="single" w:sz="4" w:space="0" w:color="auto"/>
                  </w:tcBorders>
                  <w:shd w:val="clear" w:color="auto" w:fill="auto"/>
                  <w:noWrap/>
                  <w:vAlign w:val="center"/>
                </w:tcPr>
                <w:p w14:paraId="071E6BB4" w14:textId="77777777" w:rsidR="00F318A9" w:rsidRPr="00F72419" w:rsidRDefault="00F318A9" w:rsidP="00F318A9">
                  <w:pPr>
                    <w:spacing w:after="0" w:line="240" w:lineRule="auto"/>
                    <w:jc w:val="center"/>
                    <w:rPr>
                      <w:rFonts w:ascii="Arial" w:eastAsia="Times New Roman" w:hAnsi="Arial" w:cs="Arial"/>
                      <w:b/>
                      <w:bCs/>
                      <w:color w:val="000000"/>
                      <w:sz w:val="18"/>
                      <w:szCs w:val="18"/>
                    </w:rPr>
                  </w:pPr>
                </w:p>
              </w:tc>
              <w:tc>
                <w:tcPr>
                  <w:tcW w:w="1273" w:type="dxa"/>
                  <w:tcBorders>
                    <w:top w:val="nil"/>
                    <w:bottom w:val="single" w:sz="4" w:space="0" w:color="auto"/>
                  </w:tcBorders>
                  <w:shd w:val="clear" w:color="auto" w:fill="auto"/>
                  <w:noWrap/>
                  <w:vAlign w:val="center"/>
                </w:tcPr>
                <w:p w14:paraId="35169D67" w14:textId="77777777" w:rsidR="00F318A9" w:rsidRPr="00F72419" w:rsidRDefault="00F318A9" w:rsidP="00F318A9">
                  <w:pPr>
                    <w:spacing w:after="0" w:line="240" w:lineRule="auto"/>
                    <w:jc w:val="center"/>
                    <w:rPr>
                      <w:rFonts w:ascii="Arial" w:eastAsia="Times New Roman" w:hAnsi="Arial" w:cs="Arial"/>
                      <w:b/>
                      <w:bCs/>
                      <w:color w:val="000000"/>
                      <w:sz w:val="18"/>
                      <w:szCs w:val="18"/>
                    </w:rPr>
                  </w:pPr>
                </w:p>
              </w:tc>
              <w:tc>
                <w:tcPr>
                  <w:tcW w:w="1251" w:type="dxa"/>
                  <w:tcBorders>
                    <w:top w:val="nil"/>
                    <w:bottom w:val="single" w:sz="4" w:space="0" w:color="auto"/>
                  </w:tcBorders>
                  <w:shd w:val="clear" w:color="auto" w:fill="auto"/>
                  <w:noWrap/>
                  <w:vAlign w:val="center"/>
                </w:tcPr>
                <w:p w14:paraId="3FA1370F" w14:textId="77777777" w:rsidR="00F318A9" w:rsidRPr="00F72419" w:rsidRDefault="00F318A9" w:rsidP="00F318A9">
                  <w:pPr>
                    <w:spacing w:after="0" w:line="240" w:lineRule="auto"/>
                    <w:jc w:val="center"/>
                    <w:rPr>
                      <w:rFonts w:ascii="Arial" w:eastAsia="Times New Roman" w:hAnsi="Arial" w:cs="Arial"/>
                      <w:b/>
                      <w:bCs/>
                      <w:color w:val="000000"/>
                      <w:sz w:val="18"/>
                      <w:szCs w:val="18"/>
                    </w:rPr>
                  </w:pPr>
                </w:p>
              </w:tc>
              <w:tc>
                <w:tcPr>
                  <w:tcW w:w="1251" w:type="dxa"/>
                  <w:tcBorders>
                    <w:top w:val="nil"/>
                    <w:bottom w:val="single" w:sz="4" w:space="0" w:color="auto"/>
                  </w:tcBorders>
                  <w:vAlign w:val="center"/>
                </w:tcPr>
                <w:p w14:paraId="4CAEF7D5" w14:textId="77777777" w:rsidR="00F318A9" w:rsidRPr="00F72419" w:rsidRDefault="00F318A9" w:rsidP="00F318A9">
                  <w:pPr>
                    <w:spacing w:after="0" w:line="240" w:lineRule="auto"/>
                    <w:jc w:val="center"/>
                    <w:rPr>
                      <w:rFonts w:ascii="Arial" w:eastAsia="Times New Roman" w:hAnsi="Arial" w:cs="Arial"/>
                      <w:b/>
                      <w:bCs/>
                      <w:color w:val="000000"/>
                      <w:sz w:val="18"/>
                      <w:szCs w:val="18"/>
                    </w:rPr>
                  </w:pPr>
                </w:p>
              </w:tc>
            </w:tr>
          </w:tbl>
          <w:p w14:paraId="695FD841" w14:textId="7775F237" w:rsidR="005B0EEA" w:rsidRPr="00F72419" w:rsidRDefault="005B0EEA" w:rsidP="004A416A">
            <w:pPr>
              <w:spacing w:after="0" w:line="240" w:lineRule="auto"/>
              <w:rPr>
                <w:rFonts w:ascii="Arial" w:hAnsi="Arial" w:cs="Arial"/>
                <w:sz w:val="18"/>
                <w:szCs w:val="18"/>
              </w:rPr>
            </w:pPr>
          </w:p>
          <w:p w14:paraId="145243E8" w14:textId="48B1A548" w:rsidR="00AF5921" w:rsidRPr="00F72419" w:rsidRDefault="005D655F" w:rsidP="00AF5921">
            <w:pPr>
              <w:rPr>
                <w:rFonts w:ascii="Arial" w:hAnsi="Arial" w:cs="Arial"/>
                <w:sz w:val="18"/>
                <w:szCs w:val="18"/>
              </w:rPr>
            </w:pPr>
            <w:r w:rsidRPr="00F72419">
              <w:rPr>
                <w:rFonts w:ascii="Arial" w:hAnsi="Arial" w:cs="Arial"/>
                <w:sz w:val="18"/>
                <w:szCs w:val="18"/>
              </w:rPr>
              <w:t xml:space="preserve">Given the impetus by the government to increase access to electricity it is foreseen that the use of appliances and equipment will continue to increase in </w:t>
            </w:r>
            <w:r w:rsidRPr="00F72419">
              <w:rPr>
                <w:rFonts w:ascii="Arial" w:hAnsi="Arial" w:cs="Arial"/>
                <w:sz w:val="18"/>
                <w:szCs w:val="18"/>
              </w:rPr>
              <w:t>Mozambique</w:t>
            </w:r>
            <w:r w:rsidRPr="00F72419">
              <w:rPr>
                <w:rFonts w:ascii="Arial" w:hAnsi="Arial" w:cs="Arial"/>
                <w:sz w:val="18"/>
                <w:szCs w:val="18"/>
              </w:rPr>
              <w:t xml:space="preserve">. The use of inefficient appliances would lead to higher electricity demand. This demand can be suppressed by an increase in the efficiency of the appliances and the equipment used in </w:t>
            </w:r>
            <w:r w:rsidRPr="00F72419">
              <w:rPr>
                <w:rFonts w:ascii="Arial" w:hAnsi="Arial" w:cs="Arial"/>
                <w:sz w:val="18"/>
                <w:szCs w:val="18"/>
              </w:rPr>
              <w:t>Mozambique</w:t>
            </w:r>
            <w:r w:rsidRPr="00F72419">
              <w:rPr>
                <w:rFonts w:ascii="Arial" w:hAnsi="Arial" w:cs="Arial"/>
                <w:sz w:val="18"/>
                <w:szCs w:val="18"/>
              </w:rPr>
              <w:t xml:space="preserve">. </w:t>
            </w:r>
            <w:r w:rsidR="00F318A9" w:rsidRPr="00F72419">
              <w:rPr>
                <w:rFonts w:ascii="Arial" w:hAnsi="Arial" w:cs="Arial"/>
                <w:sz w:val="18"/>
                <w:szCs w:val="18"/>
              </w:rPr>
              <w:t xml:space="preserve">This would also lead to reduction in the GHG emissions to the tune of </w:t>
            </w:r>
            <w:r w:rsidR="00751D39" w:rsidRPr="00F72419">
              <w:rPr>
                <w:rFonts w:ascii="Arial" w:hAnsi="Arial" w:cs="Arial"/>
                <w:sz w:val="18"/>
                <w:szCs w:val="18"/>
              </w:rPr>
              <w:t>1192</w:t>
            </w:r>
            <w:r w:rsidR="00F318A9" w:rsidRPr="00F72419">
              <w:rPr>
                <w:rFonts w:ascii="Arial" w:hAnsi="Arial" w:cs="Arial"/>
                <w:sz w:val="18"/>
                <w:szCs w:val="18"/>
              </w:rPr>
              <w:t xml:space="preserve"> tons per year by 2030 and contribute towards achievement of the NDC targets</w:t>
            </w:r>
            <w:r w:rsidR="00E74BE1" w:rsidRPr="00F72419">
              <w:rPr>
                <w:rStyle w:val="FootnoteReference"/>
                <w:rFonts w:ascii="Arial" w:hAnsi="Arial" w:cs="Arial"/>
                <w:sz w:val="18"/>
                <w:szCs w:val="18"/>
              </w:rPr>
              <w:footnoteReference w:id="3"/>
            </w:r>
            <w:r w:rsidR="00F318A9" w:rsidRPr="00F72419">
              <w:rPr>
                <w:rFonts w:ascii="Arial" w:hAnsi="Arial" w:cs="Arial"/>
                <w:sz w:val="18"/>
                <w:szCs w:val="18"/>
              </w:rPr>
              <w:t xml:space="preserve">. </w:t>
            </w:r>
            <w:r w:rsidR="00AF5921" w:rsidRPr="00F72419">
              <w:rPr>
                <w:rFonts w:ascii="Arial" w:hAnsi="Arial" w:cs="Arial"/>
                <w:sz w:val="18"/>
                <w:szCs w:val="18"/>
              </w:rPr>
              <w:t xml:space="preserve">However, the main barriers to achieve this are the lack of institutional capacity and regulatory frameworks. In addition, a financial mechanism must be established to facilitate deployment of energy efficient appliances and equipment. </w:t>
            </w:r>
          </w:p>
          <w:p w14:paraId="3303E40A" w14:textId="77777777" w:rsidR="00AF5921" w:rsidRPr="00F72419" w:rsidRDefault="00AF5921" w:rsidP="00AF5921">
            <w:pPr>
              <w:rPr>
                <w:rFonts w:ascii="Arial" w:hAnsi="Arial"/>
                <w:b/>
                <w:bCs/>
                <w:sz w:val="14"/>
              </w:rPr>
            </w:pPr>
            <w:r w:rsidRPr="00F72419">
              <w:rPr>
                <w:rFonts w:ascii="Arial" w:hAnsi="Arial" w:cs="Arial"/>
                <w:sz w:val="18"/>
                <w:szCs w:val="18"/>
              </w:rPr>
              <w:t>The key deliverable from the project would be</w:t>
            </w:r>
            <w:r w:rsidRPr="00F72419">
              <w:rPr>
                <w:rFonts w:ascii="Arial" w:hAnsi="Arial"/>
                <w:b/>
                <w:bCs/>
                <w:sz w:val="14"/>
              </w:rPr>
              <w:t>:</w:t>
            </w:r>
          </w:p>
          <w:p w14:paraId="3750156C" w14:textId="77777777" w:rsidR="00AF5921" w:rsidRPr="00F72419" w:rsidRDefault="00AF5921" w:rsidP="00AF5921">
            <w:pPr>
              <w:pStyle w:val="ListParagraph"/>
              <w:numPr>
                <w:ilvl w:val="0"/>
                <w:numId w:val="15"/>
              </w:numPr>
              <w:rPr>
                <w:rFonts w:ascii="Arial" w:hAnsi="Arial" w:cs="Arial"/>
                <w:sz w:val="18"/>
                <w:szCs w:val="18"/>
              </w:rPr>
            </w:pPr>
            <w:r w:rsidRPr="00F72419">
              <w:rPr>
                <w:rFonts w:ascii="Arial" w:hAnsi="Arial" w:cs="Arial"/>
                <w:sz w:val="18"/>
                <w:szCs w:val="18"/>
              </w:rPr>
              <w:t>Minimum energy performance standards and labeling schemes for refrigerators and distribution transformers</w:t>
            </w:r>
          </w:p>
          <w:p w14:paraId="16529625" w14:textId="77777777" w:rsidR="00AF5921" w:rsidRPr="00F72419" w:rsidRDefault="00AF5921" w:rsidP="00AF5921">
            <w:pPr>
              <w:pStyle w:val="ListParagraph"/>
              <w:numPr>
                <w:ilvl w:val="0"/>
                <w:numId w:val="15"/>
              </w:numPr>
              <w:rPr>
                <w:rFonts w:ascii="Arial" w:hAnsi="Arial" w:cs="Arial"/>
                <w:sz w:val="18"/>
                <w:szCs w:val="18"/>
              </w:rPr>
            </w:pPr>
            <w:r w:rsidRPr="00F72419">
              <w:rPr>
                <w:rFonts w:ascii="Arial" w:hAnsi="Arial" w:cs="Arial"/>
                <w:sz w:val="18"/>
                <w:szCs w:val="18"/>
              </w:rPr>
              <w:t>National road map and enabling environment for implementation of standards and label for refrigerators and distribution transformers</w:t>
            </w:r>
          </w:p>
          <w:p w14:paraId="7956CEF9" w14:textId="14EF08D0" w:rsidR="00AF5921" w:rsidRPr="00F72419" w:rsidRDefault="00AF5921" w:rsidP="00AF5921">
            <w:pPr>
              <w:pStyle w:val="ListParagraph"/>
              <w:numPr>
                <w:ilvl w:val="0"/>
                <w:numId w:val="15"/>
              </w:numPr>
              <w:rPr>
                <w:rFonts w:ascii="Arial" w:hAnsi="Arial" w:cs="Arial"/>
                <w:sz w:val="18"/>
                <w:szCs w:val="18"/>
              </w:rPr>
            </w:pPr>
            <w:r w:rsidRPr="00F72419">
              <w:rPr>
                <w:rFonts w:ascii="Arial" w:hAnsi="Arial" w:cs="Arial"/>
                <w:sz w:val="18"/>
                <w:szCs w:val="18"/>
              </w:rPr>
              <w:t xml:space="preserve">Appropriate financing mechanisms to </w:t>
            </w:r>
            <w:r w:rsidRPr="00F72419">
              <w:rPr>
                <w:rFonts w:ascii="Arial" w:hAnsi="Arial" w:cs="Arial"/>
                <w:sz w:val="18"/>
                <w:szCs w:val="18"/>
              </w:rPr>
              <w:t>accelerate</w:t>
            </w:r>
            <w:r w:rsidRPr="00F72419">
              <w:rPr>
                <w:rFonts w:ascii="Arial" w:hAnsi="Arial" w:cs="Arial"/>
                <w:sz w:val="18"/>
                <w:szCs w:val="18"/>
              </w:rPr>
              <w:t xml:space="preserve"> deployment of energy efficient refrigerators and distribution transformers.</w:t>
            </w:r>
          </w:p>
          <w:p w14:paraId="124F15E1" w14:textId="77777777" w:rsidR="00AF5921" w:rsidRPr="00F72419" w:rsidRDefault="00AF5921" w:rsidP="00AF5921">
            <w:pPr>
              <w:pStyle w:val="ListParagraph"/>
              <w:numPr>
                <w:ilvl w:val="0"/>
                <w:numId w:val="15"/>
              </w:numPr>
              <w:rPr>
                <w:rFonts w:ascii="Arial" w:hAnsi="Arial" w:cs="Arial"/>
                <w:sz w:val="18"/>
                <w:szCs w:val="18"/>
              </w:rPr>
            </w:pPr>
            <w:r w:rsidRPr="00F72419">
              <w:rPr>
                <w:rFonts w:ascii="Arial" w:hAnsi="Arial" w:cs="Arial"/>
                <w:sz w:val="18"/>
                <w:szCs w:val="18"/>
              </w:rPr>
              <w:t xml:space="preserve">Strengthened national capacity to develop standards and labels for other appliances in future. </w:t>
            </w:r>
          </w:p>
          <w:p w14:paraId="7F07101B" w14:textId="77777777" w:rsidR="00AF5921" w:rsidRPr="00F72419" w:rsidRDefault="00AF5921" w:rsidP="00AF5921">
            <w:pPr>
              <w:jc w:val="both"/>
              <w:rPr>
                <w:rFonts w:ascii="Arial" w:hAnsi="Arial" w:cs="Arial"/>
                <w:sz w:val="18"/>
                <w:szCs w:val="18"/>
              </w:rPr>
            </w:pPr>
            <w:r w:rsidRPr="00F72419">
              <w:rPr>
                <w:rFonts w:ascii="Arial" w:hAnsi="Arial" w:cs="Arial"/>
                <w:sz w:val="18"/>
                <w:szCs w:val="18"/>
              </w:rPr>
              <w:t>Key deliverables produced within the project duration of 18 months will strengthen the existing policies and regulatory frameworks through the adoption of national testing standards (testing method) for refrigerators and DTs, the adoption of Minimum Energy Performance Standards (MEPS) and High Energy Performance Standards (HEPS) and labelling scheme, the design of consumer awareness campaigns, and capacity building on finance mechanisms. Tools and resources from other initiatives such as United for Efficiency (U4E)</w:t>
            </w:r>
            <w:r w:rsidRPr="00F72419">
              <w:rPr>
                <w:rStyle w:val="FootnoteReference"/>
                <w:rFonts w:ascii="Arial" w:hAnsi="Arial" w:cs="Arial"/>
                <w:sz w:val="18"/>
                <w:szCs w:val="18"/>
              </w:rPr>
              <w:footnoteReference w:id="4"/>
            </w:r>
            <w:r w:rsidRPr="00F72419">
              <w:rPr>
                <w:rFonts w:ascii="Arial" w:hAnsi="Arial" w:cs="Arial"/>
                <w:sz w:val="18"/>
                <w:szCs w:val="18"/>
              </w:rPr>
              <w:t xml:space="preserve"> initiative, Montreal protocol, Kigali Cooling Efficiency programme and Stockholm convention (for PCBs in transformers), will be used as a starting point for development of the policy framework at the national level. This includes the U4E Model Regulation Guidelines for refrigerators and for distribution transformers, which are being developed with the input from a range of experts, including governments, international organizations, manufacturers and technical institutions. </w:t>
            </w:r>
          </w:p>
          <w:p w14:paraId="6D016251" w14:textId="77777777" w:rsidR="004001A7" w:rsidRPr="00F72419" w:rsidRDefault="004001A7" w:rsidP="004A416A">
            <w:pPr>
              <w:spacing w:after="0" w:line="240" w:lineRule="auto"/>
              <w:rPr>
                <w:rFonts w:ascii="Arial" w:hAnsi="Arial" w:cs="Arial"/>
                <w:sz w:val="18"/>
                <w:szCs w:val="18"/>
              </w:rPr>
            </w:pPr>
          </w:p>
          <w:p w14:paraId="1533B280" w14:textId="1A5B263E" w:rsidR="00455FC0" w:rsidRPr="00F72419" w:rsidRDefault="009206E0" w:rsidP="00AF5921">
            <w:pPr>
              <w:jc w:val="both"/>
              <w:rPr>
                <w:rFonts w:ascii="Arial" w:hAnsi="Arial" w:cs="Arial"/>
                <w:sz w:val="18"/>
                <w:szCs w:val="18"/>
              </w:rPr>
            </w:pPr>
            <w:r w:rsidRPr="00F72419">
              <w:rPr>
                <w:rFonts w:ascii="Arial" w:hAnsi="Arial" w:cs="Arial"/>
                <w:sz w:val="18"/>
                <w:szCs w:val="18"/>
              </w:rPr>
              <w:t>T</w:t>
            </w:r>
            <w:r w:rsidR="00455FC0" w:rsidRPr="00F72419">
              <w:rPr>
                <w:rFonts w:ascii="Arial" w:hAnsi="Arial" w:cs="Arial"/>
                <w:sz w:val="18"/>
                <w:szCs w:val="18"/>
              </w:rPr>
              <w:t xml:space="preserve">he project’s approach will be built on existing capacities among strategic stakeholders and institutions, </w:t>
            </w:r>
            <w:r w:rsidRPr="00F72419">
              <w:rPr>
                <w:rFonts w:ascii="Arial" w:hAnsi="Arial" w:cs="Arial"/>
                <w:sz w:val="18"/>
                <w:szCs w:val="18"/>
              </w:rPr>
              <w:t xml:space="preserve">The Ministry of Energy and Mineral Resources, The Energy Fund (Fundo de </w:t>
            </w:r>
            <w:proofErr w:type="spellStart"/>
            <w:r w:rsidRPr="00F72419">
              <w:rPr>
                <w:rFonts w:ascii="Arial" w:hAnsi="Arial" w:cs="Arial"/>
                <w:sz w:val="18"/>
                <w:szCs w:val="18"/>
              </w:rPr>
              <w:t>Energia</w:t>
            </w:r>
            <w:proofErr w:type="spellEnd"/>
            <w:r w:rsidRPr="00F72419">
              <w:rPr>
                <w:rFonts w:ascii="Arial" w:hAnsi="Arial" w:cs="Arial"/>
                <w:sz w:val="18"/>
                <w:szCs w:val="18"/>
              </w:rPr>
              <w:t xml:space="preserve"> /FUNAE), Instituto Nacional do </w:t>
            </w:r>
            <w:proofErr w:type="spellStart"/>
            <w:r w:rsidRPr="00F72419">
              <w:rPr>
                <w:rFonts w:ascii="Arial" w:hAnsi="Arial" w:cs="Arial"/>
                <w:sz w:val="18"/>
                <w:szCs w:val="18"/>
              </w:rPr>
              <w:t>Petroleo</w:t>
            </w:r>
            <w:proofErr w:type="spellEnd"/>
            <w:r w:rsidRPr="00F72419">
              <w:rPr>
                <w:rFonts w:ascii="Arial" w:hAnsi="Arial" w:cs="Arial"/>
                <w:sz w:val="18"/>
                <w:szCs w:val="18"/>
              </w:rPr>
              <w:t xml:space="preserve"> (INP), </w:t>
            </w:r>
            <w:proofErr w:type="spellStart"/>
            <w:r w:rsidRPr="00F72419">
              <w:rPr>
                <w:rFonts w:ascii="Arial" w:hAnsi="Arial" w:cs="Arial"/>
                <w:sz w:val="18"/>
                <w:szCs w:val="18"/>
              </w:rPr>
              <w:t>Empressa</w:t>
            </w:r>
            <w:proofErr w:type="spellEnd"/>
            <w:r w:rsidRPr="00F72419">
              <w:rPr>
                <w:rFonts w:ascii="Arial" w:hAnsi="Arial" w:cs="Arial"/>
                <w:sz w:val="18"/>
                <w:szCs w:val="18"/>
              </w:rPr>
              <w:t xml:space="preserve"> Nacional de </w:t>
            </w:r>
            <w:proofErr w:type="spellStart"/>
            <w:r w:rsidRPr="00F72419">
              <w:rPr>
                <w:rFonts w:ascii="Arial" w:hAnsi="Arial" w:cs="Arial"/>
                <w:sz w:val="18"/>
                <w:szCs w:val="18"/>
              </w:rPr>
              <w:t>Hidrocarbonetos</w:t>
            </w:r>
            <w:proofErr w:type="spellEnd"/>
            <w:r w:rsidRPr="00F72419">
              <w:rPr>
                <w:rFonts w:ascii="Arial" w:hAnsi="Arial" w:cs="Arial"/>
                <w:sz w:val="18"/>
                <w:szCs w:val="18"/>
              </w:rPr>
              <w:t xml:space="preserve"> (ENH), Ministry for the Coordination of Environmental Affairs (MICOA) National Directorate for Electrical Energy (DNEE), National Directorate of New and Renewable Energy, National Electricity Council (CNELEC)- energy regulator, </w:t>
            </w:r>
            <w:proofErr w:type="spellStart"/>
            <w:r w:rsidRPr="00F72419">
              <w:rPr>
                <w:rFonts w:ascii="Arial" w:hAnsi="Arial" w:cs="Arial"/>
                <w:sz w:val="18"/>
                <w:szCs w:val="18"/>
              </w:rPr>
              <w:t>Electricidade</w:t>
            </w:r>
            <w:proofErr w:type="spellEnd"/>
            <w:r w:rsidRPr="00F72419">
              <w:rPr>
                <w:rFonts w:ascii="Arial" w:hAnsi="Arial" w:cs="Arial"/>
                <w:sz w:val="18"/>
                <w:szCs w:val="18"/>
              </w:rPr>
              <w:t xml:space="preserve"> de </w:t>
            </w:r>
            <w:proofErr w:type="spellStart"/>
            <w:r w:rsidRPr="00F72419">
              <w:rPr>
                <w:rFonts w:ascii="Arial" w:hAnsi="Arial" w:cs="Arial"/>
                <w:sz w:val="18"/>
                <w:szCs w:val="18"/>
              </w:rPr>
              <w:t>Mocambique</w:t>
            </w:r>
            <w:proofErr w:type="spellEnd"/>
            <w:r w:rsidRPr="00F72419">
              <w:rPr>
                <w:rFonts w:ascii="Arial" w:hAnsi="Arial" w:cs="Arial"/>
                <w:sz w:val="18"/>
                <w:szCs w:val="18"/>
              </w:rPr>
              <w:t xml:space="preserve"> (EDM)</w:t>
            </w:r>
            <w:r w:rsidR="00035D76" w:rsidRPr="00F72419">
              <w:rPr>
                <w:rFonts w:ascii="Arial" w:hAnsi="Arial" w:cs="Arial"/>
                <w:sz w:val="18"/>
                <w:szCs w:val="18"/>
              </w:rPr>
              <w:t xml:space="preserve"> local DT manufacturers,</w:t>
            </w:r>
            <w:r w:rsidR="002F1B9F" w:rsidRPr="00F72419">
              <w:rPr>
                <w:rFonts w:ascii="Arial" w:hAnsi="Arial" w:cs="Arial"/>
                <w:sz w:val="18"/>
                <w:szCs w:val="18"/>
              </w:rPr>
              <w:t xml:space="preserve"> Revenue Department</w:t>
            </w:r>
            <w:r w:rsidR="00455FC0" w:rsidRPr="00F72419">
              <w:rPr>
                <w:rFonts w:ascii="Arial" w:hAnsi="Arial" w:cs="Arial"/>
                <w:sz w:val="18"/>
                <w:szCs w:val="18"/>
              </w:rPr>
              <w:t xml:space="preserve">. They will be assembled in the Policy Working Group (PWG) and Technical Committee (TC). The work will be carried out by the PWG and TC with the technical support from international and local experts </w:t>
            </w:r>
            <w:proofErr w:type="gramStart"/>
            <w:r w:rsidR="00455FC0" w:rsidRPr="00F72419">
              <w:rPr>
                <w:rFonts w:ascii="Arial" w:hAnsi="Arial" w:cs="Arial"/>
                <w:sz w:val="18"/>
                <w:szCs w:val="18"/>
              </w:rPr>
              <w:t>as a means to</w:t>
            </w:r>
            <w:proofErr w:type="gramEnd"/>
            <w:r w:rsidR="00455FC0" w:rsidRPr="00F72419">
              <w:rPr>
                <w:rFonts w:ascii="Arial" w:hAnsi="Arial" w:cs="Arial"/>
                <w:sz w:val="18"/>
                <w:szCs w:val="18"/>
              </w:rPr>
              <w:t xml:space="preserve"> reinforce their capacity and equip them with the necessary tools and skills for the future implementation of the policies to be developed. </w:t>
            </w:r>
          </w:p>
          <w:p w14:paraId="0CCA28C3" w14:textId="47002D12" w:rsidR="00AF5921" w:rsidRPr="00F72419" w:rsidRDefault="00AF5921" w:rsidP="00AF5921">
            <w:pPr>
              <w:jc w:val="both"/>
              <w:rPr>
                <w:rFonts w:ascii="Arial" w:hAnsi="Arial" w:cs="Arial"/>
                <w:sz w:val="18"/>
                <w:szCs w:val="18"/>
              </w:rPr>
            </w:pPr>
            <w:r w:rsidRPr="00F72419">
              <w:rPr>
                <w:rFonts w:ascii="Arial" w:hAnsi="Arial" w:cs="Arial"/>
                <w:sz w:val="18"/>
                <w:szCs w:val="18"/>
              </w:rPr>
              <w:t xml:space="preserve">The PWG will be chaired by the Ministry of Energy and the Technical Committee by </w:t>
            </w:r>
            <w:r w:rsidRPr="00F72419">
              <w:rPr>
                <w:rFonts w:ascii="Arial" w:hAnsi="Arial" w:cs="Arial"/>
                <w:sz w:val="18"/>
                <w:szCs w:val="18"/>
              </w:rPr>
              <w:t>CNELEC</w:t>
            </w:r>
            <w:r w:rsidRPr="00F72419">
              <w:rPr>
                <w:rFonts w:ascii="Arial" w:hAnsi="Arial" w:cs="Arial"/>
                <w:sz w:val="18"/>
                <w:szCs w:val="18"/>
              </w:rPr>
              <w:t>. The development of the key deliverables (national testing standards, MEPS, MV&amp;E framework) will be done by engaging all the strategic stakeholders (PWG and TC), and the national policy roadmap will undergo public consultation.</w:t>
            </w:r>
          </w:p>
          <w:p w14:paraId="5B7B01F7" w14:textId="77777777" w:rsidR="00AF5921" w:rsidRPr="00F72419" w:rsidRDefault="00AF5921" w:rsidP="00AF5921">
            <w:pPr>
              <w:jc w:val="both"/>
              <w:rPr>
                <w:rFonts w:ascii="Arial" w:hAnsi="Arial" w:cs="Arial"/>
                <w:sz w:val="18"/>
                <w:szCs w:val="18"/>
              </w:rPr>
            </w:pPr>
            <w:r w:rsidRPr="00F72419">
              <w:rPr>
                <w:rFonts w:ascii="Arial" w:hAnsi="Arial" w:cs="Arial"/>
                <w:sz w:val="18"/>
                <w:szCs w:val="18"/>
              </w:rPr>
              <w:t xml:space="preserve">In addition to this on-the-job training, the project will organize several capacity </w:t>
            </w:r>
            <w:proofErr w:type="gramStart"/>
            <w:r w:rsidRPr="00F72419">
              <w:rPr>
                <w:rFonts w:ascii="Arial" w:hAnsi="Arial" w:cs="Arial"/>
                <w:sz w:val="18"/>
                <w:szCs w:val="18"/>
              </w:rPr>
              <w:t>building</w:t>
            </w:r>
            <w:proofErr w:type="gramEnd"/>
            <w:r w:rsidRPr="00F72419">
              <w:rPr>
                <w:rFonts w:ascii="Arial" w:hAnsi="Arial" w:cs="Arial"/>
                <w:sz w:val="18"/>
                <w:szCs w:val="18"/>
              </w:rPr>
              <w:t xml:space="preserve"> workshops on specific themes such as finance mechanisms, monitoring verification and enforcement (MV&amp;E) (drawing on from lessons learnt from the U4E activities on product registration systems), consumer awareness and education. A capacity building program will also be organized for the local DT manufacturer to improve their capacity to manufacture higher efficiency DTs.</w:t>
            </w:r>
          </w:p>
          <w:p w14:paraId="19074DE7" w14:textId="3EE5471B" w:rsidR="00AF5921" w:rsidRPr="005F7AE3" w:rsidRDefault="00AF5921" w:rsidP="00AF5921">
            <w:pPr>
              <w:jc w:val="both"/>
            </w:pPr>
            <w:r w:rsidRPr="00F72419">
              <w:rPr>
                <w:rFonts w:ascii="Arial" w:hAnsi="Arial" w:cs="Arial"/>
                <w:sz w:val="18"/>
                <w:szCs w:val="18"/>
              </w:rPr>
              <w:t xml:space="preserve">Similar readiness proposals are being prepared for Botswana, Eswatini, Lesotho, Malawi, Namibia, Tanzania, </w:t>
            </w:r>
            <w:r w:rsidRPr="00F72419">
              <w:rPr>
                <w:rFonts w:ascii="Arial" w:hAnsi="Arial" w:cs="Arial"/>
                <w:sz w:val="18"/>
                <w:szCs w:val="18"/>
              </w:rPr>
              <w:t>Zambia</w:t>
            </w:r>
            <w:r w:rsidRPr="00F72419">
              <w:rPr>
                <w:rFonts w:ascii="Arial" w:hAnsi="Arial" w:cs="Arial"/>
                <w:sz w:val="18"/>
                <w:szCs w:val="18"/>
              </w:rPr>
              <w:t xml:space="preserve"> and Zimbabwe. The countries have shown willingness to adopt a common approach during the implementation of the project, which will result in having these countries adopt national policy roadmaps on Energy Efficiency (EE) for refrigerators and distribution transformers (DTs), ultimately leading to the harmonization of the standards at a sub-regional level.  In Zambia, this work will be aligned with the national EE&amp;C policy currently being developed. The standards to be adopted will be in line with best practices in international standards to remove non-tariff barriers to trade and facilitate intra-regional trade.</w:t>
            </w:r>
            <w:bookmarkStart w:id="8" w:name="_GoBack"/>
            <w:bookmarkEnd w:id="8"/>
          </w:p>
          <w:p w14:paraId="4E78AFA4" w14:textId="4F506D39" w:rsidR="002F1B9F" w:rsidRPr="004A416A" w:rsidRDefault="002F1B9F" w:rsidP="004001A7">
            <w:pPr>
              <w:spacing w:after="0" w:line="240" w:lineRule="auto"/>
              <w:rPr>
                <w:rFonts w:ascii="Arial" w:hAnsi="Arial" w:cs="Arial"/>
                <w:sz w:val="18"/>
                <w:szCs w:val="18"/>
              </w:rPr>
            </w:pPr>
          </w:p>
        </w:tc>
      </w:tr>
      <w:tr w:rsidR="00455FC0" w:rsidRPr="004A416A" w14:paraId="25CC9572" w14:textId="77777777" w:rsidTr="00751D39">
        <w:trPr>
          <w:trHeight w:val="830"/>
        </w:trPr>
        <w:tc>
          <w:tcPr>
            <w:tcW w:w="9101" w:type="dxa"/>
            <w:vMerge/>
            <w:tcBorders>
              <w:right w:val="single" w:sz="2" w:space="0" w:color="auto"/>
            </w:tcBorders>
            <w:shd w:val="clear" w:color="auto" w:fill="FFFFFF" w:themeFill="background1"/>
            <w:noWrap/>
            <w:vAlign w:val="center"/>
          </w:tcPr>
          <w:p w14:paraId="4B736A94" w14:textId="77777777" w:rsidR="00455FC0" w:rsidRPr="004A416A" w:rsidRDefault="00455FC0" w:rsidP="004A416A">
            <w:pPr>
              <w:keepNext/>
              <w:spacing w:after="0" w:line="240" w:lineRule="auto"/>
              <w:rPr>
                <w:rFonts w:ascii="Arial" w:eastAsia="Times New Roman" w:hAnsi="Arial" w:cs="Arial"/>
                <w:b/>
                <w:color w:val="24634F"/>
                <w:sz w:val="18"/>
                <w:szCs w:val="18"/>
                <w:lang w:eastAsia="ja-JP"/>
              </w:rPr>
            </w:pPr>
          </w:p>
        </w:tc>
      </w:tr>
      <w:tr w:rsidR="00455FC0" w:rsidRPr="004A416A" w14:paraId="461E614C" w14:textId="77777777" w:rsidTr="00751D39">
        <w:trPr>
          <w:trHeight w:val="830"/>
        </w:trPr>
        <w:tc>
          <w:tcPr>
            <w:tcW w:w="9101" w:type="dxa"/>
            <w:vMerge/>
            <w:tcBorders>
              <w:right w:val="single" w:sz="2" w:space="0" w:color="auto"/>
            </w:tcBorders>
            <w:shd w:val="clear" w:color="auto" w:fill="FFFFFF" w:themeFill="background1"/>
            <w:noWrap/>
            <w:vAlign w:val="center"/>
          </w:tcPr>
          <w:p w14:paraId="348DFC8C" w14:textId="77777777" w:rsidR="00455FC0" w:rsidRPr="004A416A" w:rsidRDefault="00455FC0" w:rsidP="004A416A">
            <w:pPr>
              <w:keepNext/>
              <w:spacing w:after="0" w:line="240" w:lineRule="auto"/>
              <w:rPr>
                <w:rFonts w:ascii="Arial" w:eastAsia="Times New Roman" w:hAnsi="Arial" w:cs="Arial"/>
                <w:b/>
                <w:color w:val="24634F"/>
                <w:sz w:val="18"/>
                <w:szCs w:val="18"/>
                <w:lang w:eastAsia="ja-JP"/>
              </w:rPr>
            </w:pPr>
          </w:p>
        </w:tc>
      </w:tr>
      <w:tr w:rsidR="00455FC0" w:rsidRPr="004A416A" w14:paraId="67D2EF8A" w14:textId="77777777" w:rsidTr="00751D39">
        <w:trPr>
          <w:trHeight w:val="830"/>
        </w:trPr>
        <w:tc>
          <w:tcPr>
            <w:tcW w:w="9101" w:type="dxa"/>
            <w:vMerge/>
            <w:tcBorders>
              <w:right w:val="single" w:sz="2" w:space="0" w:color="auto"/>
            </w:tcBorders>
            <w:shd w:val="clear" w:color="auto" w:fill="FFFFFF" w:themeFill="background1"/>
            <w:noWrap/>
            <w:vAlign w:val="center"/>
          </w:tcPr>
          <w:p w14:paraId="168783AB" w14:textId="77777777" w:rsidR="00455FC0" w:rsidRPr="004A416A" w:rsidRDefault="00455FC0" w:rsidP="004A416A">
            <w:pPr>
              <w:keepNext/>
              <w:spacing w:after="0" w:line="240" w:lineRule="auto"/>
              <w:rPr>
                <w:rFonts w:ascii="Arial" w:eastAsia="Times New Roman" w:hAnsi="Arial" w:cs="Arial"/>
                <w:b/>
                <w:color w:val="24634F"/>
                <w:sz w:val="18"/>
                <w:szCs w:val="18"/>
                <w:lang w:eastAsia="ja-JP"/>
              </w:rPr>
            </w:pPr>
          </w:p>
        </w:tc>
      </w:tr>
      <w:tr w:rsidR="00455FC0" w:rsidRPr="004A416A" w14:paraId="04F000CA" w14:textId="77777777" w:rsidTr="00751D39">
        <w:trPr>
          <w:trHeight w:val="830"/>
        </w:trPr>
        <w:tc>
          <w:tcPr>
            <w:tcW w:w="9101" w:type="dxa"/>
            <w:vMerge/>
            <w:tcBorders>
              <w:right w:val="single" w:sz="2" w:space="0" w:color="auto"/>
            </w:tcBorders>
            <w:shd w:val="clear" w:color="auto" w:fill="FFFFFF" w:themeFill="background1"/>
            <w:noWrap/>
            <w:vAlign w:val="center"/>
          </w:tcPr>
          <w:p w14:paraId="223C78B8" w14:textId="77777777" w:rsidR="00455FC0" w:rsidRPr="004A416A" w:rsidRDefault="00455FC0" w:rsidP="004A416A">
            <w:pPr>
              <w:keepNext/>
              <w:spacing w:after="0" w:line="240" w:lineRule="auto"/>
              <w:rPr>
                <w:rFonts w:ascii="Arial" w:eastAsia="Times New Roman" w:hAnsi="Arial" w:cs="Arial"/>
                <w:b/>
                <w:color w:val="24634F"/>
                <w:sz w:val="18"/>
                <w:szCs w:val="18"/>
                <w:lang w:eastAsia="ja-JP"/>
              </w:rPr>
            </w:pPr>
          </w:p>
        </w:tc>
      </w:tr>
      <w:tr w:rsidR="00455FC0" w:rsidRPr="004A416A" w14:paraId="6D00EAF6" w14:textId="77777777" w:rsidTr="00751D39">
        <w:trPr>
          <w:trHeight w:val="830"/>
        </w:trPr>
        <w:tc>
          <w:tcPr>
            <w:tcW w:w="9101" w:type="dxa"/>
            <w:vMerge/>
            <w:tcBorders>
              <w:right w:val="single" w:sz="2" w:space="0" w:color="auto"/>
            </w:tcBorders>
            <w:shd w:val="clear" w:color="auto" w:fill="FFFFFF" w:themeFill="background1"/>
            <w:noWrap/>
            <w:vAlign w:val="center"/>
          </w:tcPr>
          <w:p w14:paraId="065B05FA" w14:textId="77777777" w:rsidR="00455FC0" w:rsidRPr="004A416A" w:rsidRDefault="00455FC0" w:rsidP="004A416A">
            <w:pPr>
              <w:keepNext/>
              <w:spacing w:after="0" w:line="240" w:lineRule="auto"/>
              <w:rPr>
                <w:rFonts w:ascii="Arial" w:eastAsia="Times New Roman" w:hAnsi="Arial" w:cs="Arial"/>
                <w:b/>
                <w:color w:val="24634F"/>
                <w:sz w:val="18"/>
                <w:szCs w:val="18"/>
                <w:lang w:eastAsia="ja-JP"/>
              </w:rPr>
            </w:pPr>
          </w:p>
        </w:tc>
      </w:tr>
      <w:tr w:rsidR="00455FC0" w:rsidRPr="004A416A" w14:paraId="36DECB62" w14:textId="77777777" w:rsidTr="00751D39">
        <w:trPr>
          <w:trHeight w:val="830"/>
        </w:trPr>
        <w:tc>
          <w:tcPr>
            <w:tcW w:w="9101" w:type="dxa"/>
            <w:vMerge/>
            <w:tcBorders>
              <w:right w:val="single" w:sz="2" w:space="0" w:color="auto"/>
            </w:tcBorders>
            <w:shd w:val="clear" w:color="auto" w:fill="FFFFFF" w:themeFill="background1"/>
            <w:noWrap/>
            <w:vAlign w:val="center"/>
          </w:tcPr>
          <w:p w14:paraId="5742C079" w14:textId="77777777" w:rsidR="00455FC0" w:rsidRPr="004A416A" w:rsidRDefault="00455FC0" w:rsidP="004A416A">
            <w:pPr>
              <w:keepNext/>
              <w:spacing w:after="0" w:line="240" w:lineRule="auto"/>
              <w:rPr>
                <w:rFonts w:ascii="Arial" w:eastAsia="Times New Roman" w:hAnsi="Arial" w:cs="Arial"/>
                <w:b/>
                <w:color w:val="24634F"/>
                <w:sz w:val="18"/>
                <w:szCs w:val="18"/>
                <w:lang w:eastAsia="ja-JP"/>
              </w:rPr>
            </w:pPr>
          </w:p>
        </w:tc>
      </w:tr>
      <w:tr w:rsidR="00455FC0" w:rsidRPr="004A416A" w14:paraId="0DC5A54F" w14:textId="77777777" w:rsidTr="00751D39">
        <w:trPr>
          <w:trHeight w:val="830"/>
        </w:trPr>
        <w:tc>
          <w:tcPr>
            <w:tcW w:w="9101" w:type="dxa"/>
            <w:vMerge/>
            <w:tcBorders>
              <w:right w:val="single" w:sz="2" w:space="0" w:color="auto"/>
            </w:tcBorders>
            <w:shd w:val="clear" w:color="auto" w:fill="FFFFFF" w:themeFill="background1"/>
            <w:noWrap/>
            <w:vAlign w:val="center"/>
          </w:tcPr>
          <w:p w14:paraId="1C2D37E2" w14:textId="77777777" w:rsidR="00455FC0" w:rsidRPr="004A416A" w:rsidRDefault="00455FC0" w:rsidP="004A416A">
            <w:pPr>
              <w:keepNext/>
              <w:spacing w:after="0" w:line="240" w:lineRule="auto"/>
              <w:rPr>
                <w:rFonts w:ascii="Arial" w:eastAsia="Times New Roman" w:hAnsi="Arial" w:cs="Arial"/>
                <w:b/>
                <w:color w:val="24634F"/>
                <w:sz w:val="18"/>
                <w:szCs w:val="18"/>
                <w:lang w:eastAsia="ja-JP"/>
              </w:rPr>
            </w:pPr>
          </w:p>
        </w:tc>
      </w:tr>
    </w:tbl>
    <w:p w14:paraId="726370C2" w14:textId="77777777" w:rsidR="00455FC0" w:rsidRDefault="00455FC0" w:rsidP="00455FC0"/>
    <w:p w14:paraId="7AAC01C8" w14:textId="77777777" w:rsidR="00B814AE" w:rsidRDefault="00B814AE" w:rsidP="00333326"/>
    <w:p w14:paraId="67A5C7C4" w14:textId="77777777" w:rsidR="00E74BE1" w:rsidRDefault="00E74BE1" w:rsidP="00333326"/>
    <w:p w14:paraId="00FFD159" w14:textId="77777777" w:rsidR="00E74BE1" w:rsidRDefault="00E74BE1" w:rsidP="00333326"/>
    <w:p w14:paraId="3D67884F" w14:textId="5DEDA5D5" w:rsidR="00E74BE1" w:rsidRDefault="00E74BE1" w:rsidP="00333326">
      <w:pPr>
        <w:sectPr w:rsidR="00E74BE1" w:rsidSect="00AD7442">
          <w:headerReference w:type="default" r:id="rId24"/>
          <w:headerReference w:type="first" r:id="rId25"/>
          <w:pgSz w:w="11906" w:h="16838" w:code="9"/>
          <w:pgMar w:top="1711" w:right="1440" w:bottom="1440" w:left="1440" w:header="720" w:footer="407" w:gutter="0"/>
          <w:cols w:space="720"/>
          <w:titlePg/>
          <w:docGrid w:linePitch="360"/>
        </w:sectPr>
      </w:pPr>
    </w:p>
    <w:p w14:paraId="286CF1DD" w14:textId="77777777" w:rsidR="00F318A9" w:rsidRDefault="00F318A9"/>
    <w:tbl>
      <w:tblPr>
        <w:tblStyle w:val="TableGrid1"/>
        <w:tblW w:w="5000" w:type="pct"/>
        <w:jc w:val="center"/>
        <w:tblLook w:val="04A0" w:firstRow="1" w:lastRow="0" w:firstColumn="1" w:lastColumn="0" w:noHBand="0" w:noVBand="1"/>
      </w:tblPr>
      <w:tblGrid>
        <w:gridCol w:w="1117"/>
        <w:gridCol w:w="1117"/>
        <w:gridCol w:w="1257"/>
        <w:gridCol w:w="1524"/>
        <w:gridCol w:w="2982"/>
        <w:gridCol w:w="265"/>
        <w:gridCol w:w="265"/>
        <w:gridCol w:w="328"/>
        <w:gridCol w:w="265"/>
        <w:gridCol w:w="328"/>
        <w:gridCol w:w="328"/>
        <w:gridCol w:w="328"/>
        <w:gridCol w:w="328"/>
        <w:gridCol w:w="328"/>
        <w:gridCol w:w="328"/>
        <w:gridCol w:w="328"/>
        <w:gridCol w:w="328"/>
        <w:gridCol w:w="298"/>
        <w:gridCol w:w="328"/>
        <w:gridCol w:w="328"/>
        <w:gridCol w:w="328"/>
        <w:gridCol w:w="328"/>
        <w:gridCol w:w="323"/>
      </w:tblGrid>
      <w:tr w:rsidR="00F318A9" w:rsidRPr="00E123C3" w14:paraId="69D43387" w14:textId="77777777" w:rsidTr="00F318A9">
        <w:trPr>
          <w:trHeight w:val="541"/>
          <w:jc w:val="center"/>
        </w:trPr>
        <w:tc>
          <w:tcPr>
            <w:tcW w:w="5000" w:type="pct"/>
            <w:gridSpan w:val="23"/>
            <w:shd w:val="clear" w:color="auto" w:fill="24634F"/>
            <w:vAlign w:val="center"/>
          </w:tcPr>
          <w:p w14:paraId="15DD6764" w14:textId="77777777" w:rsidR="00F318A9" w:rsidRPr="00BE7B8E" w:rsidRDefault="00F318A9" w:rsidP="00F318A9">
            <w:pPr>
              <w:pStyle w:val="ListParagraph"/>
              <w:keepNext/>
              <w:numPr>
                <w:ilvl w:val="0"/>
                <w:numId w:val="3"/>
              </w:numPr>
              <w:tabs>
                <w:tab w:val="left" w:pos="342"/>
              </w:tabs>
              <w:spacing w:line="259" w:lineRule="auto"/>
              <w:ind w:hanging="720"/>
              <w:rPr>
                <w:rFonts w:ascii="Arial" w:hAnsi="Arial"/>
                <w:bCs/>
                <w:sz w:val="18"/>
              </w:rPr>
            </w:pPr>
            <w:r w:rsidRPr="00BE7B8E">
              <w:rPr>
                <w:rStyle w:val="IntenseReference"/>
                <w:rFonts w:cs="Arial"/>
                <w:bCs w:val="0"/>
                <w:color w:val="FFFFFF" w:themeColor="background1"/>
                <w:sz w:val="18"/>
                <w:szCs w:val="18"/>
              </w:rPr>
              <w:t>LOGICAL FRAMEWORK AND IMPLEMENTATION SCHEDULE</w:t>
            </w:r>
          </w:p>
        </w:tc>
      </w:tr>
      <w:tr w:rsidR="00F318A9" w:rsidRPr="00E123C3" w14:paraId="23D0DB01" w14:textId="77777777" w:rsidTr="00F318A9">
        <w:trPr>
          <w:trHeight w:val="422"/>
          <w:jc w:val="center"/>
        </w:trPr>
        <w:tc>
          <w:tcPr>
            <w:tcW w:w="816" w:type="pct"/>
            <w:gridSpan w:val="2"/>
            <w:vMerge w:val="restart"/>
            <w:shd w:val="clear" w:color="auto" w:fill="F2F2F2" w:themeFill="background1" w:themeFillShade="F2"/>
            <w:vAlign w:val="center"/>
          </w:tcPr>
          <w:p w14:paraId="0CC9B7D5" w14:textId="77777777" w:rsidR="00F318A9" w:rsidRPr="00E123C3" w:rsidRDefault="00F318A9" w:rsidP="00F318A9">
            <w:pPr>
              <w:jc w:val="center"/>
              <w:rPr>
                <w:rFonts w:ascii="Arial" w:hAnsi="Arial"/>
                <w:b/>
                <w:sz w:val="18"/>
              </w:rPr>
            </w:pPr>
            <w:r w:rsidRPr="00E123C3">
              <w:rPr>
                <w:rFonts w:ascii="Arial" w:hAnsi="Arial"/>
                <w:b/>
                <w:sz w:val="18"/>
              </w:rPr>
              <w:t>Outcomes</w:t>
            </w:r>
          </w:p>
        </w:tc>
        <w:tc>
          <w:tcPr>
            <w:tcW w:w="459" w:type="pct"/>
            <w:vMerge w:val="restart"/>
            <w:shd w:val="clear" w:color="auto" w:fill="F2F2F2" w:themeFill="background1" w:themeFillShade="F2"/>
            <w:vAlign w:val="center"/>
          </w:tcPr>
          <w:p w14:paraId="319E2E89" w14:textId="77777777" w:rsidR="00F318A9" w:rsidRPr="00E123C3" w:rsidRDefault="00F318A9" w:rsidP="00F318A9">
            <w:pPr>
              <w:jc w:val="center"/>
              <w:rPr>
                <w:rFonts w:ascii="Arial" w:hAnsi="Arial"/>
                <w:b/>
                <w:sz w:val="18"/>
              </w:rPr>
            </w:pPr>
            <w:r w:rsidRPr="00E123C3">
              <w:rPr>
                <w:rFonts w:ascii="Arial" w:hAnsi="Arial"/>
                <w:b/>
                <w:sz w:val="18"/>
              </w:rPr>
              <w:t>Baseline</w:t>
            </w:r>
          </w:p>
        </w:tc>
        <w:tc>
          <w:tcPr>
            <w:tcW w:w="557" w:type="pct"/>
            <w:vMerge w:val="restart"/>
            <w:shd w:val="clear" w:color="auto" w:fill="F2F2F2" w:themeFill="background1" w:themeFillShade="F2"/>
            <w:vAlign w:val="center"/>
          </w:tcPr>
          <w:p w14:paraId="1C6C148A" w14:textId="77777777" w:rsidR="00F318A9" w:rsidRPr="00E123C3" w:rsidRDefault="00F318A9" w:rsidP="00F318A9">
            <w:pPr>
              <w:jc w:val="center"/>
              <w:rPr>
                <w:rFonts w:ascii="Arial" w:hAnsi="Arial"/>
                <w:b/>
                <w:sz w:val="18"/>
              </w:rPr>
            </w:pPr>
            <w:r w:rsidRPr="00E123C3">
              <w:rPr>
                <w:rFonts w:ascii="Arial" w:hAnsi="Arial"/>
                <w:b/>
                <w:sz w:val="18"/>
              </w:rPr>
              <w:t>Targets</w:t>
            </w:r>
          </w:p>
        </w:tc>
        <w:tc>
          <w:tcPr>
            <w:tcW w:w="1090" w:type="pct"/>
            <w:vMerge w:val="restart"/>
            <w:shd w:val="clear" w:color="auto" w:fill="F2F2F2" w:themeFill="background1" w:themeFillShade="F2"/>
            <w:vAlign w:val="center"/>
          </w:tcPr>
          <w:p w14:paraId="795CB2A5" w14:textId="77777777" w:rsidR="00F318A9" w:rsidRPr="00E123C3" w:rsidRDefault="00F318A9" w:rsidP="00F318A9">
            <w:pPr>
              <w:jc w:val="center"/>
              <w:rPr>
                <w:rFonts w:ascii="Arial" w:hAnsi="Arial"/>
                <w:b/>
                <w:sz w:val="18"/>
              </w:rPr>
            </w:pPr>
            <w:r w:rsidRPr="00E123C3">
              <w:rPr>
                <w:rFonts w:ascii="Arial" w:hAnsi="Arial"/>
                <w:b/>
                <w:sz w:val="18"/>
              </w:rPr>
              <w:t>Activities</w:t>
            </w:r>
          </w:p>
          <w:p w14:paraId="743E4CD7" w14:textId="77777777" w:rsidR="00F318A9" w:rsidRPr="00E123C3" w:rsidRDefault="00F318A9" w:rsidP="00F318A9">
            <w:pPr>
              <w:jc w:val="center"/>
              <w:rPr>
                <w:rFonts w:ascii="Arial" w:hAnsi="Arial"/>
                <w:b/>
                <w:sz w:val="18"/>
              </w:rPr>
            </w:pPr>
            <w:r w:rsidRPr="00E123C3">
              <w:rPr>
                <w:rFonts w:ascii="Arial" w:hAnsi="Arial"/>
                <w:b/>
                <w:sz w:val="18"/>
              </w:rPr>
              <w:t>(brief description and deliverables)</w:t>
            </w:r>
          </w:p>
        </w:tc>
        <w:tc>
          <w:tcPr>
            <w:tcW w:w="2079" w:type="pct"/>
            <w:gridSpan w:val="18"/>
            <w:shd w:val="clear" w:color="auto" w:fill="F2F2F2" w:themeFill="background1" w:themeFillShade="F2"/>
            <w:vAlign w:val="center"/>
          </w:tcPr>
          <w:p w14:paraId="1516B956" w14:textId="77777777" w:rsidR="00F318A9" w:rsidRPr="00E123C3" w:rsidRDefault="00F318A9" w:rsidP="00F318A9">
            <w:pPr>
              <w:jc w:val="center"/>
              <w:rPr>
                <w:rFonts w:ascii="Arial" w:hAnsi="Arial"/>
                <w:sz w:val="18"/>
              </w:rPr>
            </w:pPr>
            <w:r w:rsidRPr="00E123C3">
              <w:rPr>
                <w:rFonts w:ascii="Arial" w:hAnsi="Arial"/>
                <w:b/>
                <w:sz w:val="18"/>
              </w:rPr>
              <w:t>Anticipated duration: 18 months</w:t>
            </w:r>
          </w:p>
        </w:tc>
      </w:tr>
      <w:tr w:rsidR="00F318A9" w:rsidRPr="00E123C3" w14:paraId="5BDD8CB9" w14:textId="77777777" w:rsidTr="00F318A9">
        <w:trPr>
          <w:trHeight w:val="422"/>
          <w:jc w:val="center"/>
        </w:trPr>
        <w:tc>
          <w:tcPr>
            <w:tcW w:w="816" w:type="pct"/>
            <w:gridSpan w:val="2"/>
            <w:vMerge/>
            <w:shd w:val="clear" w:color="auto" w:fill="F2F2F2" w:themeFill="background1" w:themeFillShade="F2"/>
          </w:tcPr>
          <w:p w14:paraId="1E6E8923" w14:textId="77777777" w:rsidR="00F318A9" w:rsidRPr="00E123C3" w:rsidRDefault="00F318A9" w:rsidP="00F318A9">
            <w:pPr>
              <w:rPr>
                <w:rFonts w:ascii="Arial" w:hAnsi="Arial"/>
                <w:sz w:val="18"/>
              </w:rPr>
            </w:pPr>
          </w:p>
        </w:tc>
        <w:tc>
          <w:tcPr>
            <w:tcW w:w="459" w:type="pct"/>
            <w:vMerge/>
            <w:shd w:val="clear" w:color="auto" w:fill="F2F2F2" w:themeFill="background1" w:themeFillShade="F2"/>
          </w:tcPr>
          <w:p w14:paraId="118FBA0B" w14:textId="77777777" w:rsidR="00F318A9" w:rsidRPr="00E123C3" w:rsidRDefault="00F318A9" w:rsidP="00F318A9">
            <w:pPr>
              <w:rPr>
                <w:rFonts w:ascii="Arial" w:hAnsi="Arial"/>
                <w:sz w:val="18"/>
              </w:rPr>
            </w:pPr>
          </w:p>
        </w:tc>
        <w:tc>
          <w:tcPr>
            <w:tcW w:w="557" w:type="pct"/>
            <w:vMerge/>
            <w:shd w:val="clear" w:color="auto" w:fill="F2F2F2" w:themeFill="background1" w:themeFillShade="F2"/>
          </w:tcPr>
          <w:p w14:paraId="51E0DF8F" w14:textId="77777777" w:rsidR="00F318A9" w:rsidRPr="00E123C3" w:rsidRDefault="00F318A9" w:rsidP="00F318A9">
            <w:pPr>
              <w:rPr>
                <w:rFonts w:ascii="Arial" w:hAnsi="Arial"/>
                <w:sz w:val="18"/>
              </w:rPr>
            </w:pPr>
          </w:p>
        </w:tc>
        <w:tc>
          <w:tcPr>
            <w:tcW w:w="1090" w:type="pct"/>
            <w:vMerge/>
            <w:shd w:val="clear" w:color="auto" w:fill="F2F2F2" w:themeFill="background1" w:themeFillShade="F2"/>
          </w:tcPr>
          <w:p w14:paraId="3AED4731" w14:textId="77777777" w:rsidR="00F318A9" w:rsidRPr="00E123C3" w:rsidRDefault="00F318A9" w:rsidP="00F318A9">
            <w:pPr>
              <w:rPr>
                <w:rFonts w:ascii="Arial" w:hAnsi="Arial"/>
                <w:sz w:val="18"/>
              </w:rPr>
            </w:pPr>
          </w:p>
        </w:tc>
        <w:tc>
          <w:tcPr>
            <w:tcW w:w="2079" w:type="pct"/>
            <w:gridSpan w:val="18"/>
            <w:shd w:val="clear" w:color="auto" w:fill="F2F2F2" w:themeFill="background1" w:themeFillShade="F2"/>
            <w:vAlign w:val="center"/>
          </w:tcPr>
          <w:p w14:paraId="3BD0FF43" w14:textId="77777777" w:rsidR="00F318A9" w:rsidRPr="00E123C3" w:rsidRDefault="00F318A9" w:rsidP="00F318A9">
            <w:pPr>
              <w:jc w:val="center"/>
              <w:rPr>
                <w:rFonts w:ascii="Arial" w:hAnsi="Arial"/>
                <w:b/>
                <w:sz w:val="18"/>
              </w:rPr>
            </w:pPr>
            <w:r w:rsidRPr="00E123C3">
              <w:rPr>
                <w:rFonts w:ascii="Arial" w:hAnsi="Arial"/>
                <w:b/>
                <w:sz w:val="18"/>
              </w:rPr>
              <w:t>Monthly implementation plan of activities</w:t>
            </w:r>
          </w:p>
        </w:tc>
      </w:tr>
      <w:tr w:rsidR="00F318A9" w:rsidRPr="00E123C3" w14:paraId="0478B74E" w14:textId="77777777" w:rsidTr="00F318A9">
        <w:trPr>
          <w:trHeight w:val="276"/>
          <w:jc w:val="center"/>
        </w:trPr>
        <w:tc>
          <w:tcPr>
            <w:tcW w:w="816" w:type="pct"/>
            <w:gridSpan w:val="2"/>
            <w:vMerge/>
            <w:shd w:val="clear" w:color="auto" w:fill="F2F2F2" w:themeFill="background1" w:themeFillShade="F2"/>
          </w:tcPr>
          <w:p w14:paraId="5D6C77D0" w14:textId="77777777" w:rsidR="00F318A9" w:rsidRPr="00E123C3" w:rsidRDefault="00F318A9" w:rsidP="00F318A9">
            <w:pPr>
              <w:rPr>
                <w:rFonts w:ascii="Arial" w:hAnsi="Arial"/>
                <w:sz w:val="16"/>
              </w:rPr>
            </w:pPr>
          </w:p>
        </w:tc>
        <w:tc>
          <w:tcPr>
            <w:tcW w:w="459" w:type="pct"/>
            <w:vMerge/>
            <w:shd w:val="clear" w:color="auto" w:fill="F2F2F2" w:themeFill="background1" w:themeFillShade="F2"/>
          </w:tcPr>
          <w:p w14:paraId="253D41E7" w14:textId="77777777" w:rsidR="00F318A9" w:rsidRPr="00E123C3" w:rsidRDefault="00F318A9" w:rsidP="00F318A9">
            <w:pPr>
              <w:rPr>
                <w:rFonts w:ascii="Arial" w:hAnsi="Arial"/>
                <w:sz w:val="16"/>
              </w:rPr>
            </w:pPr>
          </w:p>
        </w:tc>
        <w:tc>
          <w:tcPr>
            <w:tcW w:w="557" w:type="pct"/>
            <w:vMerge/>
            <w:shd w:val="clear" w:color="auto" w:fill="F2F2F2" w:themeFill="background1" w:themeFillShade="F2"/>
          </w:tcPr>
          <w:p w14:paraId="3A15FE81" w14:textId="77777777" w:rsidR="00F318A9" w:rsidRPr="00E123C3" w:rsidRDefault="00F318A9" w:rsidP="00F318A9">
            <w:pPr>
              <w:rPr>
                <w:rFonts w:ascii="Arial" w:hAnsi="Arial"/>
                <w:sz w:val="16"/>
              </w:rPr>
            </w:pPr>
          </w:p>
        </w:tc>
        <w:tc>
          <w:tcPr>
            <w:tcW w:w="1090" w:type="pct"/>
            <w:vMerge/>
            <w:shd w:val="clear" w:color="auto" w:fill="F2F2F2" w:themeFill="background1" w:themeFillShade="F2"/>
          </w:tcPr>
          <w:p w14:paraId="78D16E8E" w14:textId="77777777" w:rsidR="00F318A9" w:rsidRPr="00E123C3" w:rsidRDefault="00F318A9" w:rsidP="00F318A9">
            <w:pPr>
              <w:rPr>
                <w:rFonts w:ascii="Arial" w:hAnsi="Arial"/>
                <w:sz w:val="16"/>
              </w:rPr>
            </w:pPr>
          </w:p>
        </w:tc>
        <w:tc>
          <w:tcPr>
            <w:tcW w:w="97" w:type="pct"/>
            <w:tcBorders>
              <w:bottom w:val="single" w:sz="4" w:space="0" w:color="auto"/>
            </w:tcBorders>
            <w:shd w:val="clear" w:color="auto" w:fill="F2F2F2" w:themeFill="background1" w:themeFillShade="F2"/>
            <w:vAlign w:val="center"/>
          </w:tcPr>
          <w:p w14:paraId="158B39AC" w14:textId="77777777" w:rsidR="00F318A9" w:rsidRPr="00E123C3" w:rsidRDefault="00F318A9" w:rsidP="00F318A9">
            <w:pPr>
              <w:jc w:val="center"/>
              <w:rPr>
                <w:rFonts w:ascii="Arial" w:hAnsi="Arial"/>
                <w:sz w:val="6"/>
              </w:rPr>
            </w:pPr>
            <w:r w:rsidRPr="00E123C3">
              <w:rPr>
                <w:rFonts w:ascii="Arial" w:hAnsi="Arial"/>
                <w:sz w:val="6"/>
              </w:rPr>
              <w:t>1</w:t>
            </w:r>
          </w:p>
        </w:tc>
        <w:tc>
          <w:tcPr>
            <w:tcW w:w="97" w:type="pct"/>
            <w:tcBorders>
              <w:bottom w:val="single" w:sz="4" w:space="0" w:color="auto"/>
            </w:tcBorders>
            <w:shd w:val="clear" w:color="auto" w:fill="F2F2F2" w:themeFill="background1" w:themeFillShade="F2"/>
            <w:vAlign w:val="center"/>
          </w:tcPr>
          <w:p w14:paraId="1930272C" w14:textId="77777777" w:rsidR="00F318A9" w:rsidRPr="00E123C3" w:rsidRDefault="00F318A9" w:rsidP="00F318A9">
            <w:pPr>
              <w:jc w:val="center"/>
              <w:rPr>
                <w:rFonts w:ascii="Arial" w:hAnsi="Arial"/>
                <w:sz w:val="6"/>
              </w:rPr>
            </w:pPr>
            <w:r w:rsidRPr="00E123C3">
              <w:rPr>
                <w:rFonts w:ascii="Arial" w:hAnsi="Arial"/>
                <w:sz w:val="6"/>
              </w:rPr>
              <w:t>2</w:t>
            </w:r>
          </w:p>
        </w:tc>
        <w:tc>
          <w:tcPr>
            <w:tcW w:w="120" w:type="pct"/>
            <w:tcBorders>
              <w:bottom w:val="single" w:sz="4" w:space="0" w:color="auto"/>
            </w:tcBorders>
            <w:shd w:val="clear" w:color="auto" w:fill="F2F2F2" w:themeFill="background1" w:themeFillShade="F2"/>
            <w:vAlign w:val="center"/>
          </w:tcPr>
          <w:p w14:paraId="675B727D" w14:textId="77777777" w:rsidR="00F318A9" w:rsidRPr="00E123C3" w:rsidRDefault="00F318A9" w:rsidP="00F318A9">
            <w:pPr>
              <w:jc w:val="center"/>
              <w:rPr>
                <w:rFonts w:ascii="Arial" w:hAnsi="Arial"/>
                <w:sz w:val="6"/>
              </w:rPr>
            </w:pPr>
            <w:r w:rsidRPr="00E123C3">
              <w:rPr>
                <w:rFonts w:ascii="Arial" w:hAnsi="Arial"/>
                <w:sz w:val="6"/>
              </w:rPr>
              <w:t>3</w:t>
            </w:r>
          </w:p>
        </w:tc>
        <w:tc>
          <w:tcPr>
            <w:tcW w:w="97" w:type="pct"/>
            <w:tcBorders>
              <w:bottom w:val="single" w:sz="4" w:space="0" w:color="auto"/>
            </w:tcBorders>
            <w:shd w:val="clear" w:color="auto" w:fill="F2F2F2" w:themeFill="background1" w:themeFillShade="F2"/>
            <w:vAlign w:val="center"/>
          </w:tcPr>
          <w:p w14:paraId="3A440565" w14:textId="77777777" w:rsidR="00F318A9" w:rsidRPr="00E123C3" w:rsidRDefault="00F318A9" w:rsidP="00F318A9">
            <w:pPr>
              <w:jc w:val="center"/>
              <w:rPr>
                <w:rFonts w:ascii="Arial" w:hAnsi="Arial"/>
                <w:sz w:val="6"/>
              </w:rPr>
            </w:pPr>
            <w:r w:rsidRPr="00E123C3">
              <w:rPr>
                <w:rFonts w:ascii="Arial" w:hAnsi="Arial"/>
                <w:sz w:val="6"/>
              </w:rPr>
              <w:t>4</w:t>
            </w:r>
          </w:p>
        </w:tc>
        <w:tc>
          <w:tcPr>
            <w:tcW w:w="120" w:type="pct"/>
            <w:shd w:val="clear" w:color="auto" w:fill="F2F2F2" w:themeFill="background1" w:themeFillShade="F2"/>
            <w:vAlign w:val="center"/>
          </w:tcPr>
          <w:p w14:paraId="5E8FC151" w14:textId="77777777" w:rsidR="00F318A9" w:rsidRPr="00E123C3" w:rsidRDefault="00F318A9" w:rsidP="00F318A9">
            <w:pPr>
              <w:jc w:val="center"/>
              <w:rPr>
                <w:rFonts w:ascii="Arial" w:hAnsi="Arial"/>
                <w:sz w:val="6"/>
              </w:rPr>
            </w:pPr>
            <w:r w:rsidRPr="00E123C3">
              <w:rPr>
                <w:rFonts w:ascii="Arial" w:hAnsi="Arial"/>
                <w:sz w:val="6"/>
              </w:rPr>
              <w:t>5</w:t>
            </w:r>
          </w:p>
        </w:tc>
        <w:tc>
          <w:tcPr>
            <w:tcW w:w="120" w:type="pct"/>
            <w:shd w:val="clear" w:color="auto" w:fill="F2F2F2" w:themeFill="background1" w:themeFillShade="F2"/>
            <w:vAlign w:val="center"/>
          </w:tcPr>
          <w:p w14:paraId="4BF82128" w14:textId="77777777" w:rsidR="00F318A9" w:rsidRPr="00E123C3" w:rsidRDefault="00F318A9" w:rsidP="00F318A9">
            <w:pPr>
              <w:jc w:val="center"/>
              <w:rPr>
                <w:rFonts w:ascii="Arial" w:hAnsi="Arial"/>
                <w:sz w:val="6"/>
              </w:rPr>
            </w:pPr>
            <w:r w:rsidRPr="00E123C3">
              <w:rPr>
                <w:rFonts w:ascii="Arial" w:hAnsi="Arial"/>
                <w:sz w:val="6"/>
              </w:rPr>
              <w:t>6</w:t>
            </w:r>
          </w:p>
        </w:tc>
        <w:tc>
          <w:tcPr>
            <w:tcW w:w="120" w:type="pct"/>
            <w:shd w:val="clear" w:color="auto" w:fill="F2F2F2" w:themeFill="background1" w:themeFillShade="F2"/>
            <w:vAlign w:val="center"/>
          </w:tcPr>
          <w:p w14:paraId="091CE87B" w14:textId="77777777" w:rsidR="00F318A9" w:rsidRPr="00E123C3" w:rsidRDefault="00F318A9" w:rsidP="00F318A9">
            <w:pPr>
              <w:jc w:val="center"/>
              <w:rPr>
                <w:rFonts w:ascii="Arial" w:hAnsi="Arial"/>
                <w:sz w:val="6"/>
              </w:rPr>
            </w:pPr>
            <w:r w:rsidRPr="00E123C3">
              <w:rPr>
                <w:rFonts w:ascii="Arial" w:hAnsi="Arial"/>
                <w:sz w:val="6"/>
              </w:rPr>
              <w:t>7</w:t>
            </w:r>
          </w:p>
        </w:tc>
        <w:tc>
          <w:tcPr>
            <w:tcW w:w="120" w:type="pct"/>
            <w:shd w:val="clear" w:color="auto" w:fill="F2F2F2" w:themeFill="background1" w:themeFillShade="F2"/>
            <w:vAlign w:val="center"/>
          </w:tcPr>
          <w:p w14:paraId="350F6E35" w14:textId="77777777" w:rsidR="00F318A9" w:rsidRPr="00E123C3" w:rsidRDefault="00F318A9" w:rsidP="00F318A9">
            <w:pPr>
              <w:jc w:val="center"/>
              <w:rPr>
                <w:rFonts w:ascii="Arial" w:hAnsi="Arial"/>
                <w:sz w:val="6"/>
              </w:rPr>
            </w:pPr>
            <w:r w:rsidRPr="00E123C3">
              <w:rPr>
                <w:rFonts w:ascii="Arial" w:hAnsi="Arial"/>
                <w:sz w:val="6"/>
              </w:rPr>
              <w:t>8</w:t>
            </w:r>
          </w:p>
        </w:tc>
        <w:tc>
          <w:tcPr>
            <w:tcW w:w="120" w:type="pct"/>
            <w:shd w:val="clear" w:color="auto" w:fill="F2F2F2" w:themeFill="background1" w:themeFillShade="F2"/>
            <w:vAlign w:val="center"/>
          </w:tcPr>
          <w:p w14:paraId="2C03B196" w14:textId="77777777" w:rsidR="00F318A9" w:rsidRPr="00E123C3" w:rsidRDefault="00F318A9" w:rsidP="00F318A9">
            <w:pPr>
              <w:jc w:val="center"/>
              <w:rPr>
                <w:rFonts w:ascii="Arial" w:hAnsi="Arial"/>
                <w:sz w:val="6"/>
              </w:rPr>
            </w:pPr>
            <w:r w:rsidRPr="00E123C3">
              <w:rPr>
                <w:rFonts w:ascii="Arial" w:hAnsi="Arial"/>
                <w:sz w:val="6"/>
              </w:rPr>
              <w:t>9</w:t>
            </w:r>
          </w:p>
        </w:tc>
        <w:tc>
          <w:tcPr>
            <w:tcW w:w="120" w:type="pct"/>
            <w:shd w:val="clear" w:color="auto" w:fill="F2F2F2" w:themeFill="background1" w:themeFillShade="F2"/>
            <w:vAlign w:val="center"/>
          </w:tcPr>
          <w:p w14:paraId="24C0822A" w14:textId="77777777" w:rsidR="00F318A9" w:rsidRPr="00E123C3" w:rsidRDefault="00F318A9" w:rsidP="00F318A9">
            <w:pPr>
              <w:jc w:val="center"/>
              <w:rPr>
                <w:rFonts w:ascii="Arial" w:hAnsi="Arial"/>
                <w:sz w:val="6"/>
              </w:rPr>
            </w:pPr>
            <w:r w:rsidRPr="00E123C3">
              <w:rPr>
                <w:rFonts w:ascii="Arial" w:hAnsi="Arial"/>
                <w:sz w:val="6"/>
              </w:rPr>
              <w:t>10</w:t>
            </w:r>
          </w:p>
        </w:tc>
        <w:tc>
          <w:tcPr>
            <w:tcW w:w="120" w:type="pct"/>
            <w:shd w:val="clear" w:color="auto" w:fill="F2F2F2" w:themeFill="background1" w:themeFillShade="F2"/>
            <w:vAlign w:val="center"/>
          </w:tcPr>
          <w:p w14:paraId="084E415B" w14:textId="77777777" w:rsidR="00F318A9" w:rsidRPr="00E123C3" w:rsidRDefault="00F318A9" w:rsidP="00F318A9">
            <w:pPr>
              <w:jc w:val="center"/>
              <w:rPr>
                <w:rFonts w:ascii="Arial" w:hAnsi="Arial"/>
                <w:sz w:val="6"/>
              </w:rPr>
            </w:pPr>
            <w:r w:rsidRPr="00E123C3">
              <w:rPr>
                <w:rFonts w:ascii="Arial" w:hAnsi="Arial"/>
                <w:sz w:val="6"/>
              </w:rPr>
              <w:t>11</w:t>
            </w:r>
          </w:p>
        </w:tc>
        <w:tc>
          <w:tcPr>
            <w:tcW w:w="120" w:type="pct"/>
            <w:shd w:val="clear" w:color="auto" w:fill="F2F2F2" w:themeFill="background1" w:themeFillShade="F2"/>
            <w:vAlign w:val="center"/>
          </w:tcPr>
          <w:p w14:paraId="3D2DE719" w14:textId="77777777" w:rsidR="00F318A9" w:rsidRPr="00E123C3" w:rsidRDefault="00F318A9" w:rsidP="00F318A9">
            <w:pPr>
              <w:jc w:val="center"/>
              <w:rPr>
                <w:rFonts w:ascii="Arial" w:hAnsi="Arial"/>
                <w:sz w:val="6"/>
              </w:rPr>
            </w:pPr>
            <w:r w:rsidRPr="00E123C3">
              <w:rPr>
                <w:rFonts w:ascii="Arial" w:hAnsi="Arial"/>
                <w:sz w:val="6"/>
              </w:rPr>
              <w:t>12</w:t>
            </w:r>
          </w:p>
        </w:tc>
        <w:tc>
          <w:tcPr>
            <w:tcW w:w="109" w:type="pct"/>
            <w:shd w:val="clear" w:color="auto" w:fill="F2F2F2" w:themeFill="background1" w:themeFillShade="F2"/>
            <w:vAlign w:val="center"/>
          </w:tcPr>
          <w:p w14:paraId="250775E9" w14:textId="77777777" w:rsidR="00F318A9" w:rsidRPr="00E123C3" w:rsidRDefault="00F318A9" w:rsidP="00F318A9">
            <w:pPr>
              <w:jc w:val="center"/>
              <w:rPr>
                <w:rFonts w:ascii="Arial" w:hAnsi="Arial"/>
                <w:sz w:val="6"/>
              </w:rPr>
            </w:pPr>
            <w:r w:rsidRPr="00E123C3">
              <w:rPr>
                <w:rFonts w:ascii="Arial" w:hAnsi="Arial"/>
                <w:sz w:val="6"/>
              </w:rPr>
              <w:t>13</w:t>
            </w:r>
          </w:p>
        </w:tc>
        <w:tc>
          <w:tcPr>
            <w:tcW w:w="120" w:type="pct"/>
            <w:shd w:val="clear" w:color="auto" w:fill="F2F2F2" w:themeFill="background1" w:themeFillShade="F2"/>
            <w:vAlign w:val="center"/>
          </w:tcPr>
          <w:p w14:paraId="2A433E98" w14:textId="77777777" w:rsidR="00F318A9" w:rsidRPr="00E123C3" w:rsidRDefault="00F318A9" w:rsidP="00F318A9">
            <w:pPr>
              <w:jc w:val="center"/>
              <w:rPr>
                <w:rFonts w:ascii="Arial" w:hAnsi="Arial"/>
                <w:sz w:val="6"/>
              </w:rPr>
            </w:pPr>
            <w:r w:rsidRPr="00E123C3">
              <w:rPr>
                <w:rFonts w:ascii="Arial" w:hAnsi="Arial"/>
                <w:sz w:val="6"/>
              </w:rPr>
              <w:t>14</w:t>
            </w:r>
          </w:p>
        </w:tc>
        <w:tc>
          <w:tcPr>
            <w:tcW w:w="120" w:type="pct"/>
            <w:shd w:val="clear" w:color="auto" w:fill="F2F2F2" w:themeFill="background1" w:themeFillShade="F2"/>
            <w:vAlign w:val="center"/>
          </w:tcPr>
          <w:p w14:paraId="70C5039D" w14:textId="77777777" w:rsidR="00F318A9" w:rsidRPr="00E123C3" w:rsidRDefault="00F318A9" w:rsidP="00F318A9">
            <w:pPr>
              <w:jc w:val="center"/>
              <w:rPr>
                <w:rFonts w:ascii="Arial" w:hAnsi="Arial"/>
                <w:sz w:val="6"/>
              </w:rPr>
            </w:pPr>
            <w:r w:rsidRPr="00E123C3">
              <w:rPr>
                <w:rFonts w:ascii="Arial" w:hAnsi="Arial"/>
                <w:sz w:val="6"/>
              </w:rPr>
              <w:t>15</w:t>
            </w:r>
          </w:p>
        </w:tc>
        <w:tc>
          <w:tcPr>
            <w:tcW w:w="120" w:type="pct"/>
            <w:shd w:val="clear" w:color="auto" w:fill="F2F2F2" w:themeFill="background1" w:themeFillShade="F2"/>
            <w:vAlign w:val="center"/>
          </w:tcPr>
          <w:p w14:paraId="5128994B" w14:textId="77777777" w:rsidR="00F318A9" w:rsidRPr="00E123C3" w:rsidRDefault="00F318A9" w:rsidP="00F318A9">
            <w:pPr>
              <w:jc w:val="center"/>
              <w:rPr>
                <w:rFonts w:ascii="Arial" w:hAnsi="Arial"/>
                <w:sz w:val="6"/>
              </w:rPr>
            </w:pPr>
            <w:r w:rsidRPr="00E123C3">
              <w:rPr>
                <w:rFonts w:ascii="Arial" w:hAnsi="Arial"/>
                <w:sz w:val="6"/>
              </w:rPr>
              <w:t>16</w:t>
            </w:r>
          </w:p>
        </w:tc>
        <w:tc>
          <w:tcPr>
            <w:tcW w:w="120" w:type="pct"/>
            <w:shd w:val="clear" w:color="auto" w:fill="F2F2F2" w:themeFill="background1" w:themeFillShade="F2"/>
            <w:vAlign w:val="center"/>
          </w:tcPr>
          <w:p w14:paraId="1D8DA472" w14:textId="77777777" w:rsidR="00F318A9" w:rsidRPr="00E123C3" w:rsidRDefault="00F318A9" w:rsidP="00F318A9">
            <w:pPr>
              <w:jc w:val="center"/>
              <w:rPr>
                <w:rFonts w:ascii="Arial" w:hAnsi="Arial"/>
                <w:sz w:val="6"/>
              </w:rPr>
            </w:pPr>
            <w:r w:rsidRPr="00E123C3">
              <w:rPr>
                <w:rFonts w:ascii="Arial" w:hAnsi="Arial"/>
                <w:sz w:val="6"/>
              </w:rPr>
              <w:t>17</w:t>
            </w:r>
          </w:p>
        </w:tc>
        <w:tc>
          <w:tcPr>
            <w:tcW w:w="120" w:type="pct"/>
            <w:shd w:val="clear" w:color="auto" w:fill="F2F2F2" w:themeFill="background1" w:themeFillShade="F2"/>
            <w:vAlign w:val="center"/>
          </w:tcPr>
          <w:p w14:paraId="5DEA66DB" w14:textId="77777777" w:rsidR="00F318A9" w:rsidRPr="00E123C3" w:rsidRDefault="00F318A9" w:rsidP="00F318A9">
            <w:pPr>
              <w:jc w:val="center"/>
              <w:rPr>
                <w:rFonts w:ascii="Arial" w:hAnsi="Arial"/>
                <w:sz w:val="6"/>
              </w:rPr>
            </w:pPr>
            <w:r w:rsidRPr="00E123C3">
              <w:rPr>
                <w:rFonts w:ascii="Arial" w:hAnsi="Arial"/>
                <w:sz w:val="6"/>
              </w:rPr>
              <w:t>18</w:t>
            </w:r>
          </w:p>
        </w:tc>
      </w:tr>
      <w:tr w:rsidR="00F318A9" w:rsidRPr="00E123C3" w14:paraId="2A05C599" w14:textId="77777777" w:rsidTr="00F318A9">
        <w:trPr>
          <w:trHeight w:val="1610"/>
          <w:jc w:val="center"/>
        </w:trPr>
        <w:tc>
          <w:tcPr>
            <w:tcW w:w="408" w:type="pct"/>
            <w:vMerge w:val="restart"/>
          </w:tcPr>
          <w:p w14:paraId="261CD359" w14:textId="77777777" w:rsidR="00F318A9" w:rsidRPr="00E123C3" w:rsidRDefault="00F318A9" w:rsidP="00F318A9">
            <w:pPr>
              <w:rPr>
                <w:rFonts w:ascii="Arial" w:hAnsi="Arial"/>
                <w:sz w:val="14"/>
              </w:rPr>
            </w:pPr>
            <w:r w:rsidRPr="00E123C3">
              <w:rPr>
                <w:rFonts w:ascii="Arial" w:hAnsi="Arial"/>
                <w:sz w:val="14"/>
              </w:rPr>
              <w:t xml:space="preserve">Outcome 1 </w:t>
            </w:r>
          </w:p>
          <w:p w14:paraId="3AE4D706" w14:textId="77777777" w:rsidR="00F318A9" w:rsidRPr="00E123C3" w:rsidRDefault="00F318A9" w:rsidP="00F318A9">
            <w:pPr>
              <w:rPr>
                <w:rFonts w:ascii="Arial" w:hAnsi="Arial"/>
                <w:sz w:val="14"/>
              </w:rPr>
            </w:pPr>
          </w:p>
          <w:p w14:paraId="7819C4E9" w14:textId="77777777" w:rsidR="00F318A9" w:rsidRPr="00E123C3" w:rsidRDefault="00F318A9" w:rsidP="00F318A9">
            <w:pPr>
              <w:rPr>
                <w:rFonts w:ascii="Arial" w:hAnsi="Arial"/>
                <w:sz w:val="14"/>
              </w:rPr>
            </w:pPr>
            <w:r w:rsidRPr="00E123C3">
              <w:rPr>
                <w:rFonts w:ascii="Arial" w:hAnsi="Arial"/>
                <w:sz w:val="14"/>
              </w:rPr>
              <w:t>Country Programming process</w:t>
            </w:r>
          </w:p>
        </w:tc>
        <w:tc>
          <w:tcPr>
            <w:tcW w:w="408" w:type="pct"/>
          </w:tcPr>
          <w:p w14:paraId="0FA426A5" w14:textId="77777777" w:rsidR="00F318A9" w:rsidRPr="00E123C3" w:rsidRDefault="00F318A9" w:rsidP="00F318A9">
            <w:pPr>
              <w:rPr>
                <w:rFonts w:ascii="Arial" w:hAnsi="Arial"/>
                <w:sz w:val="14"/>
              </w:rPr>
            </w:pPr>
            <w:r w:rsidRPr="00E123C3">
              <w:rPr>
                <w:rFonts w:ascii="Arial" w:hAnsi="Arial"/>
                <w:sz w:val="14"/>
              </w:rPr>
              <w:t>Sub Outcome 1:</w:t>
            </w:r>
          </w:p>
          <w:p w14:paraId="276B2F21" w14:textId="77777777" w:rsidR="00F318A9" w:rsidRPr="00E123C3" w:rsidRDefault="00F318A9" w:rsidP="00F318A9">
            <w:pPr>
              <w:rPr>
                <w:rFonts w:ascii="Arial" w:hAnsi="Arial"/>
                <w:sz w:val="14"/>
              </w:rPr>
            </w:pPr>
            <w:r w:rsidRPr="00E123C3">
              <w:rPr>
                <w:rFonts w:ascii="Arial" w:hAnsi="Arial"/>
                <w:sz w:val="14"/>
              </w:rPr>
              <w:t xml:space="preserve">Appropriate climate technology solutions identified and </w:t>
            </w:r>
            <w:proofErr w:type="spellStart"/>
            <w:r w:rsidRPr="00E123C3">
              <w:rPr>
                <w:rFonts w:ascii="Arial" w:hAnsi="Arial"/>
                <w:sz w:val="14"/>
              </w:rPr>
              <w:t>prioritised</w:t>
            </w:r>
            <w:proofErr w:type="spellEnd"/>
            <w:r w:rsidRPr="00E123C3">
              <w:rPr>
                <w:rFonts w:ascii="Arial" w:hAnsi="Arial"/>
                <w:sz w:val="14"/>
              </w:rPr>
              <w:t xml:space="preserve"> in accordance with national strategies and plans for climate adaptation and mitigation</w:t>
            </w:r>
          </w:p>
        </w:tc>
        <w:tc>
          <w:tcPr>
            <w:tcW w:w="459" w:type="pct"/>
          </w:tcPr>
          <w:p w14:paraId="55FBDEC0" w14:textId="77777777" w:rsidR="00F318A9" w:rsidRPr="00E123C3" w:rsidRDefault="00F318A9" w:rsidP="00F318A9">
            <w:pPr>
              <w:rPr>
                <w:rFonts w:ascii="Arial" w:hAnsi="Arial"/>
                <w:sz w:val="14"/>
              </w:rPr>
            </w:pPr>
            <w:r w:rsidRPr="00E123C3">
              <w:rPr>
                <w:rFonts w:ascii="Arial" w:hAnsi="Arial"/>
                <w:sz w:val="14"/>
              </w:rPr>
              <w:t>1</w:t>
            </w:r>
          </w:p>
          <w:p w14:paraId="3A9D5CD1" w14:textId="77777777" w:rsidR="00F318A9" w:rsidRPr="00E123C3" w:rsidRDefault="00F318A9" w:rsidP="00F318A9">
            <w:pPr>
              <w:rPr>
                <w:rFonts w:ascii="Arial" w:hAnsi="Arial"/>
                <w:sz w:val="14"/>
              </w:rPr>
            </w:pPr>
            <w:r w:rsidRPr="00E123C3">
              <w:rPr>
                <w:rFonts w:ascii="Arial" w:hAnsi="Arial"/>
                <w:sz w:val="14"/>
              </w:rPr>
              <w:t>Some appropriate climate technologies have been identified in accordance</w:t>
            </w:r>
          </w:p>
          <w:p w14:paraId="41FE9B70" w14:textId="77777777" w:rsidR="00F318A9" w:rsidRPr="00E123C3" w:rsidRDefault="00F318A9" w:rsidP="00F318A9">
            <w:pPr>
              <w:rPr>
                <w:rFonts w:ascii="Arial" w:hAnsi="Arial"/>
                <w:sz w:val="14"/>
              </w:rPr>
            </w:pPr>
            <w:r w:rsidRPr="00E123C3">
              <w:rPr>
                <w:rFonts w:ascii="Arial" w:hAnsi="Arial"/>
                <w:sz w:val="14"/>
              </w:rPr>
              <w:t>with national strategies and plans</w:t>
            </w:r>
          </w:p>
        </w:tc>
        <w:tc>
          <w:tcPr>
            <w:tcW w:w="557" w:type="pct"/>
          </w:tcPr>
          <w:p w14:paraId="5F9DE589" w14:textId="77777777" w:rsidR="00F318A9" w:rsidRPr="00E123C3" w:rsidRDefault="00F318A9" w:rsidP="00F318A9">
            <w:pPr>
              <w:rPr>
                <w:rFonts w:ascii="Arial" w:hAnsi="Arial"/>
                <w:sz w:val="14"/>
              </w:rPr>
            </w:pPr>
            <w:r w:rsidRPr="00E123C3">
              <w:rPr>
                <w:rFonts w:ascii="Arial" w:hAnsi="Arial"/>
                <w:sz w:val="14"/>
              </w:rPr>
              <w:t>2</w:t>
            </w:r>
          </w:p>
          <w:p w14:paraId="477BAE68" w14:textId="77777777" w:rsidR="00F318A9" w:rsidRPr="00E123C3" w:rsidRDefault="00F318A9" w:rsidP="00F318A9">
            <w:pPr>
              <w:rPr>
                <w:rFonts w:ascii="Arial" w:hAnsi="Arial"/>
                <w:sz w:val="14"/>
              </w:rPr>
            </w:pPr>
            <w:r w:rsidRPr="00E123C3">
              <w:rPr>
                <w:rFonts w:ascii="Arial" w:hAnsi="Arial"/>
                <w:sz w:val="14"/>
              </w:rPr>
              <w:t>The most appropriate climate technology solutions have been identified</w:t>
            </w:r>
          </w:p>
          <w:p w14:paraId="6EDEAC5C" w14:textId="77777777" w:rsidR="00F318A9" w:rsidRPr="00E123C3" w:rsidRDefault="00F318A9" w:rsidP="00F318A9">
            <w:pPr>
              <w:rPr>
                <w:rFonts w:ascii="Arial" w:hAnsi="Arial"/>
                <w:sz w:val="14"/>
              </w:rPr>
            </w:pPr>
            <w:r w:rsidRPr="00E123C3">
              <w:rPr>
                <w:rFonts w:ascii="Arial" w:hAnsi="Arial"/>
                <w:sz w:val="14"/>
              </w:rPr>
              <w:t xml:space="preserve">and </w:t>
            </w:r>
            <w:proofErr w:type="spellStart"/>
            <w:r w:rsidRPr="00E123C3">
              <w:rPr>
                <w:rFonts w:ascii="Arial" w:hAnsi="Arial"/>
                <w:sz w:val="14"/>
              </w:rPr>
              <w:t>prioritised</w:t>
            </w:r>
            <w:proofErr w:type="spellEnd"/>
            <w:r w:rsidRPr="00E123C3">
              <w:rPr>
                <w:rFonts w:ascii="Arial" w:hAnsi="Arial"/>
                <w:sz w:val="14"/>
              </w:rPr>
              <w:t xml:space="preserve"> in accordance with national strategies and plans, based on</w:t>
            </w:r>
          </w:p>
          <w:p w14:paraId="6F874ACB" w14:textId="77777777" w:rsidR="00F318A9" w:rsidRPr="00E123C3" w:rsidRDefault="00F318A9" w:rsidP="00F318A9">
            <w:pPr>
              <w:rPr>
                <w:rFonts w:ascii="Arial" w:hAnsi="Arial"/>
                <w:sz w:val="14"/>
              </w:rPr>
            </w:pPr>
            <w:r w:rsidRPr="00E123C3">
              <w:rPr>
                <w:rFonts w:ascii="Arial" w:hAnsi="Arial"/>
                <w:sz w:val="14"/>
              </w:rPr>
              <w:t>a comprehensive analysis of technology options to address specific climate</w:t>
            </w:r>
          </w:p>
          <w:p w14:paraId="344D33E0" w14:textId="77777777" w:rsidR="00F318A9" w:rsidRPr="00E123C3" w:rsidRDefault="00F318A9" w:rsidP="00F318A9">
            <w:pPr>
              <w:rPr>
                <w:rFonts w:ascii="Arial" w:hAnsi="Arial"/>
                <w:sz w:val="14"/>
              </w:rPr>
            </w:pPr>
            <w:r w:rsidRPr="00E123C3">
              <w:rPr>
                <w:rFonts w:ascii="Arial" w:hAnsi="Arial"/>
                <w:sz w:val="14"/>
              </w:rPr>
              <w:t>impacts.</w:t>
            </w:r>
          </w:p>
        </w:tc>
        <w:tc>
          <w:tcPr>
            <w:tcW w:w="1090" w:type="pct"/>
          </w:tcPr>
          <w:p w14:paraId="10CBE208" w14:textId="77777777" w:rsidR="00F318A9" w:rsidRPr="00D554F6" w:rsidRDefault="00F318A9" w:rsidP="00F318A9">
            <w:pPr>
              <w:rPr>
                <w:rFonts w:ascii="Arial" w:hAnsi="Arial"/>
                <w:b/>
                <w:sz w:val="14"/>
              </w:rPr>
            </w:pPr>
            <w:r w:rsidRPr="00D554F6">
              <w:rPr>
                <w:rFonts w:ascii="Arial" w:hAnsi="Arial"/>
                <w:b/>
                <w:sz w:val="14"/>
              </w:rPr>
              <w:t>Output 1: Comprehensive market analysis for higher efficiency refrigerators and distribution transformers (DTs) conducted</w:t>
            </w:r>
          </w:p>
          <w:p w14:paraId="78AB1595" w14:textId="77777777" w:rsidR="00F318A9" w:rsidRDefault="00F318A9" w:rsidP="00F318A9">
            <w:pPr>
              <w:rPr>
                <w:rFonts w:ascii="Arial" w:hAnsi="Arial"/>
                <w:sz w:val="14"/>
              </w:rPr>
            </w:pPr>
          </w:p>
          <w:p w14:paraId="5667FCAC" w14:textId="77777777" w:rsidR="00F318A9" w:rsidRPr="00E123C3" w:rsidRDefault="00F318A9" w:rsidP="00F318A9">
            <w:pPr>
              <w:rPr>
                <w:rFonts w:ascii="Arial" w:hAnsi="Arial"/>
                <w:sz w:val="14"/>
              </w:rPr>
            </w:pPr>
            <w:r w:rsidRPr="00E123C3">
              <w:rPr>
                <w:rFonts w:ascii="Arial" w:hAnsi="Arial"/>
                <w:sz w:val="14"/>
              </w:rPr>
              <w:t>Activity 1:</w:t>
            </w:r>
          </w:p>
          <w:p w14:paraId="6E5542F3" w14:textId="77777777" w:rsidR="00F318A9" w:rsidRPr="00E123C3" w:rsidRDefault="00F318A9" w:rsidP="00F318A9">
            <w:pPr>
              <w:rPr>
                <w:rFonts w:ascii="Arial" w:hAnsi="Arial"/>
                <w:sz w:val="14"/>
              </w:rPr>
            </w:pPr>
            <w:r w:rsidRPr="00E123C3">
              <w:rPr>
                <w:rFonts w:ascii="Arial" w:hAnsi="Arial"/>
                <w:sz w:val="14"/>
              </w:rPr>
              <w:t>Conduct detailed market assessment for Refrigerators and Distribution Transformers (DTs) including current stock and future growth, energy saving potential, stakeholders mapping, standards gap analysis, impact of electricity losses and energy savings on government budget (since electricity is subsidized)</w:t>
            </w:r>
          </w:p>
          <w:p w14:paraId="57F656C4" w14:textId="77777777" w:rsidR="00F318A9" w:rsidRPr="00E123C3" w:rsidRDefault="00F318A9" w:rsidP="00F318A9">
            <w:pPr>
              <w:rPr>
                <w:rFonts w:ascii="Arial" w:hAnsi="Arial"/>
                <w:sz w:val="14"/>
              </w:rPr>
            </w:pPr>
          </w:p>
          <w:p w14:paraId="206B8C06" w14:textId="77777777" w:rsidR="00F318A9" w:rsidRPr="00E123C3" w:rsidRDefault="00F318A9" w:rsidP="00F318A9">
            <w:pPr>
              <w:ind w:right="-29"/>
              <w:rPr>
                <w:rFonts w:ascii="Arial" w:hAnsi="Arial"/>
                <w:sz w:val="14"/>
              </w:rPr>
            </w:pPr>
            <w:r w:rsidRPr="00E123C3">
              <w:rPr>
                <w:rFonts w:ascii="Arial" w:hAnsi="Arial"/>
                <w:sz w:val="14"/>
              </w:rPr>
              <w:t>Deliverable 1:</w:t>
            </w:r>
          </w:p>
          <w:p w14:paraId="58E78E75" w14:textId="77777777" w:rsidR="00F318A9" w:rsidRPr="00E123C3" w:rsidRDefault="00F318A9" w:rsidP="00F318A9">
            <w:pPr>
              <w:ind w:right="-29"/>
              <w:rPr>
                <w:rFonts w:ascii="Arial" w:hAnsi="Arial"/>
                <w:sz w:val="14"/>
              </w:rPr>
            </w:pPr>
            <w:r w:rsidRPr="00E123C3">
              <w:rPr>
                <w:rFonts w:ascii="Arial" w:hAnsi="Arial"/>
                <w:sz w:val="14"/>
              </w:rPr>
              <w:t>Market assessment</w:t>
            </w:r>
          </w:p>
          <w:p w14:paraId="4650F4E5" w14:textId="77777777" w:rsidR="00F318A9" w:rsidRPr="00E123C3" w:rsidRDefault="00F318A9" w:rsidP="00F318A9">
            <w:pPr>
              <w:rPr>
                <w:rFonts w:ascii="Arial" w:hAnsi="Arial"/>
                <w:sz w:val="14"/>
              </w:rPr>
            </w:pPr>
          </w:p>
        </w:tc>
        <w:tc>
          <w:tcPr>
            <w:tcW w:w="97" w:type="pct"/>
            <w:tcBorders>
              <w:bottom w:val="single" w:sz="4" w:space="0" w:color="auto"/>
            </w:tcBorders>
            <w:shd w:val="clear" w:color="auto" w:fill="C5E0B3" w:themeFill="accent6" w:themeFillTint="66"/>
            <w:vAlign w:val="center"/>
          </w:tcPr>
          <w:p w14:paraId="2ACFDF97" w14:textId="77777777" w:rsidR="00F318A9" w:rsidRPr="00E123C3" w:rsidRDefault="00F318A9" w:rsidP="00F318A9">
            <w:pPr>
              <w:jc w:val="center"/>
              <w:rPr>
                <w:rFonts w:ascii="Arial" w:hAnsi="Arial"/>
                <w:sz w:val="14"/>
              </w:rPr>
            </w:pPr>
          </w:p>
        </w:tc>
        <w:tc>
          <w:tcPr>
            <w:tcW w:w="97" w:type="pct"/>
            <w:tcBorders>
              <w:bottom w:val="single" w:sz="4" w:space="0" w:color="auto"/>
            </w:tcBorders>
            <w:shd w:val="clear" w:color="auto" w:fill="C5E0B3" w:themeFill="accent6" w:themeFillTint="66"/>
            <w:vAlign w:val="center"/>
          </w:tcPr>
          <w:p w14:paraId="03C17B00" w14:textId="77777777" w:rsidR="00F318A9" w:rsidRPr="00E123C3" w:rsidRDefault="00F318A9" w:rsidP="00F318A9">
            <w:pPr>
              <w:jc w:val="center"/>
              <w:rPr>
                <w:rFonts w:ascii="Arial" w:hAnsi="Arial"/>
                <w:sz w:val="14"/>
              </w:rPr>
            </w:pPr>
          </w:p>
        </w:tc>
        <w:tc>
          <w:tcPr>
            <w:tcW w:w="120" w:type="pct"/>
            <w:tcBorders>
              <w:bottom w:val="single" w:sz="4" w:space="0" w:color="auto"/>
            </w:tcBorders>
            <w:shd w:val="clear" w:color="auto" w:fill="C5E0B3" w:themeFill="accent6" w:themeFillTint="66"/>
            <w:vAlign w:val="center"/>
          </w:tcPr>
          <w:p w14:paraId="30986BFE" w14:textId="77777777" w:rsidR="00F318A9" w:rsidRPr="00E123C3" w:rsidRDefault="00F318A9" w:rsidP="00F318A9">
            <w:pPr>
              <w:jc w:val="center"/>
              <w:rPr>
                <w:rFonts w:ascii="Arial" w:hAnsi="Arial"/>
                <w:sz w:val="14"/>
              </w:rPr>
            </w:pPr>
          </w:p>
        </w:tc>
        <w:tc>
          <w:tcPr>
            <w:tcW w:w="97" w:type="pct"/>
            <w:tcBorders>
              <w:bottom w:val="single" w:sz="4" w:space="0" w:color="auto"/>
            </w:tcBorders>
            <w:shd w:val="clear" w:color="auto" w:fill="C5E0B3" w:themeFill="accent6" w:themeFillTint="66"/>
            <w:vAlign w:val="center"/>
          </w:tcPr>
          <w:p w14:paraId="6273C391" w14:textId="77777777" w:rsidR="00F318A9" w:rsidRPr="00E123C3" w:rsidRDefault="00F318A9" w:rsidP="00F318A9">
            <w:pPr>
              <w:jc w:val="center"/>
              <w:rPr>
                <w:rFonts w:ascii="Arial" w:hAnsi="Arial"/>
                <w:sz w:val="14"/>
              </w:rPr>
            </w:pPr>
          </w:p>
        </w:tc>
        <w:tc>
          <w:tcPr>
            <w:tcW w:w="120" w:type="pct"/>
            <w:tcBorders>
              <w:bottom w:val="single" w:sz="4" w:space="0" w:color="auto"/>
            </w:tcBorders>
            <w:vAlign w:val="center"/>
          </w:tcPr>
          <w:p w14:paraId="0E2278C8" w14:textId="77777777" w:rsidR="00F318A9" w:rsidRPr="00E123C3" w:rsidRDefault="00F318A9" w:rsidP="00F318A9">
            <w:pPr>
              <w:jc w:val="center"/>
              <w:rPr>
                <w:rFonts w:ascii="Arial" w:hAnsi="Arial"/>
                <w:sz w:val="14"/>
              </w:rPr>
            </w:pPr>
          </w:p>
        </w:tc>
        <w:tc>
          <w:tcPr>
            <w:tcW w:w="120" w:type="pct"/>
            <w:tcBorders>
              <w:bottom w:val="single" w:sz="4" w:space="0" w:color="auto"/>
            </w:tcBorders>
            <w:vAlign w:val="center"/>
          </w:tcPr>
          <w:p w14:paraId="5B8041BC" w14:textId="77777777" w:rsidR="00F318A9" w:rsidRPr="00E123C3" w:rsidRDefault="00F318A9" w:rsidP="00F318A9">
            <w:pPr>
              <w:jc w:val="center"/>
              <w:rPr>
                <w:rFonts w:ascii="Arial" w:hAnsi="Arial"/>
                <w:sz w:val="14"/>
              </w:rPr>
            </w:pPr>
          </w:p>
        </w:tc>
        <w:tc>
          <w:tcPr>
            <w:tcW w:w="120" w:type="pct"/>
            <w:vAlign w:val="center"/>
          </w:tcPr>
          <w:p w14:paraId="6266A229" w14:textId="77777777" w:rsidR="00F318A9" w:rsidRPr="00E123C3" w:rsidRDefault="00F318A9" w:rsidP="00F318A9">
            <w:pPr>
              <w:jc w:val="center"/>
              <w:rPr>
                <w:rFonts w:ascii="Arial" w:hAnsi="Arial"/>
                <w:sz w:val="14"/>
              </w:rPr>
            </w:pPr>
          </w:p>
        </w:tc>
        <w:tc>
          <w:tcPr>
            <w:tcW w:w="120" w:type="pct"/>
            <w:vAlign w:val="center"/>
          </w:tcPr>
          <w:p w14:paraId="1667E912" w14:textId="77777777" w:rsidR="00F318A9" w:rsidRPr="00E123C3" w:rsidRDefault="00F318A9" w:rsidP="00F318A9">
            <w:pPr>
              <w:jc w:val="center"/>
              <w:rPr>
                <w:rFonts w:ascii="Arial" w:hAnsi="Arial"/>
                <w:sz w:val="14"/>
              </w:rPr>
            </w:pPr>
          </w:p>
        </w:tc>
        <w:tc>
          <w:tcPr>
            <w:tcW w:w="120" w:type="pct"/>
            <w:vAlign w:val="center"/>
          </w:tcPr>
          <w:p w14:paraId="2B6519C7" w14:textId="77777777" w:rsidR="00F318A9" w:rsidRPr="00E123C3" w:rsidRDefault="00F318A9" w:rsidP="00F318A9">
            <w:pPr>
              <w:jc w:val="center"/>
              <w:rPr>
                <w:rFonts w:ascii="Arial" w:hAnsi="Arial"/>
                <w:sz w:val="14"/>
              </w:rPr>
            </w:pPr>
          </w:p>
        </w:tc>
        <w:tc>
          <w:tcPr>
            <w:tcW w:w="120" w:type="pct"/>
            <w:vAlign w:val="center"/>
          </w:tcPr>
          <w:p w14:paraId="609AB0A5" w14:textId="77777777" w:rsidR="00F318A9" w:rsidRPr="00E123C3" w:rsidRDefault="00F318A9" w:rsidP="00F318A9">
            <w:pPr>
              <w:jc w:val="center"/>
              <w:rPr>
                <w:rFonts w:ascii="Arial" w:hAnsi="Arial"/>
                <w:sz w:val="14"/>
              </w:rPr>
            </w:pPr>
          </w:p>
        </w:tc>
        <w:tc>
          <w:tcPr>
            <w:tcW w:w="120" w:type="pct"/>
            <w:vAlign w:val="center"/>
          </w:tcPr>
          <w:p w14:paraId="2977A37A" w14:textId="77777777" w:rsidR="00F318A9" w:rsidRPr="00E123C3" w:rsidRDefault="00F318A9" w:rsidP="00F318A9">
            <w:pPr>
              <w:jc w:val="center"/>
              <w:rPr>
                <w:rFonts w:ascii="Arial" w:hAnsi="Arial"/>
                <w:sz w:val="14"/>
              </w:rPr>
            </w:pPr>
          </w:p>
        </w:tc>
        <w:tc>
          <w:tcPr>
            <w:tcW w:w="120" w:type="pct"/>
            <w:vAlign w:val="center"/>
          </w:tcPr>
          <w:p w14:paraId="6DC74A9F" w14:textId="77777777" w:rsidR="00F318A9" w:rsidRPr="00E123C3" w:rsidRDefault="00F318A9" w:rsidP="00F318A9">
            <w:pPr>
              <w:jc w:val="center"/>
              <w:rPr>
                <w:rFonts w:ascii="Arial" w:hAnsi="Arial"/>
                <w:sz w:val="14"/>
              </w:rPr>
            </w:pPr>
          </w:p>
        </w:tc>
        <w:tc>
          <w:tcPr>
            <w:tcW w:w="109" w:type="pct"/>
            <w:vAlign w:val="center"/>
          </w:tcPr>
          <w:p w14:paraId="1186A4A9" w14:textId="77777777" w:rsidR="00F318A9" w:rsidRPr="00E123C3" w:rsidRDefault="00F318A9" w:rsidP="00F318A9">
            <w:pPr>
              <w:jc w:val="center"/>
              <w:rPr>
                <w:rFonts w:ascii="Arial" w:hAnsi="Arial"/>
                <w:sz w:val="14"/>
              </w:rPr>
            </w:pPr>
          </w:p>
        </w:tc>
        <w:tc>
          <w:tcPr>
            <w:tcW w:w="120" w:type="pct"/>
            <w:vAlign w:val="center"/>
          </w:tcPr>
          <w:p w14:paraId="75679446" w14:textId="77777777" w:rsidR="00F318A9" w:rsidRPr="00E123C3" w:rsidRDefault="00F318A9" w:rsidP="00F318A9">
            <w:pPr>
              <w:jc w:val="center"/>
              <w:rPr>
                <w:rFonts w:ascii="Arial" w:hAnsi="Arial"/>
                <w:sz w:val="14"/>
              </w:rPr>
            </w:pPr>
          </w:p>
        </w:tc>
        <w:tc>
          <w:tcPr>
            <w:tcW w:w="120" w:type="pct"/>
            <w:vAlign w:val="center"/>
          </w:tcPr>
          <w:p w14:paraId="21B03A11" w14:textId="77777777" w:rsidR="00F318A9" w:rsidRPr="00E123C3" w:rsidRDefault="00F318A9" w:rsidP="00F318A9">
            <w:pPr>
              <w:jc w:val="center"/>
              <w:rPr>
                <w:rFonts w:ascii="Arial" w:hAnsi="Arial"/>
                <w:sz w:val="14"/>
              </w:rPr>
            </w:pPr>
          </w:p>
        </w:tc>
        <w:tc>
          <w:tcPr>
            <w:tcW w:w="120" w:type="pct"/>
            <w:vAlign w:val="center"/>
          </w:tcPr>
          <w:p w14:paraId="00B062BD" w14:textId="77777777" w:rsidR="00F318A9" w:rsidRPr="00E123C3" w:rsidRDefault="00F318A9" w:rsidP="00F318A9">
            <w:pPr>
              <w:jc w:val="center"/>
              <w:rPr>
                <w:rFonts w:ascii="Arial" w:hAnsi="Arial"/>
                <w:sz w:val="14"/>
              </w:rPr>
            </w:pPr>
          </w:p>
        </w:tc>
        <w:tc>
          <w:tcPr>
            <w:tcW w:w="120" w:type="pct"/>
            <w:vAlign w:val="center"/>
          </w:tcPr>
          <w:p w14:paraId="09C8A7DB" w14:textId="77777777" w:rsidR="00F318A9" w:rsidRPr="00E123C3" w:rsidRDefault="00F318A9" w:rsidP="00F318A9">
            <w:pPr>
              <w:jc w:val="center"/>
              <w:rPr>
                <w:rFonts w:ascii="Arial" w:hAnsi="Arial"/>
                <w:sz w:val="14"/>
              </w:rPr>
            </w:pPr>
          </w:p>
        </w:tc>
        <w:tc>
          <w:tcPr>
            <w:tcW w:w="120" w:type="pct"/>
            <w:vAlign w:val="center"/>
          </w:tcPr>
          <w:p w14:paraId="71DC4311" w14:textId="77777777" w:rsidR="00F318A9" w:rsidRPr="00E123C3" w:rsidRDefault="00F318A9" w:rsidP="00F318A9">
            <w:pPr>
              <w:jc w:val="center"/>
              <w:rPr>
                <w:rFonts w:ascii="Arial" w:hAnsi="Arial"/>
                <w:sz w:val="14"/>
              </w:rPr>
            </w:pPr>
          </w:p>
        </w:tc>
      </w:tr>
      <w:tr w:rsidR="00F318A9" w:rsidRPr="00E123C3" w14:paraId="521D54CA" w14:textId="77777777" w:rsidTr="00F318A9">
        <w:trPr>
          <w:trHeight w:val="184"/>
          <w:jc w:val="center"/>
        </w:trPr>
        <w:tc>
          <w:tcPr>
            <w:tcW w:w="408" w:type="pct"/>
            <w:vMerge/>
          </w:tcPr>
          <w:p w14:paraId="3A7A355B" w14:textId="77777777" w:rsidR="00F318A9" w:rsidRPr="00E123C3" w:rsidRDefault="00F318A9" w:rsidP="00F318A9">
            <w:pPr>
              <w:rPr>
                <w:rFonts w:ascii="Arial" w:hAnsi="Arial"/>
                <w:sz w:val="14"/>
              </w:rPr>
            </w:pPr>
          </w:p>
        </w:tc>
        <w:tc>
          <w:tcPr>
            <w:tcW w:w="408" w:type="pct"/>
            <w:vMerge w:val="restart"/>
          </w:tcPr>
          <w:p w14:paraId="7D5DB56D" w14:textId="77777777" w:rsidR="00F318A9" w:rsidRPr="00E123C3" w:rsidRDefault="00F318A9" w:rsidP="00F318A9">
            <w:pPr>
              <w:rPr>
                <w:rFonts w:ascii="Arial" w:hAnsi="Arial"/>
                <w:sz w:val="14"/>
              </w:rPr>
            </w:pPr>
            <w:r w:rsidRPr="00E123C3">
              <w:rPr>
                <w:rFonts w:ascii="Arial" w:hAnsi="Arial"/>
                <w:sz w:val="14"/>
              </w:rPr>
              <w:t>Sub Outcome 2:</w:t>
            </w:r>
          </w:p>
          <w:p w14:paraId="0F0620D8" w14:textId="77777777" w:rsidR="00F318A9" w:rsidRPr="00E123C3" w:rsidRDefault="00F318A9" w:rsidP="00F318A9">
            <w:pPr>
              <w:rPr>
                <w:rFonts w:ascii="Arial" w:hAnsi="Arial"/>
                <w:sz w:val="14"/>
              </w:rPr>
            </w:pPr>
          </w:p>
          <w:p w14:paraId="7926B6E3" w14:textId="77777777" w:rsidR="00F318A9" w:rsidRPr="00E123C3" w:rsidRDefault="00F318A9" w:rsidP="00F318A9">
            <w:pPr>
              <w:rPr>
                <w:rFonts w:ascii="Arial" w:hAnsi="Arial"/>
                <w:sz w:val="14"/>
              </w:rPr>
            </w:pPr>
            <w:r w:rsidRPr="00E123C3">
              <w:rPr>
                <w:rFonts w:ascii="Arial" w:hAnsi="Arial"/>
                <w:sz w:val="14"/>
              </w:rPr>
              <w:t>Stakeholder engagement consultative processes</w:t>
            </w:r>
          </w:p>
        </w:tc>
        <w:tc>
          <w:tcPr>
            <w:tcW w:w="459" w:type="pct"/>
            <w:vMerge w:val="restart"/>
          </w:tcPr>
          <w:p w14:paraId="5D431A0D" w14:textId="77777777" w:rsidR="00F318A9" w:rsidRPr="00E123C3" w:rsidRDefault="00F318A9" w:rsidP="00F318A9">
            <w:pPr>
              <w:rPr>
                <w:rFonts w:ascii="Arial" w:hAnsi="Arial"/>
                <w:sz w:val="14"/>
              </w:rPr>
            </w:pPr>
            <w:r w:rsidRPr="00E123C3">
              <w:rPr>
                <w:rFonts w:ascii="Arial" w:hAnsi="Arial"/>
                <w:sz w:val="14"/>
              </w:rPr>
              <w:t>0</w:t>
            </w:r>
          </w:p>
          <w:p w14:paraId="724B3AAA" w14:textId="77777777" w:rsidR="00F318A9" w:rsidRPr="00E123C3" w:rsidRDefault="00F318A9" w:rsidP="00F318A9">
            <w:pPr>
              <w:rPr>
                <w:rFonts w:ascii="Arial" w:hAnsi="Arial"/>
                <w:sz w:val="14"/>
              </w:rPr>
            </w:pPr>
            <w:r w:rsidRPr="00E123C3">
              <w:rPr>
                <w:rFonts w:ascii="Arial" w:hAnsi="Arial"/>
                <w:sz w:val="14"/>
              </w:rPr>
              <w:t>Stakeholders are not engaged in decision making processes.</w:t>
            </w:r>
          </w:p>
        </w:tc>
        <w:tc>
          <w:tcPr>
            <w:tcW w:w="557" w:type="pct"/>
            <w:vMerge w:val="restart"/>
          </w:tcPr>
          <w:p w14:paraId="4B1672B5" w14:textId="77777777" w:rsidR="00F318A9" w:rsidRPr="00E123C3" w:rsidRDefault="00F318A9" w:rsidP="00F318A9">
            <w:pPr>
              <w:rPr>
                <w:rFonts w:ascii="Arial" w:hAnsi="Arial"/>
                <w:sz w:val="14"/>
              </w:rPr>
            </w:pPr>
            <w:r w:rsidRPr="00E123C3">
              <w:rPr>
                <w:rFonts w:ascii="Arial" w:hAnsi="Arial"/>
                <w:sz w:val="14"/>
              </w:rPr>
              <w:t>2</w:t>
            </w:r>
          </w:p>
          <w:p w14:paraId="373B79C6" w14:textId="77777777" w:rsidR="00F318A9" w:rsidRPr="00E123C3" w:rsidRDefault="00F318A9" w:rsidP="00F318A9">
            <w:pPr>
              <w:autoSpaceDE w:val="0"/>
              <w:autoSpaceDN w:val="0"/>
              <w:adjustRightInd w:val="0"/>
              <w:rPr>
                <w:rFonts w:ascii="Arial" w:hAnsi="Arial"/>
                <w:sz w:val="14"/>
              </w:rPr>
            </w:pPr>
            <w:r w:rsidRPr="00E123C3">
              <w:rPr>
                <w:rFonts w:ascii="Arial" w:hAnsi="Arial"/>
                <w:sz w:val="14"/>
              </w:rPr>
              <w:t>Stakeholders engaged in consultative processes (governments, private sector,</w:t>
            </w:r>
          </w:p>
          <w:p w14:paraId="7FBB699B" w14:textId="77777777" w:rsidR="00F318A9" w:rsidRPr="00E123C3" w:rsidRDefault="00F318A9" w:rsidP="00F318A9">
            <w:pPr>
              <w:rPr>
                <w:rFonts w:ascii="Arial" w:hAnsi="Arial"/>
                <w:sz w:val="14"/>
              </w:rPr>
            </w:pPr>
            <w:r w:rsidRPr="00E123C3">
              <w:rPr>
                <w:rFonts w:ascii="Arial" w:hAnsi="Arial"/>
                <w:sz w:val="14"/>
              </w:rPr>
              <w:t>associations, civil society, academia and others).</w:t>
            </w:r>
          </w:p>
        </w:tc>
        <w:tc>
          <w:tcPr>
            <w:tcW w:w="1090" w:type="pct"/>
          </w:tcPr>
          <w:p w14:paraId="53CF66DA" w14:textId="77777777" w:rsidR="00F318A9" w:rsidRPr="00D554F6" w:rsidRDefault="00F318A9" w:rsidP="00F318A9">
            <w:pPr>
              <w:rPr>
                <w:rFonts w:ascii="Arial" w:hAnsi="Arial"/>
                <w:b/>
                <w:sz w:val="14"/>
              </w:rPr>
            </w:pPr>
            <w:r w:rsidRPr="00D554F6">
              <w:rPr>
                <w:rFonts w:ascii="Arial" w:hAnsi="Arial"/>
                <w:b/>
                <w:sz w:val="14"/>
              </w:rPr>
              <w:t>Output 2: Policy Working Group assembling key stakeholders for the design and future implementation of the national policy roadmaps for the promotion of higher efficiency refrigerators and DTs formed and effective</w:t>
            </w:r>
          </w:p>
          <w:p w14:paraId="56A9A9A9" w14:textId="77777777" w:rsidR="00F318A9" w:rsidRDefault="00F318A9" w:rsidP="00F318A9">
            <w:pPr>
              <w:rPr>
                <w:rFonts w:ascii="Arial" w:hAnsi="Arial"/>
                <w:sz w:val="14"/>
              </w:rPr>
            </w:pPr>
          </w:p>
          <w:p w14:paraId="45DEAAE3" w14:textId="77777777" w:rsidR="00F318A9" w:rsidRPr="00E123C3" w:rsidRDefault="00F318A9" w:rsidP="00F318A9">
            <w:pPr>
              <w:rPr>
                <w:rFonts w:ascii="Arial" w:hAnsi="Arial"/>
                <w:sz w:val="14"/>
              </w:rPr>
            </w:pPr>
            <w:r w:rsidRPr="00E123C3">
              <w:rPr>
                <w:rFonts w:ascii="Arial" w:hAnsi="Arial"/>
                <w:sz w:val="14"/>
              </w:rPr>
              <w:t>Activity 2.1: Form Policy Working Group (PWG) with strategic stakeholders; the PWG will be co-chaired by the Ministry of Energy and the GCF National Designated Authority (NDA). The Secretariat will be handled by the CTCN’s National Designated Entity (NDE). A kick-off meeting will be organized and the PWG will meet on a quarterly basis. As described in subsequent activities, the PWG will work on approving all the intermediate sub-outcomes and develop the national policy roadmaps.</w:t>
            </w:r>
          </w:p>
          <w:p w14:paraId="0A4E8EED" w14:textId="77777777" w:rsidR="00F318A9" w:rsidRPr="00E123C3" w:rsidRDefault="00F318A9" w:rsidP="00F318A9">
            <w:pPr>
              <w:rPr>
                <w:rFonts w:ascii="Arial" w:hAnsi="Arial"/>
                <w:sz w:val="14"/>
              </w:rPr>
            </w:pPr>
          </w:p>
          <w:p w14:paraId="02CDC004" w14:textId="77777777" w:rsidR="00F318A9" w:rsidRPr="00E123C3" w:rsidRDefault="00F318A9" w:rsidP="00F318A9">
            <w:pPr>
              <w:rPr>
                <w:rFonts w:ascii="Arial" w:hAnsi="Arial"/>
                <w:sz w:val="14"/>
              </w:rPr>
            </w:pPr>
            <w:r w:rsidRPr="00E123C3">
              <w:rPr>
                <w:rFonts w:ascii="Arial" w:hAnsi="Arial"/>
                <w:sz w:val="14"/>
              </w:rPr>
              <w:t>Deliverable 2.1: TORs of the PWG, list of PWG members; 2-day kick-off meeting</w:t>
            </w:r>
          </w:p>
        </w:tc>
        <w:tc>
          <w:tcPr>
            <w:tcW w:w="97" w:type="pct"/>
            <w:vAlign w:val="center"/>
          </w:tcPr>
          <w:p w14:paraId="2A4C097C" w14:textId="77777777" w:rsidR="00F318A9" w:rsidRPr="00E123C3" w:rsidRDefault="00F318A9" w:rsidP="00F318A9">
            <w:pPr>
              <w:jc w:val="center"/>
              <w:rPr>
                <w:rFonts w:ascii="Arial" w:hAnsi="Arial"/>
                <w:sz w:val="14"/>
              </w:rPr>
            </w:pPr>
          </w:p>
        </w:tc>
        <w:tc>
          <w:tcPr>
            <w:tcW w:w="97" w:type="pct"/>
            <w:vAlign w:val="center"/>
          </w:tcPr>
          <w:p w14:paraId="42149E16"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2C0179C6" w14:textId="77777777" w:rsidR="00F318A9" w:rsidRPr="00E123C3" w:rsidRDefault="00F318A9" w:rsidP="00F318A9">
            <w:pPr>
              <w:jc w:val="center"/>
              <w:rPr>
                <w:rFonts w:ascii="Arial" w:hAnsi="Arial"/>
                <w:sz w:val="14"/>
              </w:rPr>
            </w:pPr>
          </w:p>
        </w:tc>
        <w:tc>
          <w:tcPr>
            <w:tcW w:w="97" w:type="pct"/>
            <w:shd w:val="clear" w:color="auto" w:fill="C5E0B3" w:themeFill="accent6" w:themeFillTint="66"/>
            <w:vAlign w:val="center"/>
          </w:tcPr>
          <w:p w14:paraId="4FA97B38"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33E8E877"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vAlign w:val="center"/>
          </w:tcPr>
          <w:p w14:paraId="092ADDE6" w14:textId="77777777" w:rsidR="00F318A9" w:rsidRPr="00E123C3" w:rsidRDefault="00F318A9" w:rsidP="00F318A9">
            <w:pPr>
              <w:jc w:val="center"/>
              <w:rPr>
                <w:rFonts w:ascii="Arial" w:hAnsi="Arial"/>
                <w:sz w:val="14"/>
              </w:rPr>
            </w:pPr>
          </w:p>
        </w:tc>
        <w:tc>
          <w:tcPr>
            <w:tcW w:w="120" w:type="pct"/>
            <w:vAlign w:val="center"/>
          </w:tcPr>
          <w:p w14:paraId="4C8F6AAA" w14:textId="77777777" w:rsidR="00F318A9" w:rsidRPr="00E123C3" w:rsidRDefault="00F318A9" w:rsidP="00F318A9">
            <w:pPr>
              <w:jc w:val="center"/>
              <w:rPr>
                <w:rFonts w:ascii="Arial" w:hAnsi="Arial"/>
                <w:sz w:val="14"/>
              </w:rPr>
            </w:pPr>
          </w:p>
        </w:tc>
        <w:tc>
          <w:tcPr>
            <w:tcW w:w="120" w:type="pct"/>
            <w:vAlign w:val="center"/>
          </w:tcPr>
          <w:p w14:paraId="34FBD8BF" w14:textId="77777777" w:rsidR="00F318A9" w:rsidRPr="00E123C3" w:rsidRDefault="00F318A9" w:rsidP="00F318A9">
            <w:pPr>
              <w:jc w:val="center"/>
              <w:rPr>
                <w:rFonts w:ascii="Arial" w:hAnsi="Arial"/>
                <w:sz w:val="14"/>
              </w:rPr>
            </w:pPr>
          </w:p>
        </w:tc>
        <w:tc>
          <w:tcPr>
            <w:tcW w:w="120" w:type="pct"/>
            <w:vAlign w:val="center"/>
          </w:tcPr>
          <w:p w14:paraId="3CB6DAD3" w14:textId="77777777" w:rsidR="00F318A9" w:rsidRPr="00E123C3" w:rsidRDefault="00F318A9" w:rsidP="00F318A9">
            <w:pPr>
              <w:jc w:val="center"/>
              <w:rPr>
                <w:rFonts w:ascii="Arial" w:hAnsi="Arial"/>
                <w:sz w:val="14"/>
              </w:rPr>
            </w:pPr>
          </w:p>
        </w:tc>
        <w:tc>
          <w:tcPr>
            <w:tcW w:w="120" w:type="pct"/>
            <w:vAlign w:val="center"/>
          </w:tcPr>
          <w:p w14:paraId="4DF59669" w14:textId="77777777" w:rsidR="00F318A9" w:rsidRPr="00E123C3" w:rsidRDefault="00F318A9" w:rsidP="00F318A9">
            <w:pPr>
              <w:jc w:val="center"/>
              <w:rPr>
                <w:rFonts w:ascii="Arial" w:hAnsi="Arial"/>
                <w:sz w:val="14"/>
              </w:rPr>
            </w:pPr>
          </w:p>
        </w:tc>
        <w:tc>
          <w:tcPr>
            <w:tcW w:w="120" w:type="pct"/>
            <w:vAlign w:val="center"/>
          </w:tcPr>
          <w:p w14:paraId="6198181A" w14:textId="77777777" w:rsidR="00F318A9" w:rsidRPr="00E123C3" w:rsidRDefault="00F318A9" w:rsidP="00F318A9">
            <w:pPr>
              <w:jc w:val="center"/>
              <w:rPr>
                <w:rFonts w:ascii="Arial" w:hAnsi="Arial"/>
                <w:sz w:val="14"/>
              </w:rPr>
            </w:pPr>
          </w:p>
        </w:tc>
        <w:tc>
          <w:tcPr>
            <w:tcW w:w="120" w:type="pct"/>
            <w:vAlign w:val="center"/>
          </w:tcPr>
          <w:p w14:paraId="22E1951C" w14:textId="77777777" w:rsidR="00F318A9" w:rsidRPr="00E123C3" w:rsidRDefault="00F318A9" w:rsidP="00F318A9">
            <w:pPr>
              <w:jc w:val="center"/>
              <w:rPr>
                <w:rFonts w:ascii="Arial" w:hAnsi="Arial"/>
                <w:sz w:val="14"/>
              </w:rPr>
            </w:pPr>
          </w:p>
        </w:tc>
        <w:tc>
          <w:tcPr>
            <w:tcW w:w="109" w:type="pct"/>
            <w:vAlign w:val="center"/>
          </w:tcPr>
          <w:p w14:paraId="432209B8" w14:textId="77777777" w:rsidR="00F318A9" w:rsidRPr="00E123C3" w:rsidRDefault="00F318A9" w:rsidP="00F318A9">
            <w:pPr>
              <w:jc w:val="center"/>
              <w:rPr>
                <w:rFonts w:ascii="Arial" w:hAnsi="Arial"/>
                <w:sz w:val="14"/>
              </w:rPr>
            </w:pPr>
          </w:p>
        </w:tc>
        <w:tc>
          <w:tcPr>
            <w:tcW w:w="120" w:type="pct"/>
            <w:vAlign w:val="center"/>
          </w:tcPr>
          <w:p w14:paraId="0BDBBAAD" w14:textId="77777777" w:rsidR="00F318A9" w:rsidRPr="00E123C3" w:rsidRDefault="00F318A9" w:rsidP="00F318A9">
            <w:pPr>
              <w:jc w:val="center"/>
              <w:rPr>
                <w:rFonts w:ascii="Arial" w:hAnsi="Arial"/>
                <w:sz w:val="14"/>
              </w:rPr>
            </w:pPr>
          </w:p>
        </w:tc>
        <w:tc>
          <w:tcPr>
            <w:tcW w:w="120" w:type="pct"/>
            <w:vAlign w:val="center"/>
          </w:tcPr>
          <w:p w14:paraId="079548BB" w14:textId="77777777" w:rsidR="00F318A9" w:rsidRPr="00E123C3" w:rsidRDefault="00F318A9" w:rsidP="00F318A9">
            <w:pPr>
              <w:jc w:val="center"/>
              <w:rPr>
                <w:rFonts w:ascii="Arial" w:hAnsi="Arial"/>
                <w:sz w:val="14"/>
              </w:rPr>
            </w:pPr>
          </w:p>
        </w:tc>
        <w:tc>
          <w:tcPr>
            <w:tcW w:w="120" w:type="pct"/>
            <w:vAlign w:val="center"/>
          </w:tcPr>
          <w:p w14:paraId="0513E529" w14:textId="77777777" w:rsidR="00F318A9" w:rsidRPr="00E123C3" w:rsidRDefault="00F318A9" w:rsidP="00F318A9">
            <w:pPr>
              <w:jc w:val="center"/>
              <w:rPr>
                <w:rFonts w:ascii="Arial" w:hAnsi="Arial"/>
                <w:sz w:val="14"/>
              </w:rPr>
            </w:pPr>
          </w:p>
        </w:tc>
        <w:tc>
          <w:tcPr>
            <w:tcW w:w="120" w:type="pct"/>
            <w:vAlign w:val="center"/>
          </w:tcPr>
          <w:p w14:paraId="674B0459" w14:textId="77777777" w:rsidR="00F318A9" w:rsidRPr="00E123C3" w:rsidRDefault="00F318A9" w:rsidP="00F318A9">
            <w:pPr>
              <w:jc w:val="center"/>
              <w:rPr>
                <w:rFonts w:ascii="Arial" w:hAnsi="Arial"/>
                <w:sz w:val="14"/>
              </w:rPr>
            </w:pPr>
          </w:p>
        </w:tc>
        <w:tc>
          <w:tcPr>
            <w:tcW w:w="120" w:type="pct"/>
            <w:vAlign w:val="center"/>
          </w:tcPr>
          <w:p w14:paraId="43F2BBD9" w14:textId="77777777" w:rsidR="00F318A9" w:rsidRPr="00E123C3" w:rsidRDefault="00F318A9" w:rsidP="00F318A9">
            <w:pPr>
              <w:jc w:val="center"/>
              <w:rPr>
                <w:rFonts w:ascii="Arial" w:hAnsi="Arial"/>
                <w:sz w:val="14"/>
              </w:rPr>
            </w:pPr>
          </w:p>
        </w:tc>
      </w:tr>
      <w:tr w:rsidR="00F318A9" w:rsidRPr="00E123C3" w14:paraId="77375568" w14:textId="77777777" w:rsidTr="00F318A9">
        <w:trPr>
          <w:trHeight w:val="54"/>
          <w:jc w:val="center"/>
        </w:trPr>
        <w:tc>
          <w:tcPr>
            <w:tcW w:w="408" w:type="pct"/>
            <w:vMerge/>
          </w:tcPr>
          <w:p w14:paraId="4A4AA4DF" w14:textId="77777777" w:rsidR="00F318A9" w:rsidRPr="00E123C3" w:rsidRDefault="00F318A9" w:rsidP="00F318A9">
            <w:pPr>
              <w:rPr>
                <w:rFonts w:ascii="Arial" w:hAnsi="Arial"/>
                <w:sz w:val="14"/>
              </w:rPr>
            </w:pPr>
          </w:p>
        </w:tc>
        <w:tc>
          <w:tcPr>
            <w:tcW w:w="408" w:type="pct"/>
            <w:vMerge/>
          </w:tcPr>
          <w:p w14:paraId="2CA3D089" w14:textId="77777777" w:rsidR="00F318A9" w:rsidRPr="00E123C3" w:rsidRDefault="00F318A9" w:rsidP="00F318A9">
            <w:pPr>
              <w:rPr>
                <w:rFonts w:ascii="Arial" w:hAnsi="Arial"/>
                <w:sz w:val="14"/>
              </w:rPr>
            </w:pPr>
          </w:p>
        </w:tc>
        <w:tc>
          <w:tcPr>
            <w:tcW w:w="459" w:type="pct"/>
            <w:vMerge/>
          </w:tcPr>
          <w:p w14:paraId="2383E339" w14:textId="77777777" w:rsidR="00F318A9" w:rsidRPr="00E123C3" w:rsidRDefault="00F318A9" w:rsidP="00F318A9">
            <w:pPr>
              <w:rPr>
                <w:rFonts w:ascii="Arial" w:hAnsi="Arial"/>
                <w:sz w:val="14"/>
              </w:rPr>
            </w:pPr>
          </w:p>
        </w:tc>
        <w:tc>
          <w:tcPr>
            <w:tcW w:w="557" w:type="pct"/>
            <w:vMerge/>
          </w:tcPr>
          <w:p w14:paraId="15B0D82D" w14:textId="77777777" w:rsidR="00F318A9" w:rsidRPr="00E123C3" w:rsidRDefault="00F318A9" w:rsidP="00F318A9">
            <w:pPr>
              <w:rPr>
                <w:rFonts w:ascii="Arial" w:hAnsi="Arial"/>
                <w:sz w:val="14"/>
              </w:rPr>
            </w:pPr>
          </w:p>
        </w:tc>
        <w:tc>
          <w:tcPr>
            <w:tcW w:w="1090" w:type="pct"/>
            <w:tcBorders>
              <w:top w:val="nil"/>
            </w:tcBorders>
          </w:tcPr>
          <w:p w14:paraId="3C62015A" w14:textId="77777777" w:rsidR="00F318A9" w:rsidRPr="00E123C3" w:rsidRDefault="00F318A9" w:rsidP="00F318A9">
            <w:pPr>
              <w:rPr>
                <w:rFonts w:ascii="Arial" w:hAnsi="Arial"/>
                <w:sz w:val="14"/>
              </w:rPr>
            </w:pPr>
            <w:r w:rsidRPr="00E123C3">
              <w:rPr>
                <w:rFonts w:ascii="Arial" w:hAnsi="Arial"/>
                <w:sz w:val="14"/>
              </w:rPr>
              <w:t>Activity 2.2: Organize quarterly meetings of the PWG</w:t>
            </w:r>
          </w:p>
          <w:p w14:paraId="16DAACB8" w14:textId="77777777" w:rsidR="00F318A9" w:rsidRPr="00E123C3" w:rsidRDefault="00F318A9" w:rsidP="00F318A9">
            <w:pPr>
              <w:rPr>
                <w:rFonts w:ascii="Arial" w:hAnsi="Arial"/>
                <w:sz w:val="14"/>
              </w:rPr>
            </w:pPr>
          </w:p>
          <w:p w14:paraId="5E20CC35" w14:textId="77777777" w:rsidR="00F318A9" w:rsidRPr="00E123C3" w:rsidRDefault="00F318A9" w:rsidP="00F318A9">
            <w:pPr>
              <w:rPr>
                <w:rFonts w:ascii="Arial" w:hAnsi="Arial"/>
                <w:sz w:val="14"/>
              </w:rPr>
            </w:pPr>
            <w:r w:rsidRPr="00E123C3">
              <w:rPr>
                <w:rFonts w:ascii="Arial" w:hAnsi="Arial"/>
                <w:sz w:val="14"/>
              </w:rPr>
              <w:t>Deliverable 2.2: four (4) 2-day meetings of the PWG; minutes of meetings</w:t>
            </w:r>
          </w:p>
        </w:tc>
        <w:tc>
          <w:tcPr>
            <w:tcW w:w="97" w:type="pct"/>
            <w:tcBorders>
              <w:top w:val="single" w:sz="4" w:space="0" w:color="auto"/>
            </w:tcBorders>
            <w:vAlign w:val="center"/>
          </w:tcPr>
          <w:p w14:paraId="2B470464" w14:textId="77777777" w:rsidR="00F318A9" w:rsidRPr="00E123C3" w:rsidRDefault="00F318A9" w:rsidP="00F318A9">
            <w:pPr>
              <w:jc w:val="center"/>
              <w:rPr>
                <w:rFonts w:ascii="Arial" w:hAnsi="Arial"/>
                <w:sz w:val="14"/>
              </w:rPr>
            </w:pPr>
          </w:p>
        </w:tc>
        <w:tc>
          <w:tcPr>
            <w:tcW w:w="97" w:type="pct"/>
            <w:tcBorders>
              <w:top w:val="single" w:sz="4" w:space="0" w:color="auto"/>
            </w:tcBorders>
            <w:shd w:val="clear" w:color="auto" w:fill="FFFFFF" w:themeFill="background1"/>
            <w:vAlign w:val="center"/>
          </w:tcPr>
          <w:p w14:paraId="5E8042D3" w14:textId="77777777" w:rsidR="00F318A9" w:rsidRPr="00E123C3" w:rsidRDefault="00F318A9" w:rsidP="00F318A9">
            <w:pPr>
              <w:jc w:val="center"/>
              <w:rPr>
                <w:rFonts w:ascii="Arial" w:hAnsi="Arial"/>
                <w:sz w:val="14"/>
              </w:rPr>
            </w:pPr>
          </w:p>
        </w:tc>
        <w:tc>
          <w:tcPr>
            <w:tcW w:w="120" w:type="pct"/>
            <w:tcBorders>
              <w:top w:val="single" w:sz="4" w:space="0" w:color="auto"/>
            </w:tcBorders>
            <w:shd w:val="clear" w:color="auto" w:fill="FFFFFF" w:themeFill="background1"/>
            <w:vAlign w:val="center"/>
          </w:tcPr>
          <w:p w14:paraId="799071F7" w14:textId="77777777" w:rsidR="00F318A9" w:rsidRPr="00E123C3" w:rsidRDefault="00F318A9" w:rsidP="00F318A9">
            <w:pPr>
              <w:jc w:val="center"/>
              <w:rPr>
                <w:rFonts w:ascii="Arial" w:hAnsi="Arial"/>
                <w:sz w:val="14"/>
              </w:rPr>
            </w:pPr>
          </w:p>
        </w:tc>
        <w:tc>
          <w:tcPr>
            <w:tcW w:w="97" w:type="pct"/>
            <w:tcBorders>
              <w:top w:val="single" w:sz="4" w:space="0" w:color="auto"/>
            </w:tcBorders>
            <w:shd w:val="clear" w:color="auto" w:fill="FFFFFF" w:themeFill="background1"/>
            <w:vAlign w:val="center"/>
          </w:tcPr>
          <w:p w14:paraId="3570FE5A" w14:textId="77777777" w:rsidR="00F318A9" w:rsidRPr="00E123C3" w:rsidRDefault="00F318A9" w:rsidP="00F318A9">
            <w:pPr>
              <w:jc w:val="center"/>
              <w:rPr>
                <w:rFonts w:ascii="Arial" w:hAnsi="Arial"/>
                <w:sz w:val="14"/>
              </w:rPr>
            </w:pPr>
          </w:p>
        </w:tc>
        <w:tc>
          <w:tcPr>
            <w:tcW w:w="120" w:type="pct"/>
            <w:tcBorders>
              <w:top w:val="single" w:sz="4" w:space="0" w:color="auto"/>
            </w:tcBorders>
            <w:shd w:val="clear" w:color="auto" w:fill="FFFFFF" w:themeFill="background1"/>
            <w:vAlign w:val="center"/>
          </w:tcPr>
          <w:p w14:paraId="4ADA92A5" w14:textId="77777777" w:rsidR="00F318A9" w:rsidRPr="00E123C3" w:rsidRDefault="00F318A9" w:rsidP="00F318A9">
            <w:pPr>
              <w:jc w:val="center"/>
              <w:rPr>
                <w:rFonts w:ascii="Arial" w:hAnsi="Arial"/>
                <w:sz w:val="14"/>
              </w:rPr>
            </w:pPr>
          </w:p>
        </w:tc>
        <w:tc>
          <w:tcPr>
            <w:tcW w:w="120" w:type="pct"/>
            <w:tcBorders>
              <w:top w:val="single" w:sz="4" w:space="0" w:color="auto"/>
            </w:tcBorders>
            <w:vAlign w:val="center"/>
          </w:tcPr>
          <w:p w14:paraId="3E389683" w14:textId="77777777" w:rsidR="00F318A9" w:rsidRPr="00E123C3" w:rsidRDefault="00F318A9" w:rsidP="00F318A9">
            <w:pPr>
              <w:jc w:val="center"/>
              <w:rPr>
                <w:rFonts w:ascii="Arial" w:hAnsi="Arial"/>
                <w:sz w:val="14"/>
              </w:rPr>
            </w:pPr>
          </w:p>
        </w:tc>
        <w:tc>
          <w:tcPr>
            <w:tcW w:w="120" w:type="pct"/>
            <w:vAlign w:val="center"/>
          </w:tcPr>
          <w:p w14:paraId="1BF2FFE0"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544EF783"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vAlign w:val="center"/>
          </w:tcPr>
          <w:p w14:paraId="747A2CD6" w14:textId="77777777" w:rsidR="00F318A9" w:rsidRPr="00E123C3" w:rsidRDefault="00F318A9" w:rsidP="00F318A9">
            <w:pPr>
              <w:jc w:val="center"/>
              <w:rPr>
                <w:rFonts w:ascii="Arial" w:hAnsi="Arial"/>
                <w:sz w:val="14"/>
              </w:rPr>
            </w:pPr>
          </w:p>
        </w:tc>
        <w:tc>
          <w:tcPr>
            <w:tcW w:w="120" w:type="pct"/>
            <w:vAlign w:val="center"/>
          </w:tcPr>
          <w:p w14:paraId="0E16FC31"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22D58D63"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vAlign w:val="center"/>
          </w:tcPr>
          <w:p w14:paraId="759DE188" w14:textId="77777777" w:rsidR="00F318A9" w:rsidRPr="00E123C3" w:rsidRDefault="00F318A9" w:rsidP="00F318A9">
            <w:pPr>
              <w:jc w:val="center"/>
              <w:rPr>
                <w:rFonts w:ascii="Arial" w:hAnsi="Arial"/>
                <w:sz w:val="14"/>
              </w:rPr>
            </w:pPr>
          </w:p>
        </w:tc>
        <w:tc>
          <w:tcPr>
            <w:tcW w:w="109" w:type="pct"/>
            <w:vAlign w:val="center"/>
          </w:tcPr>
          <w:p w14:paraId="44E2250D"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32B44D4C"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vAlign w:val="center"/>
          </w:tcPr>
          <w:p w14:paraId="4A0633D3" w14:textId="77777777" w:rsidR="00F318A9" w:rsidRPr="00E123C3" w:rsidRDefault="00F318A9" w:rsidP="00F318A9">
            <w:pPr>
              <w:jc w:val="center"/>
              <w:rPr>
                <w:rFonts w:ascii="Arial" w:hAnsi="Arial"/>
                <w:sz w:val="14"/>
              </w:rPr>
            </w:pPr>
          </w:p>
        </w:tc>
        <w:tc>
          <w:tcPr>
            <w:tcW w:w="120" w:type="pct"/>
            <w:vAlign w:val="center"/>
          </w:tcPr>
          <w:p w14:paraId="6AFF0FF9"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5614B9FE"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vAlign w:val="center"/>
          </w:tcPr>
          <w:p w14:paraId="74302CE5" w14:textId="77777777" w:rsidR="00F318A9" w:rsidRPr="00E123C3" w:rsidRDefault="00F318A9" w:rsidP="00F318A9">
            <w:pPr>
              <w:jc w:val="center"/>
              <w:rPr>
                <w:rFonts w:ascii="Arial" w:hAnsi="Arial"/>
                <w:sz w:val="14"/>
              </w:rPr>
            </w:pPr>
          </w:p>
        </w:tc>
      </w:tr>
      <w:tr w:rsidR="00F318A9" w:rsidRPr="00E123C3" w14:paraId="3199B59B" w14:textId="77777777" w:rsidTr="00F318A9">
        <w:trPr>
          <w:trHeight w:val="54"/>
          <w:jc w:val="center"/>
        </w:trPr>
        <w:tc>
          <w:tcPr>
            <w:tcW w:w="408" w:type="pct"/>
            <w:vMerge/>
          </w:tcPr>
          <w:p w14:paraId="20D47FAD" w14:textId="77777777" w:rsidR="00F318A9" w:rsidRPr="00E123C3" w:rsidRDefault="00F318A9" w:rsidP="00F318A9">
            <w:pPr>
              <w:rPr>
                <w:rFonts w:ascii="Arial" w:hAnsi="Arial"/>
                <w:sz w:val="14"/>
              </w:rPr>
            </w:pPr>
          </w:p>
        </w:tc>
        <w:tc>
          <w:tcPr>
            <w:tcW w:w="408" w:type="pct"/>
            <w:vMerge w:val="restart"/>
          </w:tcPr>
          <w:p w14:paraId="1332E44B" w14:textId="77777777" w:rsidR="00F318A9" w:rsidRPr="00E123C3" w:rsidRDefault="00F318A9" w:rsidP="00F318A9">
            <w:pPr>
              <w:rPr>
                <w:rFonts w:ascii="Arial" w:hAnsi="Arial"/>
                <w:sz w:val="14"/>
              </w:rPr>
            </w:pPr>
            <w:r w:rsidRPr="00E123C3">
              <w:rPr>
                <w:rFonts w:ascii="Arial" w:hAnsi="Arial"/>
                <w:sz w:val="14"/>
              </w:rPr>
              <w:t xml:space="preserve">Sub outcome 3: </w:t>
            </w:r>
          </w:p>
          <w:p w14:paraId="226CDFEC" w14:textId="77777777" w:rsidR="00F318A9" w:rsidRPr="00E123C3" w:rsidRDefault="00F318A9" w:rsidP="00F318A9">
            <w:pPr>
              <w:rPr>
                <w:rFonts w:ascii="Arial" w:hAnsi="Arial"/>
                <w:sz w:val="14"/>
              </w:rPr>
            </w:pPr>
          </w:p>
          <w:p w14:paraId="45D72FEF" w14:textId="77777777" w:rsidR="00F318A9" w:rsidRPr="00E123C3" w:rsidRDefault="00F318A9" w:rsidP="00F318A9">
            <w:pPr>
              <w:rPr>
                <w:rFonts w:ascii="Arial" w:hAnsi="Arial"/>
                <w:sz w:val="14"/>
              </w:rPr>
            </w:pPr>
            <w:r w:rsidRPr="00E123C3">
              <w:rPr>
                <w:rFonts w:ascii="Arial" w:hAnsi="Arial"/>
                <w:sz w:val="14"/>
              </w:rPr>
              <w:t>Periodic participatory review and updating of the climate finance Country Programme</w:t>
            </w:r>
          </w:p>
        </w:tc>
        <w:tc>
          <w:tcPr>
            <w:tcW w:w="459" w:type="pct"/>
            <w:vMerge w:val="restart"/>
          </w:tcPr>
          <w:p w14:paraId="6B56BD70" w14:textId="77777777" w:rsidR="00F318A9" w:rsidRPr="00E123C3" w:rsidRDefault="00F318A9" w:rsidP="00F318A9">
            <w:pPr>
              <w:rPr>
                <w:rFonts w:ascii="Arial" w:hAnsi="Arial"/>
                <w:sz w:val="14"/>
              </w:rPr>
            </w:pPr>
            <w:r w:rsidRPr="00E123C3">
              <w:rPr>
                <w:rFonts w:ascii="Arial" w:hAnsi="Arial"/>
                <w:sz w:val="14"/>
              </w:rPr>
              <w:t>0</w:t>
            </w:r>
          </w:p>
          <w:p w14:paraId="79AE54D0" w14:textId="77777777" w:rsidR="00F318A9" w:rsidRPr="00E123C3" w:rsidRDefault="00F318A9" w:rsidP="00F318A9">
            <w:pPr>
              <w:autoSpaceDE w:val="0"/>
              <w:autoSpaceDN w:val="0"/>
              <w:adjustRightInd w:val="0"/>
              <w:rPr>
                <w:rFonts w:ascii="Arial" w:hAnsi="Arial"/>
                <w:sz w:val="14"/>
              </w:rPr>
            </w:pPr>
            <w:r w:rsidRPr="00E123C3">
              <w:rPr>
                <w:rFonts w:ascii="Arial" w:hAnsi="Arial"/>
                <w:sz w:val="14"/>
              </w:rPr>
              <w:t>No process established for periodic participatory review and updating</w:t>
            </w:r>
          </w:p>
          <w:p w14:paraId="2FF8BBC1" w14:textId="77777777" w:rsidR="00F318A9" w:rsidRPr="00E123C3" w:rsidRDefault="00F318A9" w:rsidP="00F318A9">
            <w:pPr>
              <w:rPr>
                <w:rFonts w:ascii="Arial" w:hAnsi="Arial"/>
                <w:sz w:val="14"/>
              </w:rPr>
            </w:pPr>
            <w:r w:rsidRPr="00E123C3">
              <w:rPr>
                <w:rFonts w:ascii="Arial" w:hAnsi="Arial"/>
                <w:sz w:val="14"/>
              </w:rPr>
              <w:t>established.</w:t>
            </w:r>
          </w:p>
        </w:tc>
        <w:tc>
          <w:tcPr>
            <w:tcW w:w="557" w:type="pct"/>
            <w:vMerge w:val="restart"/>
          </w:tcPr>
          <w:p w14:paraId="7447AF41" w14:textId="77777777" w:rsidR="00F318A9" w:rsidRPr="00E123C3" w:rsidRDefault="00F318A9" w:rsidP="00F318A9">
            <w:pPr>
              <w:autoSpaceDE w:val="0"/>
              <w:autoSpaceDN w:val="0"/>
              <w:adjustRightInd w:val="0"/>
              <w:rPr>
                <w:rFonts w:ascii="Arial" w:hAnsi="Arial"/>
                <w:sz w:val="14"/>
              </w:rPr>
            </w:pPr>
            <w:r w:rsidRPr="00E123C3">
              <w:rPr>
                <w:rFonts w:ascii="Arial" w:hAnsi="Arial"/>
                <w:sz w:val="14"/>
              </w:rPr>
              <w:t>2</w:t>
            </w:r>
          </w:p>
          <w:p w14:paraId="7D1B5023" w14:textId="77777777" w:rsidR="00F318A9" w:rsidRPr="00E123C3" w:rsidRDefault="00F318A9" w:rsidP="00F318A9">
            <w:pPr>
              <w:autoSpaceDE w:val="0"/>
              <w:autoSpaceDN w:val="0"/>
              <w:adjustRightInd w:val="0"/>
              <w:rPr>
                <w:rFonts w:ascii="Arial" w:hAnsi="Arial"/>
                <w:sz w:val="14"/>
              </w:rPr>
            </w:pPr>
            <w:r w:rsidRPr="00E123C3">
              <w:rPr>
                <w:rFonts w:ascii="Arial" w:hAnsi="Arial"/>
                <w:sz w:val="14"/>
              </w:rPr>
              <w:t>Process for periodic participatory review and updating are established and</w:t>
            </w:r>
          </w:p>
          <w:p w14:paraId="1BDE54EA" w14:textId="77777777" w:rsidR="00F318A9" w:rsidRPr="00E123C3" w:rsidRDefault="00F318A9" w:rsidP="00F318A9">
            <w:pPr>
              <w:autoSpaceDE w:val="0"/>
              <w:autoSpaceDN w:val="0"/>
              <w:adjustRightInd w:val="0"/>
              <w:rPr>
                <w:rFonts w:ascii="Arial" w:hAnsi="Arial"/>
                <w:sz w:val="14"/>
              </w:rPr>
            </w:pPr>
            <w:r w:rsidRPr="00E123C3">
              <w:rPr>
                <w:rFonts w:ascii="Arial" w:hAnsi="Arial"/>
                <w:sz w:val="14"/>
              </w:rPr>
              <w:t>are being implemented</w:t>
            </w:r>
          </w:p>
        </w:tc>
        <w:tc>
          <w:tcPr>
            <w:tcW w:w="1090" w:type="pct"/>
            <w:tcBorders>
              <w:top w:val="nil"/>
            </w:tcBorders>
          </w:tcPr>
          <w:p w14:paraId="3B6C54C6" w14:textId="77777777" w:rsidR="00F318A9" w:rsidRPr="00D554F6" w:rsidRDefault="00F318A9" w:rsidP="00F318A9">
            <w:pPr>
              <w:rPr>
                <w:rFonts w:ascii="Arial" w:hAnsi="Arial"/>
                <w:b/>
                <w:sz w:val="14"/>
              </w:rPr>
            </w:pPr>
            <w:r w:rsidRPr="00D554F6">
              <w:rPr>
                <w:rFonts w:ascii="Arial" w:hAnsi="Arial"/>
                <w:b/>
                <w:sz w:val="14"/>
              </w:rPr>
              <w:t>Output 3.1: Technical Committee for refrigerators (TC-Ref) provides forum for effective adoption of the national testing standard and periodic participatory reviews</w:t>
            </w:r>
          </w:p>
          <w:p w14:paraId="45FCF982" w14:textId="77777777" w:rsidR="00F318A9" w:rsidRDefault="00F318A9" w:rsidP="00F318A9">
            <w:pPr>
              <w:rPr>
                <w:rFonts w:ascii="Arial" w:hAnsi="Arial"/>
                <w:sz w:val="14"/>
              </w:rPr>
            </w:pPr>
          </w:p>
          <w:p w14:paraId="14FCD84E" w14:textId="051A27E4" w:rsidR="00F318A9" w:rsidRPr="00E123C3" w:rsidRDefault="00F318A9" w:rsidP="00F318A9">
            <w:pPr>
              <w:rPr>
                <w:rFonts w:ascii="Arial" w:hAnsi="Arial"/>
                <w:sz w:val="14"/>
              </w:rPr>
            </w:pPr>
            <w:r w:rsidRPr="00E123C3">
              <w:rPr>
                <w:rFonts w:ascii="Arial" w:hAnsi="Arial"/>
                <w:sz w:val="14"/>
              </w:rPr>
              <w:t>Activity 3.1.1: Form refrigerators technical committee (TC -Ref) with strategic stakeholders; the TC-Ref will be hosted by Bureau of Standards and report to the PWG</w:t>
            </w:r>
          </w:p>
          <w:p w14:paraId="4302E747" w14:textId="77777777" w:rsidR="00F318A9" w:rsidRPr="00E123C3" w:rsidRDefault="00F318A9" w:rsidP="00F318A9">
            <w:pPr>
              <w:rPr>
                <w:rFonts w:ascii="Arial" w:hAnsi="Arial"/>
                <w:sz w:val="14"/>
              </w:rPr>
            </w:pPr>
          </w:p>
          <w:p w14:paraId="616F5872" w14:textId="77777777" w:rsidR="00F318A9" w:rsidRPr="00E123C3" w:rsidRDefault="00F318A9" w:rsidP="00F318A9">
            <w:pPr>
              <w:rPr>
                <w:rFonts w:ascii="Arial" w:hAnsi="Arial"/>
                <w:sz w:val="14"/>
              </w:rPr>
            </w:pPr>
            <w:r w:rsidRPr="00E123C3">
              <w:rPr>
                <w:rFonts w:ascii="Arial" w:hAnsi="Arial"/>
                <w:sz w:val="14"/>
              </w:rPr>
              <w:t xml:space="preserve">Deliverable 3.1.1: TORs of the TC-Ref, list of TC-Ref members </w:t>
            </w:r>
          </w:p>
        </w:tc>
        <w:tc>
          <w:tcPr>
            <w:tcW w:w="97" w:type="pct"/>
            <w:tcBorders>
              <w:top w:val="single" w:sz="4" w:space="0" w:color="auto"/>
            </w:tcBorders>
            <w:vAlign w:val="center"/>
          </w:tcPr>
          <w:p w14:paraId="07A0FC76" w14:textId="77777777" w:rsidR="00F318A9" w:rsidRPr="00E123C3" w:rsidRDefault="00F318A9" w:rsidP="00F318A9">
            <w:pPr>
              <w:jc w:val="center"/>
              <w:rPr>
                <w:rFonts w:ascii="Arial" w:hAnsi="Arial"/>
                <w:sz w:val="14"/>
              </w:rPr>
            </w:pPr>
          </w:p>
        </w:tc>
        <w:tc>
          <w:tcPr>
            <w:tcW w:w="97" w:type="pct"/>
            <w:tcBorders>
              <w:top w:val="single" w:sz="4" w:space="0" w:color="auto"/>
            </w:tcBorders>
            <w:shd w:val="clear" w:color="auto" w:fill="FFFFFF" w:themeFill="background1"/>
            <w:vAlign w:val="center"/>
          </w:tcPr>
          <w:p w14:paraId="4601F5B0" w14:textId="77777777" w:rsidR="00F318A9" w:rsidRPr="00E123C3" w:rsidRDefault="00F318A9" w:rsidP="00F318A9">
            <w:pPr>
              <w:jc w:val="center"/>
              <w:rPr>
                <w:rFonts w:ascii="Arial" w:hAnsi="Arial"/>
                <w:sz w:val="14"/>
              </w:rPr>
            </w:pPr>
          </w:p>
        </w:tc>
        <w:tc>
          <w:tcPr>
            <w:tcW w:w="120" w:type="pct"/>
            <w:tcBorders>
              <w:top w:val="single" w:sz="4" w:space="0" w:color="auto"/>
            </w:tcBorders>
            <w:shd w:val="clear" w:color="auto" w:fill="C5E0B3" w:themeFill="accent6" w:themeFillTint="66"/>
            <w:vAlign w:val="center"/>
          </w:tcPr>
          <w:p w14:paraId="543B2AF7" w14:textId="77777777" w:rsidR="00F318A9" w:rsidRPr="00E123C3" w:rsidRDefault="00F318A9" w:rsidP="00F318A9">
            <w:pPr>
              <w:jc w:val="center"/>
              <w:rPr>
                <w:rFonts w:ascii="Arial" w:hAnsi="Arial"/>
                <w:sz w:val="14"/>
              </w:rPr>
            </w:pPr>
          </w:p>
        </w:tc>
        <w:tc>
          <w:tcPr>
            <w:tcW w:w="97" w:type="pct"/>
            <w:tcBorders>
              <w:top w:val="single" w:sz="4" w:space="0" w:color="auto"/>
            </w:tcBorders>
            <w:shd w:val="clear" w:color="auto" w:fill="C5E0B3" w:themeFill="accent6" w:themeFillTint="66"/>
            <w:vAlign w:val="center"/>
          </w:tcPr>
          <w:p w14:paraId="7CEC3140" w14:textId="77777777" w:rsidR="00F318A9" w:rsidRPr="00E123C3" w:rsidRDefault="00F318A9" w:rsidP="00F318A9">
            <w:pPr>
              <w:jc w:val="center"/>
              <w:rPr>
                <w:rFonts w:ascii="Arial" w:hAnsi="Arial"/>
                <w:sz w:val="14"/>
              </w:rPr>
            </w:pPr>
          </w:p>
        </w:tc>
        <w:tc>
          <w:tcPr>
            <w:tcW w:w="120" w:type="pct"/>
            <w:tcBorders>
              <w:top w:val="single" w:sz="4" w:space="0" w:color="auto"/>
            </w:tcBorders>
            <w:shd w:val="clear" w:color="auto" w:fill="C5E0B3" w:themeFill="accent6" w:themeFillTint="66"/>
            <w:vAlign w:val="center"/>
          </w:tcPr>
          <w:p w14:paraId="0C2A5732"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tcBorders>
              <w:top w:val="single" w:sz="4" w:space="0" w:color="auto"/>
            </w:tcBorders>
            <w:vAlign w:val="center"/>
          </w:tcPr>
          <w:p w14:paraId="4F5FBEDA" w14:textId="77777777" w:rsidR="00F318A9" w:rsidRPr="00E123C3" w:rsidRDefault="00F318A9" w:rsidP="00F318A9">
            <w:pPr>
              <w:jc w:val="center"/>
              <w:rPr>
                <w:rFonts w:ascii="Arial" w:hAnsi="Arial"/>
                <w:sz w:val="14"/>
              </w:rPr>
            </w:pPr>
          </w:p>
        </w:tc>
        <w:tc>
          <w:tcPr>
            <w:tcW w:w="120" w:type="pct"/>
            <w:vAlign w:val="center"/>
          </w:tcPr>
          <w:p w14:paraId="2729990C" w14:textId="77777777" w:rsidR="00F318A9" w:rsidRPr="00E123C3" w:rsidRDefault="00F318A9" w:rsidP="00F318A9">
            <w:pPr>
              <w:jc w:val="center"/>
              <w:rPr>
                <w:rFonts w:ascii="Arial" w:hAnsi="Arial"/>
                <w:sz w:val="14"/>
              </w:rPr>
            </w:pPr>
          </w:p>
        </w:tc>
        <w:tc>
          <w:tcPr>
            <w:tcW w:w="120" w:type="pct"/>
            <w:vAlign w:val="center"/>
          </w:tcPr>
          <w:p w14:paraId="01E131C3" w14:textId="77777777" w:rsidR="00F318A9" w:rsidRPr="00E123C3" w:rsidRDefault="00F318A9" w:rsidP="00F318A9">
            <w:pPr>
              <w:jc w:val="center"/>
              <w:rPr>
                <w:rFonts w:ascii="Arial" w:hAnsi="Arial"/>
                <w:sz w:val="14"/>
              </w:rPr>
            </w:pPr>
          </w:p>
        </w:tc>
        <w:tc>
          <w:tcPr>
            <w:tcW w:w="120" w:type="pct"/>
            <w:vAlign w:val="center"/>
          </w:tcPr>
          <w:p w14:paraId="373EB57F" w14:textId="77777777" w:rsidR="00F318A9" w:rsidRPr="00E123C3" w:rsidRDefault="00F318A9" w:rsidP="00F318A9">
            <w:pPr>
              <w:jc w:val="center"/>
              <w:rPr>
                <w:rFonts w:ascii="Arial" w:hAnsi="Arial"/>
                <w:sz w:val="14"/>
              </w:rPr>
            </w:pPr>
          </w:p>
        </w:tc>
        <w:tc>
          <w:tcPr>
            <w:tcW w:w="120" w:type="pct"/>
            <w:vAlign w:val="center"/>
          </w:tcPr>
          <w:p w14:paraId="7BC590B1" w14:textId="77777777" w:rsidR="00F318A9" w:rsidRPr="00E123C3" w:rsidRDefault="00F318A9" w:rsidP="00F318A9">
            <w:pPr>
              <w:jc w:val="center"/>
              <w:rPr>
                <w:rFonts w:ascii="Arial" w:hAnsi="Arial"/>
                <w:sz w:val="14"/>
              </w:rPr>
            </w:pPr>
          </w:p>
        </w:tc>
        <w:tc>
          <w:tcPr>
            <w:tcW w:w="120" w:type="pct"/>
            <w:vAlign w:val="center"/>
          </w:tcPr>
          <w:p w14:paraId="654CD90C" w14:textId="77777777" w:rsidR="00F318A9" w:rsidRPr="00E123C3" w:rsidRDefault="00F318A9" w:rsidP="00F318A9">
            <w:pPr>
              <w:jc w:val="center"/>
              <w:rPr>
                <w:rFonts w:ascii="Arial" w:hAnsi="Arial"/>
                <w:sz w:val="14"/>
              </w:rPr>
            </w:pPr>
          </w:p>
        </w:tc>
        <w:tc>
          <w:tcPr>
            <w:tcW w:w="120" w:type="pct"/>
            <w:vAlign w:val="center"/>
          </w:tcPr>
          <w:p w14:paraId="502FA036" w14:textId="77777777" w:rsidR="00F318A9" w:rsidRPr="00E123C3" w:rsidRDefault="00F318A9" w:rsidP="00F318A9">
            <w:pPr>
              <w:jc w:val="center"/>
              <w:rPr>
                <w:rFonts w:ascii="Arial" w:hAnsi="Arial"/>
                <w:sz w:val="14"/>
              </w:rPr>
            </w:pPr>
          </w:p>
        </w:tc>
        <w:tc>
          <w:tcPr>
            <w:tcW w:w="109" w:type="pct"/>
            <w:vAlign w:val="center"/>
          </w:tcPr>
          <w:p w14:paraId="4E222550" w14:textId="77777777" w:rsidR="00F318A9" w:rsidRPr="00E123C3" w:rsidRDefault="00F318A9" w:rsidP="00F318A9">
            <w:pPr>
              <w:jc w:val="center"/>
              <w:rPr>
                <w:rFonts w:ascii="Arial" w:hAnsi="Arial"/>
                <w:sz w:val="14"/>
              </w:rPr>
            </w:pPr>
          </w:p>
        </w:tc>
        <w:tc>
          <w:tcPr>
            <w:tcW w:w="120" w:type="pct"/>
            <w:vAlign w:val="center"/>
          </w:tcPr>
          <w:p w14:paraId="0EFE44E8" w14:textId="77777777" w:rsidR="00F318A9" w:rsidRPr="00E123C3" w:rsidRDefault="00F318A9" w:rsidP="00F318A9">
            <w:pPr>
              <w:jc w:val="center"/>
              <w:rPr>
                <w:rFonts w:ascii="Arial" w:hAnsi="Arial"/>
                <w:sz w:val="14"/>
              </w:rPr>
            </w:pPr>
          </w:p>
        </w:tc>
        <w:tc>
          <w:tcPr>
            <w:tcW w:w="120" w:type="pct"/>
            <w:vAlign w:val="center"/>
          </w:tcPr>
          <w:p w14:paraId="4BA63FC3" w14:textId="77777777" w:rsidR="00F318A9" w:rsidRPr="00E123C3" w:rsidRDefault="00F318A9" w:rsidP="00F318A9">
            <w:pPr>
              <w:jc w:val="center"/>
              <w:rPr>
                <w:rFonts w:ascii="Arial" w:hAnsi="Arial"/>
                <w:sz w:val="14"/>
              </w:rPr>
            </w:pPr>
          </w:p>
        </w:tc>
        <w:tc>
          <w:tcPr>
            <w:tcW w:w="120" w:type="pct"/>
            <w:vAlign w:val="center"/>
          </w:tcPr>
          <w:p w14:paraId="43E9009E" w14:textId="77777777" w:rsidR="00F318A9" w:rsidRPr="00E123C3" w:rsidRDefault="00F318A9" w:rsidP="00F318A9">
            <w:pPr>
              <w:jc w:val="center"/>
              <w:rPr>
                <w:rFonts w:ascii="Arial" w:hAnsi="Arial"/>
                <w:sz w:val="14"/>
              </w:rPr>
            </w:pPr>
          </w:p>
        </w:tc>
        <w:tc>
          <w:tcPr>
            <w:tcW w:w="120" w:type="pct"/>
            <w:vAlign w:val="center"/>
          </w:tcPr>
          <w:p w14:paraId="5CC99300" w14:textId="77777777" w:rsidR="00F318A9" w:rsidRPr="00E123C3" w:rsidRDefault="00F318A9" w:rsidP="00F318A9">
            <w:pPr>
              <w:jc w:val="center"/>
              <w:rPr>
                <w:rFonts w:ascii="Arial" w:hAnsi="Arial"/>
                <w:sz w:val="14"/>
              </w:rPr>
            </w:pPr>
          </w:p>
        </w:tc>
        <w:tc>
          <w:tcPr>
            <w:tcW w:w="120" w:type="pct"/>
            <w:vAlign w:val="center"/>
          </w:tcPr>
          <w:p w14:paraId="3C194C87" w14:textId="77777777" w:rsidR="00F318A9" w:rsidRPr="00E123C3" w:rsidRDefault="00F318A9" w:rsidP="00F318A9">
            <w:pPr>
              <w:jc w:val="center"/>
              <w:rPr>
                <w:rFonts w:ascii="Arial" w:hAnsi="Arial"/>
                <w:sz w:val="14"/>
              </w:rPr>
            </w:pPr>
          </w:p>
        </w:tc>
      </w:tr>
      <w:tr w:rsidR="00F318A9" w:rsidRPr="00E123C3" w14:paraId="6117379A" w14:textId="77777777" w:rsidTr="00F318A9">
        <w:trPr>
          <w:trHeight w:val="184"/>
          <w:jc w:val="center"/>
        </w:trPr>
        <w:tc>
          <w:tcPr>
            <w:tcW w:w="408" w:type="pct"/>
            <w:vMerge/>
          </w:tcPr>
          <w:p w14:paraId="70D8B7A0" w14:textId="77777777" w:rsidR="00F318A9" w:rsidRPr="00E123C3" w:rsidRDefault="00F318A9" w:rsidP="00F318A9">
            <w:pPr>
              <w:rPr>
                <w:rFonts w:ascii="Arial" w:hAnsi="Arial"/>
                <w:sz w:val="14"/>
              </w:rPr>
            </w:pPr>
          </w:p>
        </w:tc>
        <w:tc>
          <w:tcPr>
            <w:tcW w:w="408" w:type="pct"/>
            <w:vMerge/>
          </w:tcPr>
          <w:p w14:paraId="4509576E" w14:textId="77777777" w:rsidR="00F318A9" w:rsidRPr="00E123C3" w:rsidRDefault="00F318A9" w:rsidP="00F318A9">
            <w:pPr>
              <w:rPr>
                <w:rFonts w:ascii="Arial" w:hAnsi="Arial"/>
                <w:sz w:val="14"/>
              </w:rPr>
            </w:pPr>
          </w:p>
        </w:tc>
        <w:tc>
          <w:tcPr>
            <w:tcW w:w="459" w:type="pct"/>
            <w:vMerge/>
          </w:tcPr>
          <w:p w14:paraId="126BFCCB" w14:textId="77777777" w:rsidR="00F318A9" w:rsidRPr="00E123C3" w:rsidRDefault="00F318A9" w:rsidP="00F318A9">
            <w:pPr>
              <w:rPr>
                <w:rFonts w:ascii="Arial" w:hAnsi="Arial"/>
                <w:sz w:val="14"/>
              </w:rPr>
            </w:pPr>
          </w:p>
        </w:tc>
        <w:tc>
          <w:tcPr>
            <w:tcW w:w="557" w:type="pct"/>
            <w:vMerge/>
          </w:tcPr>
          <w:p w14:paraId="53CDA574" w14:textId="77777777" w:rsidR="00F318A9" w:rsidRPr="00E123C3" w:rsidRDefault="00F318A9" w:rsidP="00F318A9">
            <w:pPr>
              <w:rPr>
                <w:rFonts w:ascii="Arial" w:hAnsi="Arial"/>
                <w:sz w:val="14"/>
              </w:rPr>
            </w:pPr>
          </w:p>
        </w:tc>
        <w:tc>
          <w:tcPr>
            <w:tcW w:w="1090" w:type="pct"/>
          </w:tcPr>
          <w:p w14:paraId="13512557" w14:textId="77777777" w:rsidR="00F318A9" w:rsidRPr="00E123C3" w:rsidRDefault="00F318A9" w:rsidP="00F318A9">
            <w:pPr>
              <w:rPr>
                <w:rFonts w:ascii="Arial" w:hAnsi="Arial"/>
                <w:sz w:val="14"/>
              </w:rPr>
            </w:pPr>
            <w:r w:rsidRPr="00E123C3">
              <w:rPr>
                <w:rFonts w:ascii="Arial" w:hAnsi="Arial"/>
                <w:sz w:val="14"/>
              </w:rPr>
              <w:t>Activity 3.1.2: Organize three (3) meetings of the TC-Ref with support from technical expert. The technical expert will be sub-contracted and guide the work of the TC-Ref. A critical element of the work of the TC-Ref will be the analysis of international standard IEC62552:2015 and how it fits with the national conditions, including alignment with major origin of imports.</w:t>
            </w:r>
          </w:p>
          <w:p w14:paraId="2B12380C" w14:textId="77777777" w:rsidR="00F318A9" w:rsidRPr="00E123C3" w:rsidRDefault="00F318A9" w:rsidP="00F318A9">
            <w:pPr>
              <w:rPr>
                <w:rFonts w:ascii="Arial" w:hAnsi="Arial"/>
                <w:sz w:val="14"/>
              </w:rPr>
            </w:pPr>
          </w:p>
          <w:p w14:paraId="74FCFC19" w14:textId="77777777" w:rsidR="00F318A9" w:rsidRPr="00E123C3" w:rsidRDefault="00F318A9" w:rsidP="00F318A9">
            <w:pPr>
              <w:rPr>
                <w:rFonts w:ascii="Arial" w:hAnsi="Arial"/>
                <w:sz w:val="14"/>
              </w:rPr>
            </w:pPr>
            <w:r w:rsidRPr="00E123C3">
              <w:rPr>
                <w:rFonts w:ascii="Arial" w:hAnsi="Arial"/>
                <w:sz w:val="14"/>
              </w:rPr>
              <w:t>Deliverable 3.1.2: draft national standard ready for public consultation</w:t>
            </w:r>
          </w:p>
        </w:tc>
        <w:tc>
          <w:tcPr>
            <w:tcW w:w="97" w:type="pct"/>
            <w:vAlign w:val="center"/>
          </w:tcPr>
          <w:p w14:paraId="28603FD2" w14:textId="77777777" w:rsidR="00F318A9" w:rsidRPr="00E123C3" w:rsidRDefault="00F318A9" w:rsidP="00F318A9">
            <w:pPr>
              <w:jc w:val="center"/>
              <w:rPr>
                <w:rFonts w:ascii="Arial" w:hAnsi="Arial"/>
                <w:sz w:val="14"/>
              </w:rPr>
            </w:pPr>
          </w:p>
        </w:tc>
        <w:tc>
          <w:tcPr>
            <w:tcW w:w="97" w:type="pct"/>
            <w:vAlign w:val="center"/>
          </w:tcPr>
          <w:p w14:paraId="0F7D3522" w14:textId="77777777" w:rsidR="00F318A9" w:rsidRPr="00E123C3" w:rsidRDefault="00F318A9" w:rsidP="00F318A9">
            <w:pPr>
              <w:jc w:val="center"/>
              <w:rPr>
                <w:rFonts w:ascii="Arial" w:hAnsi="Arial"/>
                <w:sz w:val="14"/>
              </w:rPr>
            </w:pPr>
          </w:p>
        </w:tc>
        <w:tc>
          <w:tcPr>
            <w:tcW w:w="120" w:type="pct"/>
            <w:vAlign w:val="center"/>
          </w:tcPr>
          <w:p w14:paraId="516C04A9" w14:textId="77777777" w:rsidR="00F318A9" w:rsidRPr="00E123C3" w:rsidRDefault="00F318A9" w:rsidP="00F318A9">
            <w:pPr>
              <w:jc w:val="center"/>
              <w:rPr>
                <w:rFonts w:ascii="Arial" w:hAnsi="Arial"/>
                <w:sz w:val="14"/>
              </w:rPr>
            </w:pPr>
          </w:p>
        </w:tc>
        <w:tc>
          <w:tcPr>
            <w:tcW w:w="97" w:type="pct"/>
            <w:shd w:val="clear" w:color="auto" w:fill="C5E0B3" w:themeFill="accent6" w:themeFillTint="66"/>
            <w:vAlign w:val="center"/>
          </w:tcPr>
          <w:p w14:paraId="37FBA0C9"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4B540D3F"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shd w:val="clear" w:color="auto" w:fill="C5E0B3" w:themeFill="accent6" w:themeFillTint="66"/>
            <w:vAlign w:val="center"/>
          </w:tcPr>
          <w:p w14:paraId="728CF5A3"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24B8608F"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shd w:val="clear" w:color="auto" w:fill="C5E0B3" w:themeFill="accent6" w:themeFillTint="66"/>
            <w:vAlign w:val="center"/>
          </w:tcPr>
          <w:p w14:paraId="505D089E"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1C2077DB"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shd w:val="clear" w:color="auto" w:fill="auto"/>
            <w:vAlign w:val="center"/>
          </w:tcPr>
          <w:p w14:paraId="24A2D9F6" w14:textId="77777777" w:rsidR="00F318A9" w:rsidRPr="00E123C3" w:rsidRDefault="00F318A9" w:rsidP="00F318A9">
            <w:pPr>
              <w:jc w:val="center"/>
              <w:rPr>
                <w:rFonts w:ascii="Arial" w:hAnsi="Arial"/>
                <w:sz w:val="14"/>
              </w:rPr>
            </w:pPr>
          </w:p>
        </w:tc>
        <w:tc>
          <w:tcPr>
            <w:tcW w:w="120" w:type="pct"/>
            <w:shd w:val="clear" w:color="auto" w:fill="auto"/>
            <w:vAlign w:val="center"/>
          </w:tcPr>
          <w:p w14:paraId="16907E33" w14:textId="77777777" w:rsidR="00F318A9" w:rsidRPr="00E123C3" w:rsidRDefault="00F318A9" w:rsidP="00F318A9">
            <w:pPr>
              <w:jc w:val="center"/>
              <w:rPr>
                <w:rFonts w:ascii="Arial" w:hAnsi="Arial"/>
                <w:sz w:val="14"/>
              </w:rPr>
            </w:pPr>
          </w:p>
        </w:tc>
        <w:tc>
          <w:tcPr>
            <w:tcW w:w="120" w:type="pct"/>
            <w:vAlign w:val="center"/>
          </w:tcPr>
          <w:p w14:paraId="4046171C" w14:textId="77777777" w:rsidR="00F318A9" w:rsidRPr="00E123C3" w:rsidRDefault="00F318A9" w:rsidP="00F318A9">
            <w:pPr>
              <w:jc w:val="center"/>
              <w:rPr>
                <w:rFonts w:ascii="Arial" w:hAnsi="Arial"/>
                <w:sz w:val="14"/>
              </w:rPr>
            </w:pPr>
          </w:p>
        </w:tc>
        <w:tc>
          <w:tcPr>
            <w:tcW w:w="109" w:type="pct"/>
            <w:vAlign w:val="center"/>
          </w:tcPr>
          <w:p w14:paraId="5BF169EF" w14:textId="77777777" w:rsidR="00F318A9" w:rsidRPr="00E123C3" w:rsidRDefault="00F318A9" w:rsidP="00F318A9">
            <w:pPr>
              <w:jc w:val="center"/>
              <w:rPr>
                <w:rFonts w:ascii="Arial" w:hAnsi="Arial"/>
                <w:sz w:val="14"/>
              </w:rPr>
            </w:pPr>
          </w:p>
        </w:tc>
        <w:tc>
          <w:tcPr>
            <w:tcW w:w="120" w:type="pct"/>
            <w:vAlign w:val="center"/>
          </w:tcPr>
          <w:p w14:paraId="5779CAB8" w14:textId="77777777" w:rsidR="00F318A9" w:rsidRPr="00E123C3" w:rsidRDefault="00F318A9" w:rsidP="00F318A9">
            <w:pPr>
              <w:jc w:val="center"/>
              <w:rPr>
                <w:rFonts w:ascii="Arial" w:hAnsi="Arial"/>
                <w:sz w:val="14"/>
              </w:rPr>
            </w:pPr>
          </w:p>
        </w:tc>
        <w:tc>
          <w:tcPr>
            <w:tcW w:w="120" w:type="pct"/>
            <w:vAlign w:val="center"/>
          </w:tcPr>
          <w:p w14:paraId="7662C6F6" w14:textId="77777777" w:rsidR="00F318A9" w:rsidRPr="00E123C3" w:rsidRDefault="00F318A9" w:rsidP="00F318A9">
            <w:pPr>
              <w:jc w:val="center"/>
              <w:rPr>
                <w:rFonts w:ascii="Arial" w:hAnsi="Arial"/>
                <w:sz w:val="14"/>
              </w:rPr>
            </w:pPr>
          </w:p>
        </w:tc>
        <w:tc>
          <w:tcPr>
            <w:tcW w:w="120" w:type="pct"/>
            <w:vAlign w:val="center"/>
          </w:tcPr>
          <w:p w14:paraId="4677CE91" w14:textId="77777777" w:rsidR="00F318A9" w:rsidRPr="00E123C3" w:rsidRDefault="00F318A9" w:rsidP="00F318A9">
            <w:pPr>
              <w:jc w:val="center"/>
              <w:rPr>
                <w:rFonts w:ascii="Arial" w:hAnsi="Arial"/>
                <w:sz w:val="14"/>
              </w:rPr>
            </w:pPr>
          </w:p>
        </w:tc>
        <w:tc>
          <w:tcPr>
            <w:tcW w:w="120" w:type="pct"/>
            <w:vAlign w:val="center"/>
          </w:tcPr>
          <w:p w14:paraId="7D3C6C9C" w14:textId="77777777" w:rsidR="00F318A9" w:rsidRPr="00E123C3" w:rsidRDefault="00F318A9" w:rsidP="00F318A9">
            <w:pPr>
              <w:jc w:val="center"/>
              <w:rPr>
                <w:rFonts w:ascii="Arial" w:hAnsi="Arial"/>
                <w:sz w:val="14"/>
              </w:rPr>
            </w:pPr>
          </w:p>
        </w:tc>
        <w:tc>
          <w:tcPr>
            <w:tcW w:w="120" w:type="pct"/>
            <w:vAlign w:val="center"/>
          </w:tcPr>
          <w:p w14:paraId="121F9802" w14:textId="77777777" w:rsidR="00F318A9" w:rsidRPr="00E123C3" w:rsidRDefault="00F318A9" w:rsidP="00F318A9">
            <w:pPr>
              <w:jc w:val="center"/>
              <w:rPr>
                <w:rFonts w:ascii="Arial" w:hAnsi="Arial"/>
                <w:sz w:val="14"/>
              </w:rPr>
            </w:pPr>
          </w:p>
        </w:tc>
      </w:tr>
      <w:tr w:rsidR="00F318A9" w:rsidRPr="00E123C3" w14:paraId="7A547AC8" w14:textId="77777777" w:rsidTr="00F318A9">
        <w:trPr>
          <w:trHeight w:val="184"/>
          <w:jc w:val="center"/>
        </w:trPr>
        <w:tc>
          <w:tcPr>
            <w:tcW w:w="408" w:type="pct"/>
            <w:vMerge/>
          </w:tcPr>
          <w:p w14:paraId="52BCF599" w14:textId="77777777" w:rsidR="00F318A9" w:rsidRPr="00E123C3" w:rsidRDefault="00F318A9" w:rsidP="00F318A9">
            <w:pPr>
              <w:rPr>
                <w:rFonts w:ascii="Arial" w:hAnsi="Arial"/>
                <w:sz w:val="14"/>
              </w:rPr>
            </w:pPr>
          </w:p>
        </w:tc>
        <w:tc>
          <w:tcPr>
            <w:tcW w:w="408" w:type="pct"/>
            <w:vMerge/>
          </w:tcPr>
          <w:p w14:paraId="3626C294" w14:textId="77777777" w:rsidR="00F318A9" w:rsidRPr="00E123C3" w:rsidRDefault="00F318A9" w:rsidP="00F318A9">
            <w:pPr>
              <w:rPr>
                <w:rFonts w:ascii="Arial" w:hAnsi="Arial"/>
                <w:sz w:val="14"/>
              </w:rPr>
            </w:pPr>
          </w:p>
        </w:tc>
        <w:tc>
          <w:tcPr>
            <w:tcW w:w="459" w:type="pct"/>
            <w:vMerge/>
          </w:tcPr>
          <w:p w14:paraId="080372FF" w14:textId="77777777" w:rsidR="00F318A9" w:rsidRPr="00E123C3" w:rsidRDefault="00F318A9" w:rsidP="00F318A9">
            <w:pPr>
              <w:rPr>
                <w:rFonts w:ascii="Arial" w:hAnsi="Arial"/>
                <w:sz w:val="14"/>
              </w:rPr>
            </w:pPr>
          </w:p>
        </w:tc>
        <w:tc>
          <w:tcPr>
            <w:tcW w:w="557" w:type="pct"/>
            <w:vMerge/>
          </w:tcPr>
          <w:p w14:paraId="075F6234" w14:textId="77777777" w:rsidR="00F318A9" w:rsidRPr="00E123C3" w:rsidRDefault="00F318A9" w:rsidP="00F318A9">
            <w:pPr>
              <w:rPr>
                <w:rFonts w:ascii="Arial" w:hAnsi="Arial"/>
                <w:sz w:val="14"/>
              </w:rPr>
            </w:pPr>
          </w:p>
        </w:tc>
        <w:tc>
          <w:tcPr>
            <w:tcW w:w="1090" w:type="pct"/>
          </w:tcPr>
          <w:p w14:paraId="714715E4" w14:textId="77777777" w:rsidR="00F318A9" w:rsidRPr="00E123C3" w:rsidRDefault="00F318A9" w:rsidP="00F318A9">
            <w:pPr>
              <w:rPr>
                <w:rFonts w:ascii="Arial" w:hAnsi="Arial"/>
                <w:sz w:val="14"/>
              </w:rPr>
            </w:pPr>
            <w:r w:rsidRPr="00E123C3">
              <w:rPr>
                <w:rFonts w:ascii="Arial" w:hAnsi="Arial"/>
                <w:sz w:val="14"/>
              </w:rPr>
              <w:t xml:space="preserve">Activity 3.1.3: Organize public consultation on the recommended draft national standard for refrigerators. This consultation will bring together representatives from the industry, importers, consumer groups, utility, </w:t>
            </w:r>
            <w:r w:rsidRPr="00E123C3">
              <w:rPr>
                <w:rFonts w:ascii="Arial" w:hAnsi="Arial" w:cs="Arial"/>
                <w:sz w:val="14"/>
                <w:szCs w:val="16"/>
              </w:rPr>
              <w:t>and academia.</w:t>
            </w:r>
            <w:r w:rsidRPr="00E123C3">
              <w:rPr>
                <w:rFonts w:ascii="Arial" w:hAnsi="Arial"/>
                <w:sz w:val="14"/>
              </w:rPr>
              <w:t xml:space="preserve"> The consultation will last three (3) months, including a national stakeholders consultation workshop</w:t>
            </w:r>
          </w:p>
          <w:p w14:paraId="4F1FC416" w14:textId="77777777" w:rsidR="00F318A9" w:rsidRPr="00E123C3" w:rsidRDefault="00F318A9" w:rsidP="00F318A9">
            <w:pPr>
              <w:rPr>
                <w:rFonts w:ascii="Arial" w:hAnsi="Arial"/>
                <w:sz w:val="14"/>
              </w:rPr>
            </w:pPr>
          </w:p>
          <w:p w14:paraId="10B26E5D" w14:textId="77777777" w:rsidR="00F318A9" w:rsidRPr="00E123C3" w:rsidRDefault="00F318A9" w:rsidP="00F318A9">
            <w:pPr>
              <w:rPr>
                <w:rFonts w:ascii="Arial" w:hAnsi="Arial"/>
                <w:sz w:val="14"/>
              </w:rPr>
            </w:pPr>
            <w:r w:rsidRPr="00E123C3">
              <w:rPr>
                <w:rFonts w:ascii="Arial" w:hAnsi="Arial"/>
                <w:sz w:val="14"/>
              </w:rPr>
              <w:t>Deliverable 3.1.3: national stakeholders consultation workshop and consultation report</w:t>
            </w:r>
          </w:p>
        </w:tc>
        <w:tc>
          <w:tcPr>
            <w:tcW w:w="97" w:type="pct"/>
            <w:vAlign w:val="center"/>
          </w:tcPr>
          <w:p w14:paraId="2840AE9E" w14:textId="77777777" w:rsidR="00F318A9" w:rsidRPr="00E123C3" w:rsidRDefault="00F318A9" w:rsidP="00F318A9">
            <w:pPr>
              <w:jc w:val="center"/>
              <w:rPr>
                <w:rFonts w:ascii="Arial" w:hAnsi="Arial"/>
                <w:sz w:val="14"/>
              </w:rPr>
            </w:pPr>
          </w:p>
        </w:tc>
        <w:tc>
          <w:tcPr>
            <w:tcW w:w="97" w:type="pct"/>
            <w:vAlign w:val="center"/>
          </w:tcPr>
          <w:p w14:paraId="5477AC27" w14:textId="77777777" w:rsidR="00F318A9" w:rsidRPr="00E123C3" w:rsidRDefault="00F318A9" w:rsidP="00F318A9">
            <w:pPr>
              <w:jc w:val="center"/>
              <w:rPr>
                <w:rFonts w:ascii="Arial" w:hAnsi="Arial"/>
                <w:sz w:val="14"/>
              </w:rPr>
            </w:pPr>
          </w:p>
        </w:tc>
        <w:tc>
          <w:tcPr>
            <w:tcW w:w="120" w:type="pct"/>
            <w:vAlign w:val="center"/>
          </w:tcPr>
          <w:p w14:paraId="0E143C52" w14:textId="77777777" w:rsidR="00F318A9" w:rsidRPr="00E123C3" w:rsidRDefault="00F318A9" w:rsidP="00F318A9">
            <w:pPr>
              <w:jc w:val="center"/>
              <w:rPr>
                <w:rFonts w:ascii="Arial" w:hAnsi="Arial"/>
                <w:sz w:val="14"/>
              </w:rPr>
            </w:pPr>
          </w:p>
        </w:tc>
        <w:tc>
          <w:tcPr>
            <w:tcW w:w="97" w:type="pct"/>
            <w:vAlign w:val="center"/>
          </w:tcPr>
          <w:p w14:paraId="395ADBB3" w14:textId="77777777" w:rsidR="00F318A9" w:rsidRPr="00E123C3" w:rsidRDefault="00F318A9" w:rsidP="00F318A9">
            <w:pPr>
              <w:jc w:val="center"/>
              <w:rPr>
                <w:rFonts w:ascii="Arial" w:hAnsi="Arial"/>
                <w:sz w:val="14"/>
              </w:rPr>
            </w:pPr>
          </w:p>
        </w:tc>
        <w:tc>
          <w:tcPr>
            <w:tcW w:w="120" w:type="pct"/>
            <w:vAlign w:val="center"/>
          </w:tcPr>
          <w:p w14:paraId="6DAB278F" w14:textId="77777777" w:rsidR="00F318A9" w:rsidRPr="00E123C3" w:rsidRDefault="00F318A9" w:rsidP="00F318A9">
            <w:pPr>
              <w:jc w:val="center"/>
              <w:rPr>
                <w:rFonts w:ascii="Arial" w:hAnsi="Arial"/>
                <w:sz w:val="14"/>
              </w:rPr>
            </w:pPr>
          </w:p>
        </w:tc>
        <w:tc>
          <w:tcPr>
            <w:tcW w:w="120" w:type="pct"/>
            <w:vAlign w:val="center"/>
          </w:tcPr>
          <w:p w14:paraId="5A19885E" w14:textId="77777777" w:rsidR="00F318A9" w:rsidRPr="00E123C3" w:rsidRDefault="00F318A9" w:rsidP="00F318A9">
            <w:pPr>
              <w:jc w:val="center"/>
              <w:rPr>
                <w:rFonts w:ascii="Arial" w:hAnsi="Arial"/>
                <w:sz w:val="14"/>
              </w:rPr>
            </w:pPr>
          </w:p>
        </w:tc>
        <w:tc>
          <w:tcPr>
            <w:tcW w:w="120" w:type="pct"/>
            <w:vAlign w:val="center"/>
          </w:tcPr>
          <w:p w14:paraId="20915BE3" w14:textId="77777777" w:rsidR="00F318A9" w:rsidRPr="00E123C3" w:rsidRDefault="00F318A9" w:rsidP="00F318A9">
            <w:pPr>
              <w:jc w:val="center"/>
              <w:rPr>
                <w:rFonts w:ascii="Arial" w:hAnsi="Arial"/>
                <w:sz w:val="14"/>
              </w:rPr>
            </w:pPr>
          </w:p>
        </w:tc>
        <w:tc>
          <w:tcPr>
            <w:tcW w:w="120" w:type="pct"/>
            <w:vAlign w:val="center"/>
          </w:tcPr>
          <w:p w14:paraId="037ECFDC"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32F8EDD5"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12C8E617"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402FAE70"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0043CD5E" w14:textId="77777777" w:rsidR="00F318A9" w:rsidRPr="00E123C3" w:rsidRDefault="00F318A9" w:rsidP="00F318A9">
            <w:pPr>
              <w:jc w:val="center"/>
              <w:rPr>
                <w:rFonts w:ascii="Arial" w:hAnsi="Arial"/>
                <w:sz w:val="14"/>
              </w:rPr>
            </w:pPr>
            <w:r w:rsidRPr="00E123C3">
              <w:rPr>
                <w:rFonts w:ascii="Arial" w:hAnsi="Arial"/>
                <w:sz w:val="14"/>
              </w:rPr>
              <w:t>X</w:t>
            </w:r>
          </w:p>
        </w:tc>
        <w:tc>
          <w:tcPr>
            <w:tcW w:w="109" w:type="pct"/>
            <w:vAlign w:val="center"/>
          </w:tcPr>
          <w:p w14:paraId="442A37FC" w14:textId="77777777" w:rsidR="00F318A9" w:rsidRPr="00E123C3" w:rsidRDefault="00F318A9" w:rsidP="00F318A9">
            <w:pPr>
              <w:jc w:val="center"/>
              <w:rPr>
                <w:rFonts w:ascii="Arial" w:hAnsi="Arial"/>
                <w:sz w:val="14"/>
              </w:rPr>
            </w:pPr>
          </w:p>
        </w:tc>
        <w:tc>
          <w:tcPr>
            <w:tcW w:w="120" w:type="pct"/>
            <w:vAlign w:val="center"/>
          </w:tcPr>
          <w:p w14:paraId="22B2982A" w14:textId="77777777" w:rsidR="00F318A9" w:rsidRPr="00E123C3" w:rsidRDefault="00F318A9" w:rsidP="00F318A9">
            <w:pPr>
              <w:jc w:val="center"/>
              <w:rPr>
                <w:rFonts w:ascii="Arial" w:hAnsi="Arial"/>
                <w:sz w:val="14"/>
              </w:rPr>
            </w:pPr>
          </w:p>
        </w:tc>
        <w:tc>
          <w:tcPr>
            <w:tcW w:w="120" w:type="pct"/>
            <w:vAlign w:val="center"/>
          </w:tcPr>
          <w:p w14:paraId="38844E69" w14:textId="77777777" w:rsidR="00F318A9" w:rsidRPr="00E123C3" w:rsidRDefault="00F318A9" w:rsidP="00F318A9">
            <w:pPr>
              <w:jc w:val="center"/>
              <w:rPr>
                <w:rFonts w:ascii="Arial" w:hAnsi="Arial"/>
                <w:sz w:val="14"/>
              </w:rPr>
            </w:pPr>
          </w:p>
        </w:tc>
        <w:tc>
          <w:tcPr>
            <w:tcW w:w="120" w:type="pct"/>
            <w:vAlign w:val="center"/>
          </w:tcPr>
          <w:p w14:paraId="46C0F31A" w14:textId="77777777" w:rsidR="00F318A9" w:rsidRPr="00E123C3" w:rsidRDefault="00F318A9" w:rsidP="00F318A9">
            <w:pPr>
              <w:jc w:val="center"/>
              <w:rPr>
                <w:rFonts w:ascii="Arial" w:hAnsi="Arial"/>
                <w:sz w:val="14"/>
              </w:rPr>
            </w:pPr>
          </w:p>
        </w:tc>
        <w:tc>
          <w:tcPr>
            <w:tcW w:w="120" w:type="pct"/>
            <w:vAlign w:val="center"/>
          </w:tcPr>
          <w:p w14:paraId="733B07EE" w14:textId="77777777" w:rsidR="00F318A9" w:rsidRPr="00E123C3" w:rsidRDefault="00F318A9" w:rsidP="00F318A9">
            <w:pPr>
              <w:jc w:val="center"/>
              <w:rPr>
                <w:rFonts w:ascii="Arial" w:hAnsi="Arial"/>
                <w:sz w:val="14"/>
              </w:rPr>
            </w:pPr>
          </w:p>
        </w:tc>
        <w:tc>
          <w:tcPr>
            <w:tcW w:w="120" w:type="pct"/>
            <w:vAlign w:val="center"/>
          </w:tcPr>
          <w:p w14:paraId="3AAC2D59" w14:textId="77777777" w:rsidR="00F318A9" w:rsidRPr="00E123C3" w:rsidRDefault="00F318A9" w:rsidP="00F318A9">
            <w:pPr>
              <w:jc w:val="center"/>
              <w:rPr>
                <w:rFonts w:ascii="Arial" w:hAnsi="Arial"/>
                <w:sz w:val="14"/>
              </w:rPr>
            </w:pPr>
          </w:p>
        </w:tc>
      </w:tr>
      <w:tr w:rsidR="00F318A9" w:rsidRPr="00E123C3" w14:paraId="1920867C" w14:textId="77777777" w:rsidTr="00F318A9">
        <w:trPr>
          <w:trHeight w:val="184"/>
          <w:jc w:val="center"/>
        </w:trPr>
        <w:tc>
          <w:tcPr>
            <w:tcW w:w="408" w:type="pct"/>
            <w:vMerge/>
          </w:tcPr>
          <w:p w14:paraId="15F7477D" w14:textId="77777777" w:rsidR="00F318A9" w:rsidRPr="00E123C3" w:rsidRDefault="00F318A9" w:rsidP="00F318A9">
            <w:pPr>
              <w:rPr>
                <w:rFonts w:ascii="Arial" w:hAnsi="Arial"/>
                <w:sz w:val="14"/>
              </w:rPr>
            </w:pPr>
          </w:p>
        </w:tc>
        <w:tc>
          <w:tcPr>
            <w:tcW w:w="408" w:type="pct"/>
            <w:vMerge/>
          </w:tcPr>
          <w:p w14:paraId="4A7E5190" w14:textId="77777777" w:rsidR="00F318A9" w:rsidRPr="00E123C3" w:rsidRDefault="00F318A9" w:rsidP="00F318A9">
            <w:pPr>
              <w:rPr>
                <w:rFonts w:ascii="Arial" w:hAnsi="Arial"/>
                <w:sz w:val="14"/>
              </w:rPr>
            </w:pPr>
          </w:p>
        </w:tc>
        <w:tc>
          <w:tcPr>
            <w:tcW w:w="459" w:type="pct"/>
            <w:vMerge/>
          </w:tcPr>
          <w:p w14:paraId="6B0BE244" w14:textId="77777777" w:rsidR="00F318A9" w:rsidRPr="00E123C3" w:rsidRDefault="00F318A9" w:rsidP="00F318A9">
            <w:pPr>
              <w:rPr>
                <w:rFonts w:ascii="Arial" w:hAnsi="Arial"/>
                <w:sz w:val="14"/>
              </w:rPr>
            </w:pPr>
          </w:p>
        </w:tc>
        <w:tc>
          <w:tcPr>
            <w:tcW w:w="557" w:type="pct"/>
            <w:vMerge/>
          </w:tcPr>
          <w:p w14:paraId="41F44C8E" w14:textId="77777777" w:rsidR="00F318A9" w:rsidRPr="00E123C3" w:rsidRDefault="00F318A9" w:rsidP="00F318A9">
            <w:pPr>
              <w:rPr>
                <w:rFonts w:ascii="Arial" w:hAnsi="Arial"/>
                <w:sz w:val="14"/>
              </w:rPr>
            </w:pPr>
          </w:p>
        </w:tc>
        <w:tc>
          <w:tcPr>
            <w:tcW w:w="1090" w:type="pct"/>
          </w:tcPr>
          <w:p w14:paraId="5429B52F" w14:textId="77777777" w:rsidR="00F318A9" w:rsidRPr="00E123C3" w:rsidRDefault="00F318A9" w:rsidP="00F318A9">
            <w:pPr>
              <w:rPr>
                <w:rFonts w:ascii="Arial" w:hAnsi="Arial"/>
                <w:sz w:val="14"/>
              </w:rPr>
            </w:pPr>
            <w:r w:rsidRPr="00E123C3">
              <w:rPr>
                <w:rFonts w:ascii="Arial" w:hAnsi="Arial"/>
                <w:sz w:val="14"/>
              </w:rPr>
              <w:t>Activity 3.1.4: Organize one (1) meeting of the TC-Ref to adopt the national standard. This meeting will be preceded by an expert analysis of the stakeholders’ consultation outcomes; a report will be prepared and submitted to the TC prior to the meeting.</w:t>
            </w:r>
          </w:p>
          <w:p w14:paraId="5F189E7E" w14:textId="77777777" w:rsidR="00F318A9" w:rsidRPr="00E123C3" w:rsidRDefault="00F318A9" w:rsidP="00F318A9">
            <w:pPr>
              <w:rPr>
                <w:rFonts w:ascii="Arial" w:hAnsi="Arial"/>
                <w:sz w:val="14"/>
              </w:rPr>
            </w:pPr>
          </w:p>
          <w:p w14:paraId="4E85407B" w14:textId="555DCB8F" w:rsidR="00F318A9" w:rsidRPr="00E123C3" w:rsidRDefault="00F318A9" w:rsidP="00F318A9">
            <w:pPr>
              <w:rPr>
                <w:rFonts w:ascii="Arial" w:hAnsi="Arial"/>
                <w:sz w:val="14"/>
              </w:rPr>
            </w:pPr>
            <w:r w:rsidRPr="00E123C3">
              <w:rPr>
                <w:rFonts w:ascii="Arial" w:hAnsi="Arial"/>
                <w:sz w:val="14"/>
              </w:rPr>
              <w:t xml:space="preserve">Deliverable 3.1.4: national standard for refrigerators adopted and </w:t>
            </w:r>
            <w:proofErr w:type="gramStart"/>
            <w:r w:rsidRPr="00E123C3">
              <w:rPr>
                <w:rFonts w:ascii="Arial" w:hAnsi="Arial"/>
                <w:sz w:val="14"/>
              </w:rPr>
              <w:t xml:space="preserve">transmitted </w:t>
            </w:r>
            <w:r w:rsidRPr="00E123C3">
              <w:rPr>
                <w:rFonts w:ascii="Arial" w:hAnsi="Arial" w:cs="Arial"/>
                <w:sz w:val="14"/>
                <w:szCs w:val="16"/>
              </w:rPr>
              <w:t xml:space="preserve"> </w:t>
            </w:r>
            <w:r w:rsidRPr="00E123C3">
              <w:rPr>
                <w:rFonts w:ascii="Arial" w:hAnsi="Arial"/>
                <w:sz w:val="14"/>
              </w:rPr>
              <w:t>for</w:t>
            </w:r>
            <w:proofErr w:type="gramEnd"/>
            <w:r w:rsidRPr="00E123C3">
              <w:rPr>
                <w:rFonts w:ascii="Arial" w:hAnsi="Arial"/>
                <w:sz w:val="14"/>
              </w:rPr>
              <w:t xml:space="preserve"> </w:t>
            </w:r>
            <w:r w:rsidRPr="00E123C3">
              <w:rPr>
                <w:rFonts w:ascii="Arial" w:hAnsi="Arial" w:cs="Arial"/>
                <w:sz w:val="14"/>
                <w:szCs w:val="16"/>
              </w:rPr>
              <w:t xml:space="preserve">approval and </w:t>
            </w:r>
            <w:r w:rsidRPr="00E123C3">
              <w:rPr>
                <w:rFonts w:ascii="Arial" w:hAnsi="Arial"/>
                <w:sz w:val="14"/>
              </w:rPr>
              <w:t>official publication</w:t>
            </w:r>
            <w:r w:rsidRPr="00E123C3">
              <w:rPr>
                <w:rFonts w:ascii="Arial" w:hAnsi="Arial" w:cs="Arial"/>
                <w:sz w:val="14"/>
                <w:szCs w:val="16"/>
              </w:rPr>
              <w:t xml:space="preserve"> to declare the standard mandatory national standard</w:t>
            </w:r>
          </w:p>
        </w:tc>
        <w:tc>
          <w:tcPr>
            <w:tcW w:w="97" w:type="pct"/>
            <w:vAlign w:val="center"/>
          </w:tcPr>
          <w:p w14:paraId="6907A06C" w14:textId="77777777" w:rsidR="00F318A9" w:rsidRPr="00E123C3" w:rsidRDefault="00F318A9" w:rsidP="00F318A9">
            <w:pPr>
              <w:jc w:val="center"/>
              <w:rPr>
                <w:rFonts w:ascii="Arial" w:hAnsi="Arial"/>
                <w:sz w:val="14"/>
              </w:rPr>
            </w:pPr>
          </w:p>
        </w:tc>
        <w:tc>
          <w:tcPr>
            <w:tcW w:w="97" w:type="pct"/>
            <w:vAlign w:val="center"/>
          </w:tcPr>
          <w:p w14:paraId="64A24518" w14:textId="77777777" w:rsidR="00F318A9" w:rsidRPr="00E123C3" w:rsidRDefault="00F318A9" w:rsidP="00F318A9">
            <w:pPr>
              <w:jc w:val="center"/>
              <w:rPr>
                <w:rFonts w:ascii="Arial" w:hAnsi="Arial"/>
                <w:sz w:val="14"/>
              </w:rPr>
            </w:pPr>
          </w:p>
        </w:tc>
        <w:tc>
          <w:tcPr>
            <w:tcW w:w="120" w:type="pct"/>
            <w:vAlign w:val="center"/>
          </w:tcPr>
          <w:p w14:paraId="40419F35" w14:textId="77777777" w:rsidR="00F318A9" w:rsidRPr="00E123C3" w:rsidRDefault="00F318A9" w:rsidP="00F318A9">
            <w:pPr>
              <w:jc w:val="center"/>
              <w:rPr>
                <w:rFonts w:ascii="Arial" w:hAnsi="Arial"/>
                <w:sz w:val="14"/>
              </w:rPr>
            </w:pPr>
          </w:p>
        </w:tc>
        <w:tc>
          <w:tcPr>
            <w:tcW w:w="97" w:type="pct"/>
            <w:vAlign w:val="center"/>
          </w:tcPr>
          <w:p w14:paraId="308586E7" w14:textId="77777777" w:rsidR="00F318A9" w:rsidRPr="00E123C3" w:rsidRDefault="00F318A9" w:rsidP="00F318A9">
            <w:pPr>
              <w:jc w:val="center"/>
              <w:rPr>
                <w:rFonts w:ascii="Arial" w:hAnsi="Arial"/>
                <w:sz w:val="14"/>
              </w:rPr>
            </w:pPr>
          </w:p>
        </w:tc>
        <w:tc>
          <w:tcPr>
            <w:tcW w:w="120" w:type="pct"/>
            <w:vAlign w:val="center"/>
          </w:tcPr>
          <w:p w14:paraId="0D950CCF" w14:textId="77777777" w:rsidR="00F318A9" w:rsidRPr="00E123C3" w:rsidRDefault="00F318A9" w:rsidP="00F318A9">
            <w:pPr>
              <w:jc w:val="center"/>
              <w:rPr>
                <w:rFonts w:ascii="Arial" w:hAnsi="Arial"/>
                <w:sz w:val="14"/>
              </w:rPr>
            </w:pPr>
          </w:p>
        </w:tc>
        <w:tc>
          <w:tcPr>
            <w:tcW w:w="120" w:type="pct"/>
            <w:vAlign w:val="center"/>
          </w:tcPr>
          <w:p w14:paraId="2A192037" w14:textId="77777777" w:rsidR="00F318A9" w:rsidRPr="00E123C3" w:rsidRDefault="00F318A9" w:rsidP="00F318A9">
            <w:pPr>
              <w:jc w:val="center"/>
              <w:rPr>
                <w:rFonts w:ascii="Arial" w:hAnsi="Arial"/>
                <w:sz w:val="14"/>
              </w:rPr>
            </w:pPr>
          </w:p>
        </w:tc>
        <w:tc>
          <w:tcPr>
            <w:tcW w:w="120" w:type="pct"/>
            <w:vAlign w:val="center"/>
          </w:tcPr>
          <w:p w14:paraId="20F5AE9B" w14:textId="77777777" w:rsidR="00F318A9" w:rsidRPr="00E123C3" w:rsidRDefault="00F318A9" w:rsidP="00F318A9">
            <w:pPr>
              <w:jc w:val="center"/>
              <w:rPr>
                <w:rFonts w:ascii="Arial" w:hAnsi="Arial"/>
                <w:sz w:val="14"/>
              </w:rPr>
            </w:pPr>
          </w:p>
        </w:tc>
        <w:tc>
          <w:tcPr>
            <w:tcW w:w="120" w:type="pct"/>
            <w:vAlign w:val="center"/>
          </w:tcPr>
          <w:p w14:paraId="0C3834DF" w14:textId="77777777" w:rsidR="00F318A9" w:rsidRPr="00E123C3" w:rsidRDefault="00F318A9" w:rsidP="00F318A9">
            <w:pPr>
              <w:jc w:val="center"/>
              <w:rPr>
                <w:rFonts w:ascii="Arial" w:hAnsi="Arial"/>
                <w:sz w:val="14"/>
              </w:rPr>
            </w:pPr>
          </w:p>
        </w:tc>
        <w:tc>
          <w:tcPr>
            <w:tcW w:w="120" w:type="pct"/>
            <w:vAlign w:val="center"/>
          </w:tcPr>
          <w:p w14:paraId="63510A34" w14:textId="77777777" w:rsidR="00F318A9" w:rsidRPr="00E123C3" w:rsidRDefault="00F318A9" w:rsidP="00F318A9">
            <w:pPr>
              <w:jc w:val="center"/>
              <w:rPr>
                <w:rFonts w:ascii="Arial" w:hAnsi="Arial"/>
                <w:sz w:val="14"/>
              </w:rPr>
            </w:pPr>
          </w:p>
        </w:tc>
        <w:tc>
          <w:tcPr>
            <w:tcW w:w="120" w:type="pct"/>
            <w:vAlign w:val="center"/>
          </w:tcPr>
          <w:p w14:paraId="370159C3" w14:textId="77777777" w:rsidR="00F318A9" w:rsidRPr="00E123C3" w:rsidRDefault="00F318A9" w:rsidP="00F318A9">
            <w:pPr>
              <w:jc w:val="center"/>
              <w:rPr>
                <w:rFonts w:ascii="Arial" w:hAnsi="Arial"/>
                <w:sz w:val="14"/>
              </w:rPr>
            </w:pPr>
          </w:p>
        </w:tc>
        <w:tc>
          <w:tcPr>
            <w:tcW w:w="120" w:type="pct"/>
            <w:vAlign w:val="center"/>
          </w:tcPr>
          <w:p w14:paraId="49DD64C2"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4D6F34ED" w14:textId="77777777" w:rsidR="00F318A9" w:rsidRPr="00E123C3" w:rsidRDefault="00F318A9" w:rsidP="00F318A9">
            <w:pPr>
              <w:jc w:val="center"/>
              <w:rPr>
                <w:rFonts w:ascii="Arial" w:hAnsi="Arial"/>
                <w:sz w:val="14"/>
              </w:rPr>
            </w:pPr>
          </w:p>
        </w:tc>
        <w:tc>
          <w:tcPr>
            <w:tcW w:w="109" w:type="pct"/>
            <w:shd w:val="clear" w:color="auto" w:fill="C5E0B3" w:themeFill="accent6" w:themeFillTint="66"/>
            <w:vAlign w:val="center"/>
          </w:tcPr>
          <w:p w14:paraId="3E4E48C1"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5C49FA17"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vAlign w:val="center"/>
          </w:tcPr>
          <w:p w14:paraId="1D0C265D" w14:textId="77777777" w:rsidR="00F318A9" w:rsidRPr="00E123C3" w:rsidRDefault="00F318A9" w:rsidP="00F318A9">
            <w:pPr>
              <w:jc w:val="center"/>
              <w:rPr>
                <w:rFonts w:ascii="Arial" w:hAnsi="Arial"/>
                <w:sz w:val="14"/>
              </w:rPr>
            </w:pPr>
          </w:p>
        </w:tc>
        <w:tc>
          <w:tcPr>
            <w:tcW w:w="120" w:type="pct"/>
            <w:vAlign w:val="center"/>
          </w:tcPr>
          <w:p w14:paraId="762887BD" w14:textId="77777777" w:rsidR="00F318A9" w:rsidRPr="00E123C3" w:rsidRDefault="00F318A9" w:rsidP="00F318A9">
            <w:pPr>
              <w:jc w:val="center"/>
              <w:rPr>
                <w:rFonts w:ascii="Arial" w:hAnsi="Arial"/>
                <w:sz w:val="14"/>
              </w:rPr>
            </w:pPr>
          </w:p>
        </w:tc>
        <w:tc>
          <w:tcPr>
            <w:tcW w:w="120" w:type="pct"/>
            <w:vAlign w:val="center"/>
          </w:tcPr>
          <w:p w14:paraId="0BEC4238" w14:textId="77777777" w:rsidR="00F318A9" w:rsidRPr="00E123C3" w:rsidRDefault="00F318A9" w:rsidP="00F318A9">
            <w:pPr>
              <w:jc w:val="center"/>
              <w:rPr>
                <w:rFonts w:ascii="Arial" w:hAnsi="Arial"/>
                <w:sz w:val="14"/>
              </w:rPr>
            </w:pPr>
          </w:p>
        </w:tc>
        <w:tc>
          <w:tcPr>
            <w:tcW w:w="120" w:type="pct"/>
            <w:vAlign w:val="center"/>
          </w:tcPr>
          <w:p w14:paraId="01B508D5" w14:textId="77777777" w:rsidR="00F318A9" w:rsidRPr="00E123C3" w:rsidRDefault="00F318A9" w:rsidP="00F318A9">
            <w:pPr>
              <w:jc w:val="center"/>
              <w:rPr>
                <w:rFonts w:ascii="Arial" w:hAnsi="Arial"/>
                <w:sz w:val="14"/>
              </w:rPr>
            </w:pPr>
          </w:p>
        </w:tc>
      </w:tr>
      <w:tr w:rsidR="00F318A9" w:rsidRPr="00E123C3" w14:paraId="49F146A0" w14:textId="77777777" w:rsidTr="00F318A9">
        <w:trPr>
          <w:trHeight w:val="184"/>
          <w:jc w:val="center"/>
        </w:trPr>
        <w:tc>
          <w:tcPr>
            <w:tcW w:w="408" w:type="pct"/>
            <w:vMerge/>
          </w:tcPr>
          <w:p w14:paraId="0FD3F1E2" w14:textId="77777777" w:rsidR="00F318A9" w:rsidRPr="00E123C3" w:rsidRDefault="00F318A9" w:rsidP="00F318A9">
            <w:pPr>
              <w:rPr>
                <w:rFonts w:ascii="Arial" w:hAnsi="Arial"/>
                <w:sz w:val="14"/>
              </w:rPr>
            </w:pPr>
          </w:p>
        </w:tc>
        <w:tc>
          <w:tcPr>
            <w:tcW w:w="408" w:type="pct"/>
            <w:vMerge/>
          </w:tcPr>
          <w:p w14:paraId="50F3235F" w14:textId="77777777" w:rsidR="00F318A9" w:rsidRPr="00E123C3" w:rsidRDefault="00F318A9" w:rsidP="00F318A9">
            <w:pPr>
              <w:rPr>
                <w:rFonts w:ascii="Arial" w:hAnsi="Arial"/>
                <w:sz w:val="14"/>
              </w:rPr>
            </w:pPr>
          </w:p>
        </w:tc>
        <w:tc>
          <w:tcPr>
            <w:tcW w:w="459" w:type="pct"/>
            <w:vMerge/>
          </w:tcPr>
          <w:p w14:paraId="1AA0DD2A" w14:textId="77777777" w:rsidR="00F318A9" w:rsidRPr="00E123C3" w:rsidRDefault="00F318A9" w:rsidP="00F318A9">
            <w:pPr>
              <w:rPr>
                <w:rFonts w:ascii="Arial" w:hAnsi="Arial"/>
                <w:sz w:val="14"/>
              </w:rPr>
            </w:pPr>
          </w:p>
        </w:tc>
        <w:tc>
          <w:tcPr>
            <w:tcW w:w="557" w:type="pct"/>
            <w:vMerge/>
          </w:tcPr>
          <w:p w14:paraId="28514C15" w14:textId="77777777" w:rsidR="00F318A9" w:rsidRPr="00E123C3" w:rsidRDefault="00F318A9" w:rsidP="00F318A9">
            <w:pPr>
              <w:rPr>
                <w:rFonts w:ascii="Arial" w:hAnsi="Arial"/>
                <w:sz w:val="14"/>
              </w:rPr>
            </w:pPr>
          </w:p>
        </w:tc>
        <w:tc>
          <w:tcPr>
            <w:tcW w:w="1090" w:type="pct"/>
          </w:tcPr>
          <w:p w14:paraId="51E08178" w14:textId="77777777" w:rsidR="00F318A9" w:rsidRPr="00D554F6" w:rsidRDefault="00F318A9" w:rsidP="00F318A9">
            <w:pPr>
              <w:rPr>
                <w:rFonts w:ascii="Arial" w:hAnsi="Arial"/>
                <w:b/>
                <w:sz w:val="14"/>
              </w:rPr>
            </w:pPr>
            <w:r w:rsidRPr="00D554F6">
              <w:rPr>
                <w:rFonts w:ascii="Arial" w:hAnsi="Arial"/>
                <w:b/>
                <w:sz w:val="14"/>
              </w:rPr>
              <w:t>Output 3.</w:t>
            </w:r>
            <w:r>
              <w:rPr>
                <w:rFonts w:ascii="Arial" w:hAnsi="Arial"/>
                <w:b/>
                <w:sz w:val="14"/>
              </w:rPr>
              <w:t>2</w:t>
            </w:r>
            <w:r w:rsidRPr="00D554F6">
              <w:rPr>
                <w:rFonts w:ascii="Arial" w:hAnsi="Arial"/>
                <w:b/>
                <w:sz w:val="14"/>
              </w:rPr>
              <w:t xml:space="preserve">: Technical Committee for </w:t>
            </w:r>
            <w:r>
              <w:rPr>
                <w:rFonts w:ascii="Arial" w:hAnsi="Arial"/>
                <w:b/>
                <w:sz w:val="14"/>
              </w:rPr>
              <w:t>DTs</w:t>
            </w:r>
            <w:r w:rsidRPr="00D554F6">
              <w:rPr>
                <w:rFonts w:ascii="Arial" w:hAnsi="Arial"/>
                <w:b/>
                <w:sz w:val="14"/>
              </w:rPr>
              <w:t xml:space="preserve"> (TC-</w:t>
            </w:r>
            <w:r>
              <w:rPr>
                <w:rFonts w:ascii="Arial" w:hAnsi="Arial"/>
                <w:b/>
                <w:sz w:val="14"/>
              </w:rPr>
              <w:t>DTs</w:t>
            </w:r>
            <w:r w:rsidRPr="00D554F6">
              <w:rPr>
                <w:rFonts w:ascii="Arial" w:hAnsi="Arial"/>
                <w:b/>
                <w:sz w:val="14"/>
              </w:rPr>
              <w:t xml:space="preserve">) provides forum for effective </w:t>
            </w:r>
            <w:r w:rsidRPr="00D554F6">
              <w:rPr>
                <w:rFonts w:ascii="Arial" w:hAnsi="Arial"/>
                <w:b/>
                <w:sz w:val="14"/>
              </w:rPr>
              <w:lastRenderedPageBreak/>
              <w:t>adoption of the national testing standard and periodic participatory reviews</w:t>
            </w:r>
          </w:p>
          <w:p w14:paraId="2CD3A925" w14:textId="77777777" w:rsidR="00F318A9" w:rsidRDefault="00F318A9" w:rsidP="00F318A9">
            <w:pPr>
              <w:rPr>
                <w:rFonts w:ascii="Arial" w:hAnsi="Arial"/>
                <w:sz w:val="14"/>
              </w:rPr>
            </w:pPr>
          </w:p>
          <w:p w14:paraId="4F0CAE08" w14:textId="77777777" w:rsidR="00F318A9" w:rsidRPr="00E123C3" w:rsidRDefault="00F318A9" w:rsidP="00F318A9">
            <w:pPr>
              <w:rPr>
                <w:rFonts w:ascii="Arial" w:hAnsi="Arial"/>
                <w:sz w:val="14"/>
              </w:rPr>
            </w:pPr>
            <w:r w:rsidRPr="00E123C3">
              <w:rPr>
                <w:rFonts w:ascii="Arial" w:hAnsi="Arial"/>
                <w:sz w:val="14"/>
              </w:rPr>
              <w:t>Activity 3.2.1: Form distribution transformers Technical Committee (TC-DT) with strategic stakeholders; the TC-DT will be hosted by the ZABS and report to the PWG</w:t>
            </w:r>
          </w:p>
          <w:p w14:paraId="347D4E96" w14:textId="77777777" w:rsidR="00F318A9" w:rsidRPr="00E123C3" w:rsidRDefault="00F318A9" w:rsidP="00F318A9">
            <w:pPr>
              <w:rPr>
                <w:rFonts w:ascii="Arial" w:hAnsi="Arial"/>
                <w:sz w:val="14"/>
              </w:rPr>
            </w:pPr>
          </w:p>
          <w:p w14:paraId="463C96A0" w14:textId="77777777" w:rsidR="00F318A9" w:rsidRPr="00E123C3" w:rsidRDefault="00F318A9" w:rsidP="00F318A9">
            <w:pPr>
              <w:rPr>
                <w:rFonts w:ascii="Arial" w:hAnsi="Arial"/>
                <w:sz w:val="14"/>
              </w:rPr>
            </w:pPr>
            <w:r w:rsidRPr="00E123C3">
              <w:rPr>
                <w:rFonts w:ascii="Arial" w:hAnsi="Arial"/>
                <w:sz w:val="14"/>
              </w:rPr>
              <w:t xml:space="preserve">Deliverable 3.2.1: TORs of the TC-DT, list of TC-DT members </w:t>
            </w:r>
          </w:p>
        </w:tc>
        <w:tc>
          <w:tcPr>
            <w:tcW w:w="97" w:type="pct"/>
            <w:vAlign w:val="center"/>
          </w:tcPr>
          <w:p w14:paraId="1D6B5291" w14:textId="77777777" w:rsidR="00F318A9" w:rsidRPr="00E123C3" w:rsidRDefault="00F318A9" w:rsidP="00F318A9">
            <w:pPr>
              <w:jc w:val="center"/>
              <w:rPr>
                <w:rFonts w:ascii="Arial" w:hAnsi="Arial"/>
                <w:sz w:val="14"/>
              </w:rPr>
            </w:pPr>
          </w:p>
        </w:tc>
        <w:tc>
          <w:tcPr>
            <w:tcW w:w="97" w:type="pct"/>
            <w:vAlign w:val="center"/>
          </w:tcPr>
          <w:p w14:paraId="394B415E"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171791F0" w14:textId="77777777" w:rsidR="00F318A9" w:rsidRPr="00E123C3" w:rsidRDefault="00F318A9" w:rsidP="00F318A9">
            <w:pPr>
              <w:jc w:val="center"/>
              <w:rPr>
                <w:rFonts w:ascii="Arial" w:hAnsi="Arial"/>
                <w:sz w:val="14"/>
              </w:rPr>
            </w:pPr>
          </w:p>
        </w:tc>
        <w:tc>
          <w:tcPr>
            <w:tcW w:w="97" w:type="pct"/>
            <w:shd w:val="clear" w:color="auto" w:fill="C5E0B3" w:themeFill="accent6" w:themeFillTint="66"/>
            <w:vAlign w:val="center"/>
          </w:tcPr>
          <w:p w14:paraId="7E464F0B"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6A53554D"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shd w:val="clear" w:color="auto" w:fill="auto"/>
            <w:vAlign w:val="center"/>
          </w:tcPr>
          <w:p w14:paraId="19FC5200" w14:textId="77777777" w:rsidR="00F318A9" w:rsidRPr="00E123C3" w:rsidRDefault="00F318A9" w:rsidP="00F318A9">
            <w:pPr>
              <w:jc w:val="center"/>
              <w:rPr>
                <w:rFonts w:ascii="Arial" w:hAnsi="Arial"/>
                <w:sz w:val="14"/>
              </w:rPr>
            </w:pPr>
          </w:p>
        </w:tc>
        <w:tc>
          <w:tcPr>
            <w:tcW w:w="120" w:type="pct"/>
            <w:shd w:val="clear" w:color="auto" w:fill="auto"/>
            <w:vAlign w:val="center"/>
          </w:tcPr>
          <w:p w14:paraId="7FE29A78" w14:textId="77777777" w:rsidR="00F318A9" w:rsidRPr="00E123C3" w:rsidRDefault="00F318A9" w:rsidP="00F318A9">
            <w:pPr>
              <w:jc w:val="center"/>
              <w:rPr>
                <w:rFonts w:ascii="Arial" w:hAnsi="Arial"/>
                <w:sz w:val="14"/>
              </w:rPr>
            </w:pPr>
          </w:p>
        </w:tc>
        <w:tc>
          <w:tcPr>
            <w:tcW w:w="120" w:type="pct"/>
            <w:shd w:val="clear" w:color="auto" w:fill="auto"/>
            <w:vAlign w:val="center"/>
          </w:tcPr>
          <w:p w14:paraId="334CF0F2" w14:textId="77777777" w:rsidR="00F318A9" w:rsidRPr="00E123C3" w:rsidRDefault="00F318A9" w:rsidP="00F318A9">
            <w:pPr>
              <w:jc w:val="center"/>
              <w:rPr>
                <w:rFonts w:ascii="Arial" w:hAnsi="Arial"/>
                <w:sz w:val="14"/>
              </w:rPr>
            </w:pPr>
          </w:p>
        </w:tc>
        <w:tc>
          <w:tcPr>
            <w:tcW w:w="120" w:type="pct"/>
            <w:shd w:val="clear" w:color="auto" w:fill="auto"/>
            <w:vAlign w:val="center"/>
          </w:tcPr>
          <w:p w14:paraId="29C4376D" w14:textId="77777777" w:rsidR="00F318A9" w:rsidRPr="00E123C3" w:rsidRDefault="00F318A9" w:rsidP="00F318A9">
            <w:pPr>
              <w:jc w:val="center"/>
              <w:rPr>
                <w:rFonts w:ascii="Arial" w:hAnsi="Arial"/>
                <w:sz w:val="14"/>
              </w:rPr>
            </w:pPr>
          </w:p>
        </w:tc>
        <w:tc>
          <w:tcPr>
            <w:tcW w:w="120" w:type="pct"/>
            <w:shd w:val="clear" w:color="auto" w:fill="auto"/>
            <w:vAlign w:val="center"/>
          </w:tcPr>
          <w:p w14:paraId="678F1D52" w14:textId="77777777" w:rsidR="00F318A9" w:rsidRPr="00E123C3" w:rsidRDefault="00F318A9" w:rsidP="00F318A9">
            <w:pPr>
              <w:jc w:val="center"/>
              <w:rPr>
                <w:rFonts w:ascii="Arial" w:hAnsi="Arial"/>
                <w:sz w:val="14"/>
              </w:rPr>
            </w:pPr>
          </w:p>
        </w:tc>
        <w:tc>
          <w:tcPr>
            <w:tcW w:w="120" w:type="pct"/>
            <w:shd w:val="clear" w:color="auto" w:fill="auto"/>
            <w:vAlign w:val="center"/>
          </w:tcPr>
          <w:p w14:paraId="7864D2FD" w14:textId="77777777" w:rsidR="00F318A9" w:rsidRPr="00E123C3" w:rsidRDefault="00F318A9" w:rsidP="00F318A9">
            <w:pPr>
              <w:jc w:val="center"/>
              <w:rPr>
                <w:rFonts w:ascii="Arial" w:hAnsi="Arial"/>
                <w:sz w:val="14"/>
              </w:rPr>
            </w:pPr>
          </w:p>
        </w:tc>
        <w:tc>
          <w:tcPr>
            <w:tcW w:w="120" w:type="pct"/>
            <w:vAlign w:val="center"/>
          </w:tcPr>
          <w:p w14:paraId="4EFF2BF2" w14:textId="77777777" w:rsidR="00F318A9" w:rsidRPr="00E123C3" w:rsidRDefault="00F318A9" w:rsidP="00F318A9">
            <w:pPr>
              <w:jc w:val="center"/>
              <w:rPr>
                <w:rFonts w:ascii="Arial" w:hAnsi="Arial"/>
                <w:sz w:val="14"/>
              </w:rPr>
            </w:pPr>
          </w:p>
        </w:tc>
        <w:tc>
          <w:tcPr>
            <w:tcW w:w="109" w:type="pct"/>
            <w:vAlign w:val="center"/>
          </w:tcPr>
          <w:p w14:paraId="2E45BC74" w14:textId="77777777" w:rsidR="00F318A9" w:rsidRPr="00E123C3" w:rsidRDefault="00F318A9" w:rsidP="00F318A9">
            <w:pPr>
              <w:jc w:val="center"/>
              <w:rPr>
                <w:rFonts w:ascii="Arial" w:hAnsi="Arial"/>
                <w:sz w:val="14"/>
              </w:rPr>
            </w:pPr>
          </w:p>
        </w:tc>
        <w:tc>
          <w:tcPr>
            <w:tcW w:w="120" w:type="pct"/>
            <w:vAlign w:val="center"/>
          </w:tcPr>
          <w:p w14:paraId="445B8A4D" w14:textId="77777777" w:rsidR="00F318A9" w:rsidRPr="00E123C3" w:rsidRDefault="00F318A9" w:rsidP="00F318A9">
            <w:pPr>
              <w:jc w:val="center"/>
              <w:rPr>
                <w:rFonts w:ascii="Arial" w:hAnsi="Arial"/>
                <w:sz w:val="14"/>
              </w:rPr>
            </w:pPr>
          </w:p>
        </w:tc>
        <w:tc>
          <w:tcPr>
            <w:tcW w:w="120" w:type="pct"/>
            <w:vAlign w:val="center"/>
          </w:tcPr>
          <w:p w14:paraId="06D595DA" w14:textId="77777777" w:rsidR="00F318A9" w:rsidRPr="00E123C3" w:rsidRDefault="00F318A9" w:rsidP="00F318A9">
            <w:pPr>
              <w:jc w:val="center"/>
              <w:rPr>
                <w:rFonts w:ascii="Arial" w:hAnsi="Arial"/>
                <w:sz w:val="14"/>
              </w:rPr>
            </w:pPr>
          </w:p>
        </w:tc>
        <w:tc>
          <w:tcPr>
            <w:tcW w:w="120" w:type="pct"/>
            <w:vAlign w:val="center"/>
          </w:tcPr>
          <w:p w14:paraId="4AE2728F" w14:textId="77777777" w:rsidR="00F318A9" w:rsidRPr="00E123C3" w:rsidRDefault="00F318A9" w:rsidP="00F318A9">
            <w:pPr>
              <w:jc w:val="center"/>
              <w:rPr>
                <w:rFonts w:ascii="Arial" w:hAnsi="Arial"/>
                <w:sz w:val="14"/>
              </w:rPr>
            </w:pPr>
          </w:p>
        </w:tc>
        <w:tc>
          <w:tcPr>
            <w:tcW w:w="120" w:type="pct"/>
            <w:vAlign w:val="center"/>
          </w:tcPr>
          <w:p w14:paraId="6C51B1C9" w14:textId="77777777" w:rsidR="00F318A9" w:rsidRPr="00E123C3" w:rsidRDefault="00F318A9" w:rsidP="00F318A9">
            <w:pPr>
              <w:jc w:val="center"/>
              <w:rPr>
                <w:rFonts w:ascii="Arial" w:hAnsi="Arial"/>
                <w:sz w:val="14"/>
              </w:rPr>
            </w:pPr>
          </w:p>
        </w:tc>
        <w:tc>
          <w:tcPr>
            <w:tcW w:w="120" w:type="pct"/>
            <w:vAlign w:val="center"/>
          </w:tcPr>
          <w:p w14:paraId="151E640F" w14:textId="77777777" w:rsidR="00F318A9" w:rsidRPr="00E123C3" w:rsidRDefault="00F318A9" w:rsidP="00F318A9">
            <w:pPr>
              <w:jc w:val="center"/>
              <w:rPr>
                <w:rFonts w:ascii="Arial" w:hAnsi="Arial"/>
                <w:sz w:val="14"/>
              </w:rPr>
            </w:pPr>
          </w:p>
        </w:tc>
      </w:tr>
      <w:tr w:rsidR="00F318A9" w:rsidRPr="00E123C3" w14:paraId="2B9B5DFA" w14:textId="77777777" w:rsidTr="00F318A9">
        <w:trPr>
          <w:trHeight w:val="184"/>
          <w:jc w:val="center"/>
        </w:trPr>
        <w:tc>
          <w:tcPr>
            <w:tcW w:w="408" w:type="pct"/>
            <w:vMerge/>
          </w:tcPr>
          <w:p w14:paraId="482F4449" w14:textId="77777777" w:rsidR="00F318A9" w:rsidRPr="00E123C3" w:rsidRDefault="00F318A9" w:rsidP="00F318A9">
            <w:pPr>
              <w:rPr>
                <w:rFonts w:ascii="Arial" w:hAnsi="Arial"/>
                <w:sz w:val="14"/>
              </w:rPr>
            </w:pPr>
          </w:p>
        </w:tc>
        <w:tc>
          <w:tcPr>
            <w:tcW w:w="408" w:type="pct"/>
            <w:vMerge/>
          </w:tcPr>
          <w:p w14:paraId="585B8E64" w14:textId="77777777" w:rsidR="00F318A9" w:rsidRPr="00E123C3" w:rsidRDefault="00F318A9" w:rsidP="00F318A9">
            <w:pPr>
              <w:rPr>
                <w:rFonts w:ascii="Arial" w:hAnsi="Arial"/>
                <w:sz w:val="14"/>
              </w:rPr>
            </w:pPr>
          </w:p>
        </w:tc>
        <w:tc>
          <w:tcPr>
            <w:tcW w:w="459" w:type="pct"/>
            <w:vMerge/>
          </w:tcPr>
          <w:p w14:paraId="4B72856B" w14:textId="77777777" w:rsidR="00F318A9" w:rsidRPr="00E123C3" w:rsidRDefault="00F318A9" w:rsidP="00F318A9">
            <w:pPr>
              <w:rPr>
                <w:rFonts w:ascii="Arial" w:hAnsi="Arial"/>
                <w:sz w:val="14"/>
              </w:rPr>
            </w:pPr>
          </w:p>
        </w:tc>
        <w:tc>
          <w:tcPr>
            <w:tcW w:w="557" w:type="pct"/>
            <w:vMerge/>
          </w:tcPr>
          <w:p w14:paraId="037533B7" w14:textId="77777777" w:rsidR="00F318A9" w:rsidRPr="00E123C3" w:rsidRDefault="00F318A9" w:rsidP="00F318A9">
            <w:pPr>
              <w:rPr>
                <w:rFonts w:ascii="Arial" w:hAnsi="Arial"/>
                <w:sz w:val="14"/>
              </w:rPr>
            </w:pPr>
          </w:p>
        </w:tc>
        <w:tc>
          <w:tcPr>
            <w:tcW w:w="1090" w:type="pct"/>
          </w:tcPr>
          <w:p w14:paraId="424D9ECA" w14:textId="77777777" w:rsidR="00F318A9" w:rsidRPr="00E123C3" w:rsidRDefault="00F318A9" w:rsidP="00F318A9">
            <w:pPr>
              <w:rPr>
                <w:rFonts w:ascii="Arial" w:hAnsi="Arial"/>
                <w:sz w:val="14"/>
              </w:rPr>
            </w:pPr>
            <w:r w:rsidRPr="00E123C3">
              <w:rPr>
                <w:rFonts w:ascii="Arial" w:hAnsi="Arial"/>
                <w:sz w:val="14"/>
              </w:rPr>
              <w:t>Activity 3.2.2: Organize three (3) meetings of the TC-DT with support from technical expert. The technical expert will be sub-contracted and guide the work of the TC-DT. A critical element of the work of the TC-DT will be the analysis of international standard IEC60078 and any other appropriate standards and how they fit with the national conditions, including alignment with major origin of imports.</w:t>
            </w:r>
          </w:p>
          <w:p w14:paraId="36D184C6" w14:textId="77777777" w:rsidR="00F318A9" w:rsidRPr="00E123C3" w:rsidRDefault="00F318A9" w:rsidP="00F318A9">
            <w:pPr>
              <w:rPr>
                <w:rFonts w:ascii="Arial" w:hAnsi="Arial"/>
                <w:sz w:val="14"/>
              </w:rPr>
            </w:pPr>
          </w:p>
          <w:p w14:paraId="1EDF6E28" w14:textId="77777777" w:rsidR="00F318A9" w:rsidRPr="00E123C3" w:rsidRDefault="00F318A9" w:rsidP="00F318A9">
            <w:pPr>
              <w:rPr>
                <w:rFonts w:ascii="Arial" w:hAnsi="Arial"/>
                <w:sz w:val="14"/>
              </w:rPr>
            </w:pPr>
            <w:r w:rsidRPr="00E123C3">
              <w:rPr>
                <w:rFonts w:ascii="Arial" w:hAnsi="Arial"/>
                <w:sz w:val="14"/>
              </w:rPr>
              <w:t>Deliverable 3.2.2: draft national standard ready for public consultation</w:t>
            </w:r>
          </w:p>
        </w:tc>
        <w:tc>
          <w:tcPr>
            <w:tcW w:w="97" w:type="pct"/>
            <w:vAlign w:val="center"/>
          </w:tcPr>
          <w:p w14:paraId="7C91C048" w14:textId="77777777" w:rsidR="00F318A9" w:rsidRPr="00E123C3" w:rsidRDefault="00F318A9" w:rsidP="00F318A9">
            <w:pPr>
              <w:jc w:val="center"/>
              <w:rPr>
                <w:rFonts w:ascii="Arial" w:hAnsi="Arial"/>
                <w:sz w:val="14"/>
              </w:rPr>
            </w:pPr>
          </w:p>
        </w:tc>
        <w:tc>
          <w:tcPr>
            <w:tcW w:w="97" w:type="pct"/>
            <w:vAlign w:val="center"/>
          </w:tcPr>
          <w:p w14:paraId="7E8A7C7E" w14:textId="77777777" w:rsidR="00F318A9" w:rsidRPr="00E123C3" w:rsidRDefault="00F318A9" w:rsidP="00F318A9">
            <w:pPr>
              <w:jc w:val="center"/>
              <w:rPr>
                <w:rFonts w:ascii="Arial" w:hAnsi="Arial"/>
                <w:sz w:val="14"/>
              </w:rPr>
            </w:pPr>
          </w:p>
        </w:tc>
        <w:tc>
          <w:tcPr>
            <w:tcW w:w="120" w:type="pct"/>
            <w:vAlign w:val="center"/>
          </w:tcPr>
          <w:p w14:paraId="21D6F52C" w14:textId="77777777" w:rsidR="00F318A9" w:rsidRPr="00E123C3" w:rsidRDefault="00F318A9" w:rsidP="00F318A9">
            <w:pPr>
              <w:jc w:val="center"/>
              <w:rPr>
                <w:rFonts w:ascii="Arial" w:hAnsi="Arial"/>
                <w:sz w:val="14"/>
              </w:rPr>
            </w:pPr>
          </w:p>
        </w:tc>
        <w:tc>
          <w:tcPr>
            <w:tcW w:w="97" w:type="pct"/>
            <w:shd w:val="clear" w:color="auto" w:fill="C5E0B3" w:themeFill="accent6" w:themeFillTint="66"/>
            <w:vAlign w:val="center"/>
          </w:tcPr>
          <w:p w14:paraId="4E885527"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5F378D89"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shd w:val="clear" w:color="auto" w:fill="C5E0B3" w:themeFill="accent6" w:themeFillTint="66"/>
            <w:vAlign w:val="center"/>
          </w:tcPr>
          <w:p w14:paraId="713DAED6"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6669416C"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shd w:val="clear" w:color="auto" w:fill="C5E0B3" w:themeFill="accent6" w:themeFillTint="66"/>
            <w:vAlign w:val="center"/>
          </w:tcPr>
          <w:p w14:paraId="6EFFCBD6"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663BB764"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shd w:val="clear" w:color="auto" w:fill="auto"/>
            <w:vAlign w:val="center"/>
          </w:tcPr>
          <w:p w14:paraId="1BF771D7" w14:textId="77777777" w:rsidR="00F318A9" w:rsidRPr="00E123C3" w:rsidRDefault="00F318A9" w:rsidP="00F318A9">
            <w:pPr>
              <w:jc w:val="center"/>
              <w:rPr>
                <w:rFonts w:ascii="Arial" w:hAnsi="Arial"/>
                <w:sz w:val="14"/>
              </w:rPr>
            </w:pPr>
          </w:p>
        </w:tc>
        <w:tc>
          <w:tcPr>
            <w:tcW w:w="120" w:type="pct"/>
            <w:shd w:val="clear" w:color="auto" w:fill="auto"/>
            <w:vAlign w:val="center"/>
          </w:tcPr>
          <w:p w14:paraId="7ED6F7E7" w14:textId="77777777" w:rsidR="00F318A9" w:rsidRPr="00E123C3" w:rsidRDefault="00F318A9" w:rsidP="00F318A9">
            <w:pPr>
              <w:jc w:val="center"/>
              <w:rPr>
                <w:rFonts w:ascii="Arial" w:hAnsi="Arial"/>
                <w:sz w:val="14"/>
              </w:rPr>
            </w:pPr>
          </w:p>
        </w:tc>
        <w:tc>
          <w:tcPr>
            <w:tcW w:w="120" w:type="pct"/>
            <w:vAlign w:val="center"/>
          </w:tcPr>
          <w:p w14:paraId="17F15EF8" w14:textId="77777777" w:rsidR="00F318A9" w:rsidRPr="00E123C3" w:rsidRDefault="00F318A9" w:rsidP="00F318A9">
            <w:pPr>
              <w:jc w:val="center"/>
              <w:rPr>
                <w:rFonts w:ascii="Arial" w:hAnsi="Arial"/>
                <w:sz w:val="14"/>
              </w:rPr>
            </w:pPr>
          </w:p>
        </w:tc>
        <w:tc>
          <w:tcPr>
            <w:tcW w:w="109" w:type="pct"/>
            <w:vAlign w:val="center"/>
          </w:tcPr>
          <w:p w14:paraId="21D501EC" w14:textId="77777777" w:rsidR="00F318A9" w:rsidRPr="00E123C3" w:rsidRDefault="00F318A9" w:rsidP="00F318A9">
            <w:pPr>
              <w:jc w:val="center"/>
              <w:rPr>
                <w:rFonts w:ascii="Arial" w:hAnsi="Arial"/>
                <w:sz w:val="14"/>
              </w:rPr>
            </w:pPr>
          </w:p>
        </w:tc>
        <w:tc>
          <w:tcPr>
            <w:tcW w:w="120" w:type="pct"/>
            <w:vAlign w:val="center"/>
          </w:tcPr>
          <w:p w14:paraId="03B78C8F" w14:textId="77777777" w:rsidR="00F318A9" w:rsidRPr="00E123C3" w:rsidRDefault="00F318A9" w:rsidP="00F318A9">
            <w:pPr>
              <w:jc w:val="center"/>
              <w:rPr>
                <w:rFonts w:ascii="Arial" w:hAnsi="Arial"/>
                <w:sz w:val="14"/>
              </w:rPr>
            </w:pPr>
          </w:p>
        </w:tc>
        <w:tc>
          <w:tcPr>
            <w:tcW w:w="120" w:type="pct"/>
            <w:vAlign w:val="center"/>
          </w:tcPr>
          <w:p w14:paraId="33980AEA" w14:textId="77777777" w:rsidR="00F318A9" w:rsidRPr="00E123C3" w:rsidRDefault="00F318A9" w:rsidP="00F318A9">
            <w:pPr>
              <w:jc w:val="center"/>
              <w:rPr>
                <w:rFonts w:ascii="Arial" w:hAnsi="Arial"/>
                <w:sz w:val="14"/>
              </w:rPr>
            </w:pPr>
          </w:p>
        </w:tc>
        <w:tc>
          <w:tcPr>
            <w:tcW w:w="120" w:type="pct"/>
            <w:vAlign w:val="center"/>
          </w:tcPr>
          <w:p w14:paraId="6AE778FD" w14:textId="77777777" w:rsidR="00F318A9" w:rsidRPr="00E123C3" w:rsidRDefault="00F318A9" w:rsidP="00F318A9">
            <w:pPr>
              <w:jc w:val="center"/>
              <w:rPr>
                <w:rFonts w:ascii="Arial" w:hAnsi="Arial"/>
                <w:sz w:val="14"/>
              </w:rPr>
            </w:pPr>
          </w:p>
        </w:tc>
        <w:tc>
          <w:tcPr>
            <w:tcW w:w="120" w:type="pct"/>
            <w:vAlign w:val="center"/>
          </w:tcPr>
          <w:p w14:paraId="4D1974C6" w14:textId="77777777" w:rsidR="00F318A9" w:rsidRPr="00E123C3" w:rsidRDefault="00F318A9" w:rsidP="00F318A9">
            <w:pPr>
              <w:jc w:val="center"/>
              <w:rPr>
                <w:rFonts w:ascii="Arial" w:hAnsi="Arial"/>
                <w:sz w:val="14"/>
              </w:rPr>
            </w:pPr>
          </w:p>
        </w:tc>
        <w:tc>
          <w:tcPr>
            <w:tcW w:w="120" w:type="pct"/>
            <w:vAlign w:val="center"/>
          </w:tcPr>
          <w:p w14:paraId="64A1BB4D" w14:textId="77777777" w:rsidR="00F318A9" w:rsidRPr="00E123C3" w:rsidRDefault="00F318A9" w:rsidP="00F318A9">
            <w:pPr>
              <w:jc w:val="center"/>
              <w:rPr>
                <w:rFonts w:ascii="Arial" w:hAnsi="Arial"/>
                <w:sz w:val="14"/>
              </w:rPr>
            </w:pPr>
          </w:p>
        </w:tc>
      </w:tr>
      <w:tr w:rsidR="00F318A9" w:rsidRPr="00E123C3" w14:paraId="3D87931F" w14:textId="77777777" w:rsidTr="00F318A9">
        <w:trPr>
          <w:trHeight w:val="184"/>
          <w:jc w:val="center"/>
        </w:trPr>
        <w:tc>
          <w:tcPr>
            <w:tcW w:w="408" w:type="pct"/>
            <w:vMerge/>
          </w:tcPr>
          <w:p w14:paraId="027113F8" w14:textId="77777777" w:rsidR="00F318A9" w:rsidRPr="00E123C3" w:rsidRDefault="00F318A9" w:rsidP="00F318A9">
            <w:pPr>
              <w:rPr>
                <w:rFonts w:ascii="Arial" w:hAnsi="Arial"/>
                <w:sz w:val="14"/>
              </w:rPr>
            </w:pPr>
          </w:p>
        </w:tc>
        <w:tc>
          <w:tcPr>
            <w:tcW w:w="408" w:type="pct"/>
            <w:vMerge/>
          </w:tcPr>
          <w:p w14:paraId="4717C3E5" w14:textId="77777777" w:rsidR="00F318A9" w:rsidRPr="00E123C3" w:rsidRDefault="00F318A9" w:rsidP="00F318A9">
            <w:pPr>
              <w:rPr>
                <w:rFonts w:ascii="Arial" w:hAnsi="Arial"/>
                <w:sz w:val="14"/>
              </w:rPr>
            </w:pPr>
          </w:p>
        </w:tc>
        <w:tc>
          <w:tcPr>
            <w:tcW w:w="459" w:type="pct"/>
            <w:vMerge/>
          </w:tcPr>
          <w:p w14:paraId="75C307E0" w14:textId="77777777" w:rsidR="00F318A9" w:rsidRPr="00E123C3" w:rsidRDefault="00F318A9" w:rsidP="00F318A9">
            <w:pPr>
              <w:rPr>
                <w:rFonts w:ascii="Arial" w:hAnsi="Arial"/>
                <w:sz w:val="14"/>
              </w:rPr>
            </w:pPr>
          </w:p>
        </w:tc>
        <w:tc>
          <w:tcPr>
            <w:tcW w:w="557" w:type="pct"/>
            <w:vMerge/>
          </w:tcPr>
          <w:p w14:paraId="56120B7E" w14:textId="77777777" w:rsidR="00F318A9" w:rsidRPr="00E123C3" w:rsidRDefault="00F318A9" w:rsidP="00F318A9">
            <w:pPr>
              <w:rPr>
                <w:rFonts w:ascii="Arial" w:hAnsi="Arial"/>
                <w:sz w:val="14"/>
              </w:rPr>
            </w:pPr>
          </w:p>
        </w:tc>
        <w:tc>
          <w:tcPr>
            <w:tcW w:w="1090" w:type="pct"/>
          </w:tcPr>
          <w:p w14:paraId="0D4FC901" w14:textId="77777777" w:rsidR="00F318A9" w:rsidRPr="00E123C3" w:rsidRDefault="00F318A9" w:rsidP="00F318A9">
            <w:pPr>
              <w:rPr>
                <w:rFonts w:ascii="Arial" w:hAnsi="Arial"/>
                <w:sz w:val="14"/>
              </w:rPr>
            </w:pPr>
            <w:r w:rsidRPr="00E123C3">
              <w:rPr>
                <w:rFonts w:ascii="Arial" w:hAnsi="Arial"/>
                <w:sz w:val="14"/>
              </w:rPr>
              <w:t xml:space="preserve">Activity 3.2.3: Organize public consultation on the recommended draft national standard for DTs. This consultation will bring together representatives from the national electric utility, non-utility market players, </w:t>
            </w:r>
            <w:r w:rsidRPr="00E123C3">
              <w:rPr>
                <w:rFonts w:ascii="Arial" w:hAnsi="Arial" w:cs="Arial"/>
                <w:sz w:val="14"/>
                <w:szCs w:val="16"/>
              </w:rPr>
              <w:t>academia, and</w:t>
            </w:r>
            <w:r w:rsidRPr="00E123C3">
              <w:rPr>
                <w:rFonts w:ascii="Arial" w:hAnsi="Arial"/>
                <w:sz w:val="14"/>
              </w:rPr>
              <w:t xml:space="preserve"> local </w:t>
            </w:r>
            <w:r w:rsidRPr="00E123C3">
              <w:rPr>
                <w:rFonts w:ascii="Arial" w:hAnsi="Arial" w:cs="Arial"/>
                <w:sz w:val="14"/>
                <w:szCs w:val="16"/>
              </w:rPr>
              <w:t>manufacturers.</w:t>
            </w:r>
            <w:r w:rsidRPr="00E123C3">
              <w:rPr>
                <w:rFonts w:ascii="Arial" w:hAnsi="Arial"/>
                <w:sz w:val="14"/>
              </w:rPr>
              <w:t xml:space="preserve"> The consultation will last three (3) months, including a national stakeholders consultation workshop</w:t>
            </w:r>
          </w:p>
          <w:p w14:paraId="48DED1E0" w14:textId="77777777" w:rsidR="00F318A9" w:rsidRPr="00E123C3" w:rsidRDefault="00F318A9" w:rsidP="00F318A9">
            <w:pPr>
              <w:rPr>
                <w:rFonts w:ascii="Arial" w:hAnsi="Arial"/>
                <w:sz w:val="14"/>
              </w:rPr>
            </w:pPr>
          </w:p>
          <w:p w14:paraId="27266627" w14:textId="77777777" w:rsidR="00F318A9" w:rsidRPr="00E123C3" w:rsidRDefault="00F318A9" w:rsidP="00F318A9">
            <w:pPr>
              <w:rPr>
                <w:rFonts w:ascii="Arial" w:hAnsi="Arial"/>
                <w:sz w:val="14"/>
              </w:rPr>
            </w:pPr>
            <w:r w:rsidRPr="00E123C3">
              <w:rPr>
                <w:rFonts w:ascii="Arial" w:hAnsi="Arial"/>
                <w:sz w:val="14"/>
              </w:rPr>
              <w:t>Deliverable 3.2.3: national stakeholders consultation workshop and consultation report</w:t>
            </w:r>
          </w:p>
        </w:tc>
        <w:tc>
          <w:tcPr>
            <w:tcW w:w="97" w:type="pct"/>
            <w:vAlign w:val="center"/>
          </w:tcPr>
          <w:p w14:paraId="0729AF9A" w14:textId="77777777" w:rsidR="00F318A9" w:rsidRPr="00E123C3" w:rsidRDefault="00F318A9" w:rsidP="00F318A9">
            <w:pPr>
              <w:jc w:val="center"/>
              <w:rPr>
                <w:rFonts w:ascii="Arial" w:hAnsi="Arial"/>
                <w:sz w:val="14"/>
              </w:rPr>
            </w:pPr>
          </w:p>
        </w:tc>
        <w:tc>
          <w:tcPr>
            <w:tcW w:w="97" w:type="pct"/>
            <w:vAlign w:val="center"/>
          </w:tcPr>
          <w:p w14:paraId="65425AB8" w14:textId="77777777" w:rsidR="00F318A9" w:rsidRPr="00E123C3" w:rsidRDefault="00F318A9" w:rsidP="00F318A9">
            <w:pPr>
              <w:jc w:val="center"/>
              <w:rPr>
                <w:rFonts w:ascii="Arial" w:hAnsi="Arial"/>
                <w:sz w:val="14"/>
              </w:rPr>
            </w:pPr>
          </w:p>
        </w:tc>
        <w:tc>
          <w:tcPr>
            <w:tcW w:w="120" w:type="pct"/>
            <w:vAlign w:val="center"/>
          </w:tcPr>
          <w:p w14:paraId="3D9F3264" w14:textId="77777777" w:rsidR="00F318A9" w:rsidRPr="00E123C3" w:rsidRDefault="00F318A9" w:rsidP="00F318A9">
            <w:pPr>
              <w:jc w:val="center"/>
              <w:rPr>
                <w:rFonts w:ascii="Arial" w:hAnsi="Arial"/>
                <w:sz w:val="14"/>
              </w:rPr>
            </w:pPr>
          </w:p>
        </w:tc>
        <w:tc>
          <w:tcPr>
            <w:tcW w:w="97" w:type="pct"/>
            <w:shd w:val="clear" w:color="auto" w:fill="auto"/>
            <w:vAlign w:val="center"/>
          </w:tcPr>
          <w:p w14:paraId="1F5CEF3C" w14:textId="77777777" w:rsidR="00F318A9" w:rsidRPr="00E123C3" w:rsidRDefault="00F318A9" w:rsidP="00F318A9">
            <w:pPr>
              <w:jc w:val="center"/>
              <w:rPr>
                <w:rFonts w:ascii="Arial" w:hAnsi="Arial"/>
                <w:sz w:val="14"/>
              </w:rPr>
            </w:pPr>
          </w:p>
        </w:tc>
        <w:tc>
          <w:tcPr>
            <w:tcW w:w="120" w:type="pct"/>
            <w:shd w:val="clear" w:color="auto" w:fill="auto"/>
            <w:vAlign w:val="center"/>
          </w:tcPr>
          <w:p w14:paraId="4B52A085" w14:textId="77777777" w:rsidR="00F318A9" w:rsidRPr="00E123C3" w:rsidRDefault="00F318A9" w:rsidP="00F318A9">
            <w:pPr>
              <w:jc w:val="center"/>
              <w:rPr>
                <w:rFonts w:ascii="Arial" w:hAnsi="Arial"/>
                <w:sz w:val="14"/>
              </w:rPr>
            </w:pPr>
          </w:p>
        </w:tc>
        <w:tc>
          <w:tcPr>
            <w:tcW w:w="120" w:type="pct"/>
            <w:shd w:val="clear" w:color="auto" w:fill="auto"/>
            <w:vAlign w:val="center"/>
          </w:tcPr>
          <w:p w14:paraId="3BE4F259" w14:textId="77777777" w:rsidR="00F318A9" w:rsidRPr="00E123C3" w:rsidRDefault="00F318A9" w:rsidP="00F318A9">
            <w:pPr>
              <w:jc w:val="center"/>
              <w:rPr>
                <w:rFonts w:ascii="Arial" w:hAnsi="Arial"/>
                <w:sz w:val="14"/>
              </w:rPr>
            </w:pPr>
          </w:p>
        </w:tc>
        <w:tc>
          <w:tcPr>
            <w:tcW w:w="120" w:type="pct"/>
            <w:shd w:val="clear" w:color="auto" w:fill="auto"/>
            <w:vAlign w:val="center"/>
          </w:tcPr>
          <w:p w14:paraId="5932069D" w14:textId="77777777" w:rsidR="00F318A9" w:rsidRPr="00E123C3" w:rsidRDefault="00F318A9" w:rsidP="00F318A9">
            <w:pPr>
              <w:jc w:val="center"/>
              <w:rPr>
                <w:rFonts w:ascii="Arial" w:hAnsi="Arial"/>
                <w:sz w:val="14"/>
              </w:rPr>
            </w:pPr>
          </w:p>
        </w:tc>
        <w:tc>
          <w:tcPr>
            <w:tcW w:w="120" w:type="pct"/>
            <w:shd w:val="clear" w:color="auto" w:fill="auto"/>
            <w:vAlign w:val="center"/>
          </w:tcPr>
          <w:p w14:paraId="6F349D68"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50879FF5"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7E105989"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5447CD50"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619C494E" w14:textId="77777777" w:rsidR="00F318A9" w:rsidRPr="00E123C3" w:rsidRDefault="00F318A9" w:rsidP="00F318A9">
            <w:pPr>
              <w:jc w:val="center"/>
              <w:rPr>
                <w:rFonts w:ascii="Arial" w:hAnsi="Arial"/>
                <w:sz w:val="14"/>
              </w:rPr>
            </w:pPr>
            <w:r w:rsidRPr="00E123C3">
              <w:rPr>
                <w:rFonts w:ascii="Arial" w:hAnsi="Arial"/>
                <w:sz w:val="14"/>
              </w:rPr>
              <w:t>X</w:t>
            </w:r>
          </w:p>
        </w:tc>
        <w:tc>
          <w:tcPr>
            <w:tcW w:w="109" w:type="pct"/>
            <w:vAlign w:val="center"/>
          </w:tcPr>
          <w:p w14:paraId="43B52DF8" w14:textId="77777777" w:rsidR="00F318A9" w:rsidRPr="00E123C3" w:rsidRDefault="00F318A9" w:rsidP="00F318A9">
            <w:pPr>
              <w:jc w:val="center"/>
              <w:rPr>
                <w:rFonts w:ascii="Arial" w:hAnsi="Arial"/>
                <w:sz w:val="14"/>
              </w:rPr>
            </w:pPr>
          </w:p>
        </w:tc>
        <w:tc>
          <w:tcPr>
            <w:tcW w:w="120" w:type="pct"/>
            <w:vAlign w:val="center"/>
          </w:tcPr>
          <w:p w14:paraId="18B16DDF" w14:textId="77777777" w:rsidR="00F318A9" w:rsidRPr="00E123C3" w:rsidRDefault="00F318A9" w:rsidP="00F318A9">
            <w:pPr>
              <w:jc w:val="center"/>
              <w:rPr>
                <w:rFonts w:ascii="Arial" w:hAnsi="Arial"/>
                <w:sz w:val="14"/>
              </w:rPr>
            </w:pPr>
          </w:p>
        </w:tc>
        <w:tc>
          <w:tcPr>
            <w:tcW w:w="120" w:type="pct"/>
            <w:vAlign w:val="center"/>
          </w:tcPr>
          <w:p w14:paraId="69D0B144" w14:textId="77777777" w:rsidR="00F318A9" w:rsidRPr="00E123C3" w:rsidRDefault="00F318A9" w:rsidP="00F318A9">
            <w:pPr>
              <w:jc w:val="center"/>
              <w:rPr>
                <w:rFonts w:ascii="Arial" w:hAnsi="Arial"/>
                <w:sz w:val="14"/>
              </w:rPr>
            </w:pPr>
          </w:p>
        </w:tc>
        <w:tc>
          <w:tcPr>
            <w:tcW w:w="120" w:type="pct"/>
            <w:vAlign w:val="center"/>
          </w:tcPr>
          <w:p w14:paraId="062D72D2" w14:textId="77777777" w:rsidR="00F318A9" w:rsidRPr="00E123C3" w:rsidRDefault="00F318A9" w:rsidP="00F318A9">
            <w:pPr>
              <w:jc w:val="center"/>
              <w:rPr>
                <w:rFonts w:ascii="Arial" w:hAnsi="Arial"/>
                <w:sz w:val="14"/>
              </w:rPr>
            </w:pPr>
          </w:p>
        </w:tc>
        <w:tc>
          <w:tcPr>
            <w:tcW w:w="120" w:type="pct"/>
            <w:vAlign w:val="center"/>
          </w:tcPr>
          <w:p w14:paraId="189A9219" w14:textId="77777777" w:rsidR="00F318A9" w:rsidRPr="00E123C3" w:rsidRDefault="00F318A9" w:rsidP="00F318A9">
            <w:pPr>
              <w:jc w:val="center"/>
              <w:rPr>
                <w:rFonts w:ascii="Arial" w:hAnsi="Arial"/>
                <w:sz w:val="14"/>
              </w:rPr>
            </w:pPr>
          </w:p>
        </w:tc>
        <w:tc>
          <w:tcPr>
            <w:tcW w:w="120" w:type="pct"/>
            <w:vAlign w:val="center"/>
          </w:tcPr>
          <w:p w14:paraId="7CE37835" w14:textId="77777777" w:rsidR="00F318A9" w:rsidRPr="00E123C3" w:rsidRDefault="00F318A9" w:rsidP="00F318A9">
            <w:pPr>
              <w:jc w:val="center"/>
              <w:rPr>
                <w:rFonts w:ascii="Arial" w:hAnsi="Arial"/>
                <w:sz w:val="14"/>
              </w:rPr>
            </w:pPr>
          </w:p>
        </w:tc>
      </w:tr>
      <w:tr w:rsidR="00F318A9" w:rsidRPr="00E123C3" w14:paraId="4EC253A7" w14:textId="77777777" w:rsidTr="00F318A9">
        <w:trPr>
          <w:trHeight w:val="184"/>
          <w:jc w:val="center"/>
        </w:trPr>
        <w:tc>
          <w:tcPr>
            <w:tcW w:w="408" w:type="pct"/>
            <w:vMerge/>
          </w:tcPr>
          <w:p w14:paraId="1523EE7F" w14:textId="77777777" w:rsidR="00F318A9" w:rsidRPr="00E123C3" w:rsidRDefault="00F318A9" w:rsidP="00F318A9">
            <w:pPr>
              <w:rPr>
                <w:rFonts w:ascii="Arial" w:hAnsi="Arial"/>
                <w:sz w:val="14"/>
              </w:rPr>
            </w:pPr>
          </w:p>
        </w:tc>
        <w:tc>
          <w:tcPr>
            <w:tcW w:w="408" w:type="pct"/>
            <w:vMerge/>
          </w:tcPr>
          <w:p w14:paraId="1E8136A3" w14:textId="77777777" w:rsidR="00F318A9" w:rsidRPr="00E123C3" w:rsidRDefault="00F318A9" w:rsidP="00F318A9">
            <w:pPr>
              <w:rPr>
                <w:rFonts w:ascii="Arial" w:hAnsi="Arial"/>
                <w:sz w:val="14"/>
              </w:rPr>
            </w:pPr>
          </w:p>
        </w:tc>
        <w:tc>
          <w:tcPr>
            <w:tcW w:w="459" w:type="pct"/>
            <w:vMerge/>
          </w:tcPr>
          <w:p w14:paraId="5E19BD0A" w14:textId="77777777" w:rsidR="00F318A9" w:rsidRPr="00E123C3" w:rsidRDefault="00F318A9" w:rsidP="00F318A9">
            <w:pPr>
              <w:rPr>
                <w:rFonts w:ascii="Arial" w:hAnsi="Arial"/>
                <w:sz w:val="14"/>
              </w:rPr>
            </w:pPr>
          </w:p>
        </w:tc>
        <w:tc>
          <w:tcPr>
            <w:tcW w:w="557" w:type="pct"/>
            <w:vMerge/>
          </w:tcPr>
          <w:p w14:paraId="1C7620D2" w14:textId="77777777" w:rsidR="00F318A9" w:rsidRPr="00E123C3" w:rsidRDefault="00F318A9" w:rsidP="00F318A9">
            <w:pPr>
              <w:rPr>
                <w:rFonts w:ascii="Arial" w:hAnsi="Arial"/>
                <w:sz w:val="14"/>
              </w:rPr>
            </w:pPr>
          </w:p>
        </w:tc>
        <w:tc>
          <w:tcPr>
            <w:tcW w:w="1090" w:type="pct"/>
          </w:tcPr>
          <w:p w14:paraId="7AD5D940" w14:textId="77777777" w:rsidR="00F318A9" w:rsidRPr="00E123C3" w:rsidRDefault="00F318A9" w:rsidP="00F318A9">
            <w:pPr>
              <w:rPr>
                <w:rFonts w:ascii="Arial" w:hAnsi="Arial"/>
                <w:sz w:val="14"/>
              </w:rPr>
            </w:pPr>
            <w:r w:rsidRPr="00E123C3">
              <w:rPr>
                <w:rFonts w:ascii="Arial" w:hAnsi="Arial"/>
                <w:sz w:val="14"/>
              </w:rPr>
              <w:t>Activity 3.2.4: Organize one (1) meeting of the TC-DT to adopt the national standard for DTs. This meeting will be preceded by an expert analysis of the stakeholders’ consultation outcomes; a report will be prepared and submitted to the TC-DT prior to the meeting.</w:t>
            </w:r>
          </w:p>
          <w:p w14:paraId="78FC5898" w14:textId="77777777" w:rsidR="00F318A9" w:rsidRPr="00E123C3" w:rsidRDefault="00F318A9" w:rsidP="00F318A9">
            <w:pPr>
              <w:rPr>
                <w:rFonts w:ascii="Arial" w:hAnsi="Arial"/>
                <w:sz w:val="14"/>
              </w:rPr>
            </w:pPr>
          </w:p>
          <w:p w14:paraId="03DFB23D" w14:textId="4B22FAC6" w:rsidR="00F318A9" w:rsidRPr="00E123C3" w:rsidRDefault="00F318A9" w:rsidP="00F318A9">
            <w:pPr>
              <w:rPr>
                <w:rFonts w:ascii="Arial" w:hAnsi="Arial"/>
                <w:sz w:val="14"/>
              </w:rPr>
            </w:pPr>
            <w:r w:rsidRPr="00E123C3">
              <w:rPr>
                <w:rFonts w:ascii="Arial" w:hAnsi="Arial"/>
                <w:sz w:val="14"/>
              </w:rPr>
              <w:t xml:space="preserve">Deliverable 3.2.4: national standard adopted and published </w:t>
            </w:r>
          </w:p>
        </w:tc>
        <w:tc>
          <w:tcPr>
            <w:tcW w:w="97" w:type="pct"/>
            <w:vAlign w:val="center"/>
          </w:tcPr>
          <w:p w14:paraId="37C57ABE" w14:textId="77777777" w:rsidR="00F318A9" w:rsidRPr="00E123C3" w:rsidRDefault="00F318A9" w:rsidP="00F318A9">
            <w:pPr>
              <w:jc w:val="center"/>
              <w:rPr>
                <w:rFonts w:ascii="Arial" w:hAnsi="Arial"/>
                <w:sz w:val="14"/>
              </w:rPr>
            </w:pPr>
          </w:p>
        </w:tc>
        <w:tc>
          <w:tcPr>
            <w:tcW w:w="97" w:type="pct"/>
            <w:vAlign w:val="center"/>
          </w:tcPr>
          <w:p w14:paraId="2E02A7C9" w14:textId="77777777" w:rsidR="00F318A9" w:rsidRPr="00E123C3" w:rsidRDefault="00F318A9" w:rsidP="00F318A9">
            <w:pPr>
              <w:jc w:val="center"/>
              <w:rPr>
                <w:rFonts w:ascii="Arial" w:hAnsi="Arial"/>
                <w:sz w:val="14"/>
              </w:rPr>
            </w:pPr>
          </w:p>
        </w:tc>
        <w:tc>
          <w:tcPr>
            <w:tcW w:w="120" w:type="pct"/>
            <w:vAlign w:val="center"/>
          </w:tcPr>
          <w:p w14:paraId="36EB9EEA" w14:textId="77777777" w:rsidR="00F318A9" w:rsidRPr="00E123C3" w:rsidRDefault="00F318A9" w:rsidP="00F318A9">
            <w:pPr>
              <w:jc w:val="center"/>
              <w:rPr>
                <w:rFonts w:ascii="Arial" w:hAnsi="Arial"/>
                <w:sz w:val="14"/>
              </w:rPr>
            </w:pPr>
          </w:p>
        </w:tc>
        <w:tc>
          <w:tcPr>
            <w:tcW w:w="97" w:type="pct"/>
            <w:shd w:val="clear" w:color="auto" w:fill="auto"/>
            <w:vAlign w:val="center"/>
          </w:tcPr>
          <w:p w14:paraId="083C4922" w14:textId="77777777" w:rsidR="00F318A9" w:rsidRPr="00E123C3" w:rsidRDefault="00F318A9" w:rsidP="00F318A9">
            <w:pPr>
              <w:jc w:val="center"/>
              <w:rPr>
                <w:rFonts w:ascii="Arial" w:hAnsi="Arial"/>
                <w:sz w:val="14"/>
              </w:rPr>
            </w:pPr>
          </w:p>
        </w:tc>
        <w:tc>
          <w:tcPr>
            <w:tcW w:w="120" w:type="pct"/>
            <w:shd w:val="clear" w:color="auto" w:fill="auto"/>
            <w:vAlign w:val="center"/>
          </w:tcPr>
          <w:p w14:paraId="0BCE53D4" w14:textId="77777777" w:rsidR="00F318A9" w:rsidRPr="00E123C3" w:rsidRDefault="00F318A9" w:rsidP="00F318A9">
            <w:pPr>
              <w:jc w:val="center"/>
              <w:rPr>
                <w:rFonts w:ascii="Arial" w:hAnsi="Arial"/>
                <w:sz w:val="14"/>
              </w:rPr>
            </w:pPr>
          </w:p>
        </w:tc>
        <w:tc>
          <w:tcPr>
            <w:tcW w:w="120" w:type="pct"/>
            <w:shd w:val="clear" w:color="auto" w:fill="auto"/>
            <w:vAlign w:val="center"/>
          </w:tcPr>
          <w:p w14:paraId="0572A185" w14:textId="77777777" w:rsidR="00F318A9" w:rsidRPr="00E123C3" w:rsidRDefault="00F318A9" w:rsidP="00F318A9">
            <w:pPr>
              <w:jc w:val="center"/>
              <w:rPr>
                <w:rFonts w:ascii="Arial" w:hAnsi="Arial"/>
                <w:sz w:val="14"/>
              </w:rPr>
            </w:pPr>
          </w:p>
        </w:tc>
        <w:tc>
          <w:tcPr>
            <w:tcW w:w="120" w:type="pct"/>
            <w:shd w:val="clear" w:color="auto" w:fill="auto"/>
            <w:vAlign w:val="center"/>
          </w:tcPr>
          <w:p w14:paraId="19AB12F5" w14:textId="77777777" w:rsidR="00F318A9" w:rsidRPr="00E123C3" w:rsidRDefault="00F318A9" w:rsidP="00F318A9">
            <w:pPr>
              <w:jc w:val="center"/>
              <w:rPr>
                <w:rFonts w:ascii="Arial" w:hAnsi="Arial"/>
                <w:sz w:val="14"/>
              </w:rPr>
            </w:pPr>
          </w:p>
        </w:tc>
        <w:tc>
          <w:tcPr>
            <w:tcW w:w="120" w:type="pct"/>
            <w:shd w:val="clear" w:color="auto" w:fill="auto"/>
            <w:vAlign w:val="center"/>
          </w:tcPr>
          <w:p w14:paraId="5302F7DA" w14:textId="77777777" w:rsidR="00F318A9" w:rsidRPr="00E123C3" w:rsidRDefault="00F318A9" w:rsidP="00F318A9">
            <w:pPr>
              <w:jc w:val="center"/>
              <w:rPr>
                <w:rFonts w:ascii="Arial" w:hAnsi="Arial"/>
                <w:sz w:val="14"/>
              </w:rPr>
            </w:pPr>
          </w:p>
        </w:tc>
        <w:tc>
          <w:tcPr>
            <w:tcW w:w="120" w:type="pct"/>
            <w:shd w:val="clear" w:color="auto" w:fill="auto"/>
            <w:vAlign w:val="center"/>
          </w:tcPr>
          <w:p w14:paraId="33EB3E89" w14:textId="77777777" w:rsidR="00F318A9" w:rsidRPr="00E123C3" w:rsidRDefault="00F318A9" w:rsidP="00F318A9">
            <w:pPr>
              <w:jc w:val="center"/>
              <w:rPr>
                <w:rFonts w:ascii="Arial" w:hAnsi="Arial"/>
                <w:sz w:val="14"/>
              </w:rPr>
            </w:pPr>
          </w:p>
        </w:tc>
        <w:tc>
          <w:tcPr>
            <w:tcW w:w="120" w:type="pct"/>
            <w:shd w:val="clear" w:color="auto" w:fill="auto"/>
            <w:vAlign w:val="center"/>
          </w:tcPr>
          <w:p w14:paraId="62CAED87" w14:textId="77777777" w:rsidR="00F318A9" w:rsidRPr="00E123C3" w:rsidRDefault="00F318A9" w:rsidP="00F318A9">
            <w:pPr>
              <w:jc w:val="center"/>
              <w:rPr>
                <w:rFonts w:ascii="Arial" w:hAnsi="Arial"/>
                <w:sz w:val="14"/>
              </w:rPr>
            </w:pPr>
          </w:p>
        </w:tc>
        <w:tc>
          <w:tcPr>
            <w:tcW w:w="120" w:type="pct"/>
            <w:shd w:val="clear" w:color="auto" w:fill="auto"/>
            <w:vAlign w:val="center"/>
          </w:tcPr>
          <w:p w14:paraId="1E073321"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15413FB9" w14:textId="77777777" w:rsidR="00F318A9" w:rsidRPr="00E123C3" w:rsidRDefault="00F318A9" w:rsidP="00F318A9">
            <w:pPr>
              <w:jc w:val="center"/>
              <w:rPr>
                <w:rFonts w:ascii="Arial" w:hAnsi="Arial"/>
                <w:sz w:val="14"/>
              </w:rPr>
            </w:pPr>
          </w:p>
        </w:tc>
        <w:tc>
          <w:tcPr>
            <w:tcW w:w="109" w:type="pct"/>
            <w:shd w:val="clear" w:color="auto" w:fill="C5E0B3" w:themeFill="accent6" w:themeFillTint="66"/>
            <w:vAlign w:val="center"/>
          </w:tcPr>
          <w:p w14:paraId="033661AB"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584D9F35"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vAlign w:val="center"/>
          </w:tcPr>
          <w:p w14:paraId="34E1960A" w14:textId="77777777" w:rsidR="00F318A9" w:rsidRPr="00E123C3" w:rsidRDefault="00F318A9" w:rsidP="00F318A9">
            <w:pPr>
              <w:jc w:val="center"/>
              <w:rPr>
                <w:rFonts w:ascii="Arial" w:hAnsi="Arial"/>
                <w:sz w:val="14"/>
              </w:rPr>
            </w:pPr>
          </w:p>
        </w:tc>
        <w:tc>
          <w:tcPr>
            <w:tcW w:w="120" w:type="pct"/>
            <w:vAlign w:val="center"/>
          </w:tcPr>
          <w:p w14:paraId="4D45C9AF" w14:textId="77777777" w:rsidR="00F318A9" w:rsidRPr="00E123C3" w:rsidRDefault="00F318A9" w:rsidP="00F318A9">
            <w:pPr>
              <w:jc w:val="center"/>
              <w:rPr>
                <w:rFonts w:ascii="Arial" w:hAnsi="Arial"/>
                <w:sz w:val="14"/>
              </w:rPr>
            </w:pPr>
          </w:p>
        </w:tc>
        <w:tc>
          <w:tcPr>
            <w:tcW w:w="120" w:type="pct"/>
            <w:vAlign w:val="center"/>
          </w:tcPr>
          <w:p w14:paraId="0957266E" w14:textId="77777777" w:rsidR="00F318A9" w:rsidRPr="00E123C3" w:rsidRDefault="00F318A9" w:rsidP="00F318A9">
            <w:pPr>
              <w:jc w:val="center"/>
              <w:rPr>
                <w:rFonts w:ascii="Arial" w:hAnsi="Arial"/>
                <w:sz w:val="14"/>
              </w:rPr>
            </w:pPr>
          </w:p>
        </w:tc>
        <w:tc>
          <w:tcPr>
            <w:tcW w:w="120" w:type="pct"/>
            <w:vAlign w:val="center"/>
          </w:tcPr>
          <w:p w14:paraId="6F69F3FE" w14:textId="77777777" w:rsidR="00F318A9" w:rsidRPr="00E123C3" w:rsidRDefault="00F318A9" w:rsidP="00F318A9">
            <w:pPr>
              <w:jc w:val="center"/>
              <w:rPr>
                <w:rFonts w:ascii="Arial" w:hAnsi="Arial"/>
                <w:sz w:val="14"/>
              </w:rPr>
            </w:pPr>
          </w:p>
        </w:tc>
      </w:tr>
      <w:tr w:rsidR="00F318A9" w:rsidRPr="00E123C3" w14:paraId="26501B1B" w14:textId="77777777" w:rsidTr="00F318A9">
        <w:trPr>
          <w:trHeight w:val="184"/>
          <w:jc w:val="center"/>
        </w:trPr>
        <w:tc>
          <w:tcPr>
            <w:tcW w:w="408" w:type="pct"/>
            <w:vMerge w:val="restart"/>
          </w:tcPr>
          <w:p w14:paraId="10101B97" w14:textId="77777777" w:rsidR="00F318A9" w:rsidRPr="00E123C3" w:rsidRDefault="00F318A9" w:rsidP="00F318A9">
            <w:pPr>
              <w:rPr>
                <w:rFonts w:ascii="Arial" w:hAnsi="Arial"/>
                <w:sz w:val="14"/>
              </w:rPr>
            </w:pPr>
            <w:r w:rsidRPr="00E123C3">
              <w:rPr>
                <w:rFonts w:ascii="Arial" w:hAnsi="Arial"/>
                <w:sz w:val="14"/>
              </w:rPr>
              <w:t>Outcome 2</w:t>
            </w:r>
          </w:p>
          <w:p w14:paraId="54FF353D" w14:textId="77777777" w:rsidR="00F318A9" w:rsidRPr="00E123C3" w:rsidRDefault="00F318A9" w:rsidP="00F318A9">
            <w:pPr>
              <w:rPr>
                <w:rFonts w:ascii="Arial" w:hAnsi="Arial"/>
                <w:sz w:val="14"/>
              </w:rPr>
            </w:pPr>
          </w:p>
          <w:p w14:paraId="5DAA46A4" w14:textId="77777777" w:rsidR="00F318A9" w:rsidRPr="00E123C3" w:rsidRDefault="00F318A9" w:rsidP="00F318A9">
            <w:pPr>
              <w:rPr>
                <w:rFonts w:ascii="Arial" w:hAnsi="Arial"/>
                <w:sz w:val="14"/>
              </w:rPr>
            </w:pPr>
            <w:r w:rsidRPr="00E123C3">
              <w:rPr>
                <w:rFonts w:ascii="Arial" w:hAnsi="Arial"/>
                <w:sz w:val="14"/>
              </w:rPr>
              <w:t>Climate finance strategies and project pipeline strengthened</w:t>
            </w:r>
          </w:p>
        </w:tc>
        <w:tc>
          <w:tcPr>
            <w:tcW w:w="408" w:type="pct"/>
            <w:vMerge w:val="restart"/>
          </w:tcPr>
          <w:p w14:paraId="6864E77A" w14:textId="77777777" w:rsidR="00F318A9" w:rsidRPr="00E123C3" w:rsidRDefault="00F318A9" w:rsidP="00F318A9">
            <w:pPr>
              <w:rPr>
                <w:rFonts w:ascii="Arial" w:hAnsi="Arial"/>
                <w:sz w:val="14"/>
              </w:rPr>
            </w:pPr>
            <w:r w:rsidRPr="00E123C3">
              <w:rPr>
                <w:rFonts w:ascii="Arial" w:hAnsi="Arial"/>
                <w:sz w:val="14"/>
              </w:rPr>
              <w:t>Sub Outcome 4:</w:t>
            </w:r>
          </w:p>
          <w:p w14:paraId="021134BA" w14:textId="77777777" w:rsidR="00F318A9" w:rsidRPr="00E123C3" w:rsidRDefault="00F318A9" w:rsidP="00F318A9">
            <w:pPr>
              <w:rPr>
                <w:rFonts w:ascii="Arial" w:hAnsi="Arial"/>
                <w:sz w:val="14"/>
              </w:rPr>
            </w:pPr>
          </w:p>
          <w:p w14:paraId="69206B48" w14:textId="77777777" w:rsidR="00F318A9" w:rsidRPr="00E123C3" w:rsidRDefault="00F318A9" w:rsidP="00F318A9">
            <w:pPr>
              <w:rPr>
                <w:rFonts w:ascii="Arial" w:hAnsi="Arial"/>
                <w:sz w:val="14"/>
              </w:rPr>
            </w:pPr>
            <w:r w:rsidRPr="00E123C3">
              <w:rPr>
                <w:rFonts w:ascii="Arial" w:hAnsi="Arial"/>
                <w:sz w:val="14"/>
              </w:rPr>
              <w:t xml:space="preserve">Market preparation and business planning for deployment and scale-up of </w:t>
            </w:r>
            <w:proofErr w:type="spellStart"/>
            <w:r w:rsidRPr="00E123C3">
              <w:rPr>
                <w:rFonts w:ascii="Arial" w:hAnsi="Arial"/>
                <w:sz w:val="14"/>
              </w:rPr>
              <w:t>prioritised</w:t>
            </w:r>
            <w:proofErr w:type="spellEnd"/>
            <w:r w:rsidRPr="00E123C3">
              <w:rPr>
                <w:rFonts w:ascii="Arial" w:hAnsi="Arial"/>
                <w:sz w:val="14"/>
              </w:rPr>
              <w:t xml:space="preserve"> </w:t>
            </w:r>
            <w:r w:rsidRPr="00E123C3">
              <w:rPr>
                <w:rFonts w:ascii="Arial" w:hAnsi="Arial"/>
                <w:sz w:val="14"/>
              </w:rPr>
              <w:lastRenderedPageBreak/>
              <w:t>climate technology solutions</w:t>
            </w:r>
          </w:p>
        </w:tc>
        <w:tc>
          <w:tcPr>
            <w:tcW w:w="459" w:type="pct"/>
            <w:vMerge w:val="restart"/>
          </w:tcPr>
          <w:p w14:paraId="1BC08D57" w14:textId="77777777" w:rsidR="00F318A9" w:rsidRPr="00E123C3" w:rsidRDefault="00F318A9" w:rsidP="00F318A9">
            <w:pPr>
              <w:rPr>
                <w:rFonts w:ascii="Arial" w:hAnsi="Arial"/>
                <w:sz w:val="14"/>
              </w:rPr>
            </w:pPr>
            <w:r w:rsidRPr="00E123C3">
              <w:rPr>
                <w:rFonts w:ascii="Arial" w:hAnsi="Arial"/>
                <w:sz w:val="14"/>
              </w:rPr>
              <w:lastRenderedPageBreak/>
              <w:t>0</w:t>
            </w:r>
          </w:p>
          <w:p w14:paraId="44FB0777" w14:textId="77777777" w:rsidR="00F318A9" w:rsidRPr="00E123C3" w:rsidRDefault="00F318A9" w:rsidP="00F318A9">
            <w:pPr>
              <w:rPr>
                <w:rFonts w:ascii="Arial" w:hAnsi="Arial"/>
                <w:sz w:val="14"/>
              </w:rPr>
            </w:pPr>
            <w:r w:rsidRPr="00E123C3">
              <w:rPr>
                <w:rFonts w:ascii="Arial" w:hAnsi="Arial"/>
                <w:sz w:val="14"/>
              </w:rPr>
              <w:t xml:space="preserve">No purposeful efforts have been made to </w:t>
            </w:r>
            <w:proofErr w:type="spellStart"/>
            <w:r w:rsidRPr="00E123C3">
              <w:rPr>
                <w:rFonts w:ascii="Arial" w:hAnsi="Arial"/>
                <w:sz w:val="14"/>
              </w:rPr>
              <w:t>catalyse</w:t>
            </w:r>
            <w:proofErr w:type="spellEnd"/>
            <w:r w:rsidRPr="00E123C3">
              <w:rPr>
                <w:rFonts w:ascii="Arial" w:hAnsi="Arial"/>
                <w:sz w:val="14"/>
              </w:rPr>
              <w:t xml:space="preserve"> investment in the</w:t>
            </w:r>
          </w:p>
          <w:p w14:paraId="6D5A374B" w14:textId="77777777" w:rsidR="00F318A9" w:rsidRPr="00E123C3" w:rsidRDefault="00F318A9" w:rsidP="00F318A9">
            <w:pPr>
              <w:rPr>
                <w:rFonts w:ascii="Arial" w:hAnsi="Arial"/>
                <w:sz w:val="14"/>
              </w:rPr>
            </w:pPr>
            <w:r w:rsidRPr="00E123C3">
              <w:rPr>
                <w:rFonts w:ascii="Arial" w:hAnsi="Arial"/>
                <w:sz w:val="14"/>
              </w:rPr>
              <w:t xml:space="preserve">deployment and scale-up of </w:t>
            </w:r>
            <w:proofErr w:type="spellStart"/>
            <w:r w:rsidRPr="00E123C3">
              <w:rPr>
                <w:rFonts w:ascii="Arial" w:hAnsi="Arial"/>
                <w:sz w:val="14"/>
              </w:rPr>
              <w:t>prioritised</w:t>
            </w:r>
            <w:proofErr w:type="spellEnd"/>
            <w:r w:rsidRPr="00E123C3">
              <w:rPr>
                <w:rFonts w:ascii="Arial" w:hAnsi="Arial"/>
                <w:sz w:val="14"/>
              </w:rPr>
              <w:t xml:space="preserve"> </w:t>
            </w:r>
            <w:r w:rsidRPr="00E123C3">
              <w:rPr>
                <w:rFonts w:ascii="Arial" w:hAnsi="Arial"/>
                <w:sz w:val="14"/>
              </w:rPr>
              <w:lastRenderedPageBreak/>
              <w:t>technology solutions.</w:t>
            </w:r>
          </w:p>
        </w:tc>
        <w:tc>
          <w:tcPr>
            <w:tcW w:w="557" w:type="pct"/>
            <w:vMerge w:val="restart"/>
          </w:tcPr>
          <w:p w14:paraId="39083AFF" w14:textId="77777777" w:rsidR="00F318A9" w:rsidRPr="00E123C3" w:rsidRDefault="00F318A9" w:rsidP="00F318A9">
            <w:pPr>
              <w:rPr>
                <w:rFonts w:ascii="Arial" w:hAnsi="Arial"/>
                <w:sz w:val="14"/>
              </w:rPr>
            </w:pPr>
            <w:r w:rsidRPr="00E123C3">
              <w:rPr>
                <w:rFonts w:ascii="Arial" w:hAnsi="Arial"/>
                <w:sz w:val="14"/>
              </w:rPr>
              <w:lastRenderedPageBreak/>
              <w:t>2</w:t>
            </w:r>
          </w:p>
          <w:p w14:paraId="0BCC2121" w14:textId="77777777" w:rsidR="00F318A9" w:rsidRPr="00E123C3" w:rsidRDefault="00F318A9" w:rsidP="00F318A9">
            <w:pPr>
              <w:autoSpaceDE w:val="0"/>
              <w:autoSpaceDN w:val="0"/>
              <w:adjustRightInd w:val="0"/>
              <w:rPr>
                <w:rFonts w:ascii="Arial" w:hAnsi="Arial"/>
                <w:sz w:val="14"/>
              </w:rPr>
            </w:pPr>
            <w:r w:rsidRPr="00E123C3">
              <w:rPr>
                <w:rFonts w:ascii="Arial" w:hAnsi="Arial"/>
                <w:sz w:val="14"/>
              </w:rPr>
              <w:t>A comprehensive strategy has been developed and is being implemented to</w:t>
            </w:r>
          </w:p>
          <w:p w14:paraId="311FB652" w14:textId="77777777" w:rsidR="00F318A9" w:rsidRPr="00E123C3" w:rsidRDefault="00F318A9" w:rsidP="00F318A9">
            <w:pPr>
              <w:autoSpaceDE w:val="0"/>
              <w:autoSpaceDN w:val="0"/>
              <w:adjustRightInd w:val="0"/>
              <w:rPr>
                <w:rFonts w:ascii="Arial" w:hAnsi="Arial"/>
                <w:sz w:val="14"/>
              </w:rPr>
            </w:pPr>
            <w:proofErr w:type="spellStart"/>
            <w:r w:rsidRPr="00E123C3">
              <w:rPr>
                <w:rFonts w:ascii="Arial" w:hAnsi="Arial"/>
                <w:sz w:val="14"/>
              </w:rPr>
              <w:t>catalyse</w:t>
            </w:r>
            <w:proofErr w:type="spellEnd"/>
            <w:r w:rsidRPr="00E123C3">
              <w:rPr>
                <w:rFonts w:ascii="Arial" w:hAnsi="Arial"/>
                <w:sz w:val="14"/>
              </w:rPr>
              <w:t xml:space="preserve"> investment in the deployment and scale-up of </w:t>
            </w:r>
            <w:proofErr w:type="spellStart"/>
            <w:r w:rsidRPr="00E123C3">
              <w:rPr>
                <w:rFonts w:ascii="Arial" w:hAnsi="Arial"/>
                <w:sz w:val="14"/>
              </w:rPr>
              <w:t>prioritised</w:t>
            </w:r>
            <w:proofErr w:type="spellEnd"/>
            <w:r w:rsidRPr="00E123C3">
              <w:rPr>
                <w:rFonts w:ascii="Arial" w:hAnsi="Arial"/>
                <w:sz w:val="14"/>
              </w:rPr>
              <w:t xml:space="preserve"> climate</w:t>
            </w:r>
          </w:p>
          <w:p w14:paraId="28A23EA2" w14:textId="77777777" w:rsidR="00F318A9" w:rsidRPr="00E123C3" w:rsidRDefault="00F318A9" w:rsidP="00F318A9">
            <w:pPr>
              <w:rPr>
                <w:rFonts w:ascii="Arial" w:hAnsi="Arial"/>
                <w:sz w:val="14"/>
              </w:rPr>
            </w:pPr>
            <w:r w:rsidRPr="00E123C3">
              <w:rPr>
                <w:rFonts w:ascii="Arial" w:hAnsi="Arial"/>
                <w:sz w:val="14"/>
              </w:rPr>
              <w:lastRenderedPageBreak/>
              <w:t>technology solution, including market preparation and business planning</w:t>
            </w:r>
          </w:p>
        </w:tc>
        <w:tc>
          <w:tcPr>
            <w:tcW w:w="1090" w:type="pct"/>
          </w:tcPr>
          <w:p w14:paraId="73499455" w14:textId="77777777" w:rsidR="00F318A9" w:rsidRDefault="00F318A9" w:rsidP="00F318A9">
            <w:pPr>
              <w:rPr>
                <w:rFonts w:ascii="Arial" w:hAnsi="Arial"/>
                <w:b/>
                <w:sz w:val="14"/>
              </w:rPr>
            </w:pPr>
            <w:r w:rsidRPr="00D554F6">
              <w:rPr>
                <w:rFonts w:ascii="Arial" w:hAnsi="Arial"/>
                <w:b/>
                <w:sz w:val="14"/>
              </w:rPr>
              <w:lastRenderedPageBreak/>
              <w:t>Output 4.1: The national policy roadmap for the promotion of higher efficiency refrigerators, including MEPS-HEPS, labelling scheme, consumer awareness, capacity building for custom officials, and MV&amp;E framework) adopted by the government</w:t>
            </w:r>
          </w:p>
          <w:p w14:paraId="68CC65A8" w14:textId="77777777" w:rsidR="00F318A9" w:rsidRDefault="00F318A9" w:rsidP="00F318A9">
            <w:pPr>
              <w:rPr>
                <w:rFonts w:ascii="Arial" w:hAnsi="Arial"/>
                <w:sz w:val="14"/>
              </w:rPr>
            </w:pPr>
          </w:p>
          <w:p w14:paraId="0464C3B7" w14:textId="77777777" w:rsidR="00F318A9" w:rsidRPr="00E123C3" w:rsidRDefault="00F318A9" w:rsidP="00F318A9">
            <w:pPr>
              <w:rPr>
                <w:rFonts w:ascii="Arial" w:hAnsi="Arial" w:cs="Arial"/>
                <w:sz w:val="14"/>
                <w:szCs w:val="16"/>
              </w:rPr>
            </w:pPr>
            <w:r w:rsidRPr="00E123C3">
              <w:rPr>
                <w:rFonts w:ascii="Arial" w:hAnsi="Arial"/>
                <w:sz w:val="14"/>
              </w:rPr>
              <w:t xml:space="preserve">Activity 4.1.1: </w:t>
            </w:r>
            <w:r w:rsidRPr="00E123C3">
              <w:rPr>
                <w:rFonts w:ascii="Arial" w:hAnsi="Arial" w:cs="Arial"/>
                <w:sz w:val="14"/>
                <w:szCs w:val="16"/>
              </w:rPr>
              <w:t xml:space="preserve">Develop minimum energy performance standards (MEPS) and highest </w:t>
            </w:r>
            <w:r w:rsidRPr="00E123C3">
              <w:rPr>
                <w:rFonts w:ascii="Arial" w:hAnsi="Arial" w:cs="Arial"/>
                <w:sz w:val="14"/>
                <w:szCs w:val="16"/>
              </w:rPr>
              <w:lastRenderedPageBreak/>
              <w:t>energy performance standards (HEPS) for refrigerators based on the existing work under different initiatives. This work will be conducted by the PWG during its quarterly meetings with support from an international policy expert and U4E. The policy expert will be sub-contracted and guide the work of the PWG. A critical element of the work of the PWG will be to determine the appropriate level of MEPS and HEPS in order to achieve the efficiency level objectives in line with local manufacturers ability to manufacture higher efficiency refrigerators at competitive price, as well as with the consumers’ ability to purchase higher priced refrigerators. The policy expert will prepare the relevant preparatory studies and documents, and conduct training during the PWG meetings, as appropriate. In addition to the PWG quarterly meetings, provision is made to organize two (2) additional 2-day meetings if deemed necessary</w:t>
            </w:r>
          </w:p>
          <w:p w14:paraId="28B4E340" w14:textId="77777777" w:rsidR="00F318A9" w:rsidRPr="00E123C3" w:rsidRDefault="00F318A9" w:rsidP="00F318A9">
            <w:pPr>
              <w:rPr>
                <w:rFonts w:ascii="Arial" w:hAnsi="Arial"/>
                <w:sz w:val="14"/>
              </w:rPr>
            </w:pPr>
          </w:p>
          <w:p w14:paraId="3E7EE8B0" w14:textId="77777777" w:rsidR="00F318A9" w:rsidRPr="00E123C3" w:rsidRDefault="00F318A9" w:rsidP="00F318A9">
            <w:pPr>
              <w:rPr>
                <w:rFonts w:ascii="Arial" w:hAnsi="Arial"/>
                <w:sz w:val="14"/>
              </w:rPr>
            </w:pPr>
            <w:r w:rsidRPr="00E123C3">
              <w:rPr>
                <w:rFonts w:ascii="Arial" w:hAnsi="Arial"/>
                <w:sz w:val="14"/>
              </w:rPr>
              <w:t>Deliverable 4.1.1: draft MEPS for refrigerators ready for public consultation</w:t>
            </w:r>
          </w:p>
        </w:tc>
        <w:tc>
          <w:tcPr>
            <w:tcW w:w="97" w:type="pct"/>
            <w:vAlign w:val="center"/>
          </w:tcPr>
          <w:p w14:paraId="25B18AFF" w14:textId="77777777" w:rsidR="00F318A9" w:rsidRPr="00E123C3" w:rsidRDefault="00F318A9" w:rsidP="00F318A9">
            <w:pPr>
              <w:jc w:val="center"/>
              <w:rPr>
                <w:rFonts w:ascii="Arial" w:hAnsi="Arial"/>
                <w:sz w:val="14"/>
              </w:rPr>
            </w:pPr>
          </w:p>
        </w:tc>
        <w:tc>
          <w:tcPr>
            <w:tcW w:w="97" w:type="pct"/>
            <w:vAlign w:val="center"/>
          </w:tcPr>
          <w:p w14:paraId="272E110F" w14:textId="77777777" w:rsidR="00F318A9" w:rsidRPr="00E123C3" w:rsidRDefault="00F318A9" w:rsidP="00F318A9">
            <w:pPr>
              <w:jc w:val="center"/>
              <w:rPr>
                <w:rFonts w:ascii="Arial" w:hAnsi="Arial"/>
                <w:sz w:val="14"/>
              </w:rPr>
            </w:pPr>
          </w:p>
        </w:tc>
        <w:tc>
          <w:tcPr>
            <w:tcW w:w="120" w:type="pct"/>
            <w:vAlign w:val="center"/>
          </w:tcPr>
          <w:p w14:paraId="2D513DAC" w14:textId="77777777" w:rsidR="00F318A9" w:rsidRPr="00E123C3" w:rsidRDefault="00F318A9" w:rsidP="00F318A9">
            <w:pPr>
              <w:jc w:val="center"/>
              <w:rPr>
                <w:rFonts w:ascii="Arial" w:hAnsi="Arial"/>
                <w:sz w:val="14"/>
              </w:rPr>
            </w:pPr>
          </w:p>
        </w:tc>
        <w:tc>
          <w:tcPr>
            <w:tcW w:w="97" w:type="pct"/>
            <w:shd w:val="clear" w:color="auto" w:fill="C5E0B3" w:themeFill="accent6" w:themeFillTint="66"/>
            <w:vAlign w:val="center"/>
          </w:tcPr>
          <w:p w14:paraId="20B7C56E"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451DCD8D"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236363BB"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36F5B7AE"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0B945146"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53FEB3B5"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shd w:val="clear" w:color="auto" w:fill="auto"/>
            <w:vAlign w:val="center"/>
          </w:tcPr>
          <w:p w14:paraId="6D411951" w14:textId="77777777" w:rsidR="00F318A9" w:rsidRPr="00E123C3" w:rsidRDefault="00F318A9" w:rsidP="00F318A9">
            <w:pPr>
              <w:jc w:val="center"/>
              <w:rPr>
                <w:rFonts w:ascii="Arial" w:hAnsi="Arial"/>
                <w:sz w:val="14"/>
              </w:rPr>
            </w:pPr>
          </w:p>
        </w:tc>
        <w:tc>
          <w:tcPr>
            <w:tcW w:w="120" w:type="pct"/>
            <w:shd w:val="clear" w:color="auto" w:fill="auto"/>
            <w:vAlign w:val="center"/>
          </w:tcPr>
          <w:p w14:paraId="75752E36" w14:textId="77777777" w:rsidR="00F318A9" w:rsidRPr="00E123C3" w:rsidRDefault="00F318A9" w:rsidP="00F318A9">
            <w:pPr>
              <w:jc w:val="center"/>
              <w:rPr>
                <w:rFonts w:ascii="Arial" w:hAnsi="Arial"/>
                <w:sz w:val="14"/>
              </w:rPr>
            </w:pPr>
          </w:p>
        </w:tc>
        <w:tc>
          <w:tcPr>
            <w:tcW w:w="120" w:type="pct"/>
            <w:vAlign w:val="center"/>
          </w:tcPr>
          <w:p w14:paraId="2B7ABC23" w14:textId="77777777" w:rsidR="00F318A9" w:rsidRPr="00E123C3" w:rsidRDefault="00F318A9" w:rsidP="00F318A9">
            <w:pPr>
              <w:jc w:val="center"/>
              <w:rPr>
                <w:rFonts w:ascii="Arial" w:hAnsi="Arial"/>
                <w:sz w:val="14"/>
              </w:rPr>
            </w:pPr>
          </w:p>
        </w:tc>
        <w:tc>
          <w:tcPr>
            <w:tcW w:w="109" w:type="pct"/>
            <w:vAlign w:val="center"/>
          </w:tcPr>
          <w:p w14:paraId="1E90618F" w14:textId="77777777" w:rsidR="00F318A9" w:rsidRPr="00E123C3" w:rsidRDefault="00F318A9" w:rsidP="00F318A9">
            <w:pPr>
              <w:jc w:val="center"/>
              <w:rPr>
                <w:rFonts w:ascii="Arial" w:hAnsi="Arial"/>
                <w:sz w:val="14"/>
              </w:rPr>
            </w:pPr>
          </w:p>
        </w:tc>
        <w:tc>
          <w:tcPr>
            <w:tcW w:w="120" w:type="pct"/>
            <w:vAlign w:val="center"/>
          </w:tcPr>
          <w:p w14:paraId="23FB726F" w14:textId="77777777" w:rsidR="00F318A9" w:rsidRPr="00E123C3" w:rsidRDefault="00F318A9" w:rsidP="00F318A9">
            <w:pPr>
              <w:jc w:val="center"/>
              <w:rPr>
                <w:rFonts w:ascii="Arial" w:hAnsi="Arial"/>
                <w:sz w:val="14"/>
              </w:rPr>
            </w:pPr>
          </w:p>
        </w:tc>
        <w:tc>
          <w:tcPr>
            <w:tcW w:w="120" w:type="pct"/>
            <w:vAlign w:val="center"/>
          </w:tcPr>
          <w:p w14:paraId="0061CABE" w14:textId="77777777" w:rsidR="00F318A9" w:rsidRPr="00E123C3" w:rsidRDefault="00F318A9" w:rsidP="00F318A9">
            <w:pPr>
              <w:jc w:val="center"/>
              <w:rPr>
                <w:rFonts w:ascii="Arial" w:hAnsi="Arial"/>
                <w:sz w:val="14"/>
              </w:rPr>
            </w:pPr>
          </w:p>
        </w:tc>
        <w:tc>
          <w:tcPr>
            <w:tcW w:w="120" w:type="pct"/>
            <w:vAlign w:val="center"/>
          </w:tcPr>
          <w:p w14:paraId="42AB9A43" w14:textId="77777777" w:rsidR="00F318A9" w:rsidRPr="00E123C3" w:rsidRDefault="00F318A9" w:rsidP="00F318A9">
            <w:pPr>
              <w:jc w:val="center"/>
              <w:rPr>
                <w:rFonts w:ascii="Arial" w:hAnsi="Arial"/>
                <w:sz w:val="14"/>
              </w:rPr>
            </w:pPr>
          </w:p>
        </w:tc>
        <w:tc>
          <w:tcPr>
            <w:tcW w:w="120" w:type="pct"/>
            <w:vAlign w:val="center"/>
          </w:tcPr>
          <w:p w14:paraId="4C49E1DE" w14:textId="77777777" w:rsidR="00F318A9" w:rsidRPr="00E123C3" w:rsidRDefault="00F318A9" w:rsidP="00F318A9">
            <w:pPr>
              <w:jc w:val="center"/>
              <w:rPr>
                <w:rFonts w:ascii="Arial" w:hAnsi="Arial"/>
                <w:sz w:val="14"/>
              </w:rPr>
            </w:pPr>
          </w:p>
        </w:tc>
        <w:tc>
          <w:tcPr>
            <w:tcW w:w="120" w:type="pct"/>
            <w:vAlign w:val="center"/>
          </w:tcPr>
          <w:p w14:paraId="496AEE98" w14:textId="77777777" w:rsidR="00F318A9" w:rsidRPr="00E123C3" w:rsidRDefault="00F318A9" w:rsidP="00F318A9">
            <w:pPr>
              <w:jc w:val="center"/>
              <w:rPr>
                <w:rFonts w:ascii="Arial" w:hAnsi="Arial"/>
                <w:sz w:val="14"/>
              </w:rPr>
            </w:pPr>
          </w:p>
        </w:tc>
      </w:tr>
      <w:tr w:rsidR="00F318A9" w:rsidRPr="00E123C3" w14:paraId="10327614" w14:textId="77777777" w:rsidTr="00F318A9">
        <w:trPr>
          <w:trHeight w:val="184"/>
          <w:jc w:val="center"/>
        </w:trPr>
        <w:tc>
          <w:tcPr>
            <w:tcW w:w="408" w:type="pct"/>
            <w:vMerge/>
          </w:tcPr>
          <w:p w14:paraId="6A2CA523" w14:textId="77777777" w:rsidR="00F318A9" w:rsidRPr="00E123C3" w:rsidRDefault="00F318A9" w:rsidP="00F318A9">
            <w:pPr>
              <w:rPr>
                <w:rFonts w:ascii="Arial" w:hAnsi="Arial"/>
                <w:sz w:val="14"/>
              </w:rPr>
            </w:pPr>
          </w:p>
        </w:tc>
        <w:tc>
          <w:tcPr>
            <w:tcW w:w="408" w:type="pct"/>
            <w:vMerge/>
          </w:tcPr>
          <w:p w14:paraId="4DC810BF" w14:textId="77777777" w:rsidR="00F318A9" w:rsidRPr="00E123C3" w:rsidRDefault="00F318A9" w:rsidP="00F318A9">
            <w:pPr>
              <w:rPr>
                <w:rFonts w:ascii="Arial" w:hAnsi="Arial"/>
                <w:sz w:val="14"/>
              </w:rPr>
            </w:pPr>
          </w:p>
        </w:tc>
        <w:tc>
          <w:tcPr>
            <w:tcW w:w="459" w:type="pct"/>
            <w:vMerge/>
          </w:tcPr>
          <w:p w14:paraId="0F3751D9" w14:textId="77777777" w:rsidR="00F318A9" w:rsidRPr="00E123C3" w:rsidRDefault="00F318A9" w:rsidP="00F318A9">
            <w:pPr>
              <w:rPr>
                <w:rFonts w:ascii="Arial" w:hAnsi="Arial"/>
                <w:sz w:val="14"/>
              </w:rPr>
            </w:pPr>
          </w:p>
        </w:tc>
        <w:tc>
          <w:tcPr>
            <w:tcW w:w="557" w:type="pct"/>
            <w:vMerge/>
          </w:tcPr>
          <w:p w14:paraId="584B98DE" w14:textId="77777777" w:rsidR="00F318A9" w:rsidRPr="00E123C3" w:rsidRDefault="00F318A9" w:rsidP="00F318A9">
            <w:pPr>
              <w:rPr>
                <w:rFonts w:ascii="Arial" w:hAnsi="Arial"/>
                <w:sz w:val="14"/>
              </w:rPr>
            </w:pPr>
          </w:p>
        </w:tc>
        <w:tc>
          <w:tcPr>
            <w:tcW w:w="1090" w:type="pct"/>
          </w:tcPr>
          <w:p w14:paraId="67346ED6" w14:textId="77777777" w:rsidR="00F318A9" w:rsidRPr="00E123C3" w:rsidRDefault="00F318A9" w:rsidP="00F318A9">
            <w:pPr>
              <w:rPr>
                <w:rFonts w:ascii="Arial" w:hAnsi="Arial" w:cs="Arial"/>
                <w:sz w:val="14"/>
                <w:szCs w:val="16"/>
              </w:rPr>
            </w:pPr>
            <w:r w:rsidRPr="00E123C3">
              <w:rPr>
                <w:rFonts w:ascii="Arial" w:hAnsi="Arial"/>
                <w:sz w:val="14"/>
              </w:rPr>
              <w:t xml:space="preserve">Activity 4.1.2: </w:t>
            </w:r>
            <w:r w:rsidRPr="00E123C3">
              <w:rPr>
                <w:rFonts w:ascii="Arial" w:hAnsi="Arial" w:cs="Arial"/>
                <w:sz w:val="14"/>
                <w:szCs w:val="16"/>
              </w:rPr>
              <w:t>Review labeling options (mandatory, voluntary; label design; adoption of South African label (option)) for refrigerators using recommendations under different initiatives like (e.g.)  the U4E Model Regulation for Information requirements. The labeling scheme is critical for a successful promotion of higher efficiency refrigerators. The adoption of the South African labeling scheme will be studied since most refrigerators are imported from South Africa.</w:t>
            </w:r>
          </w:p>
          <w:p w14:paraId="618D010D" w14:textId="77777777" w:rsidR="00F318A9" w:rsidRPr="00E123C3" w:rsidRDefault="00F318A9" w:rsidP="00F318A9">
            <w:pPr>
              <w:rPr>
                <w:rFonts w:ascii="Arial" w:hAnsi="Arial" w:cs="Arial"/>
                <w:sz w:val="14"/>
                <w:szCs w:val="16"/>
              </w:rPr>
            </w:pPr>
          </w:p>
          <w:p w14:paraId="796E2C7B" w14:textId="77777777" w:rsidR="00F318A9" w:rsidRPr="00E123C3" w:rsidRDefault="00F318A9" w:rsidP="00F318A9">
            <w:pPr>
              <w:rPr>
                <w:rFonts w:ascii="Arial" w:hAnsi="Arial"/>
                <w:sz w:val="14"/>
              </w:rPr>
            </w:pPr>
            <w:r w:rsidRPr="00E123C3">
              <w:rPr>
                <w:rFonts w:ascii="Arial" w:hAnsi="Arial"/>
                <w:sz w:val="14"/>
              </w:rPr>
              <w:t>Deliverable 4.1.2: draft national labeling scheme for refrigerators ready for public consultation</w:t>
            </w:r>
          </w:p>
        </w:tc>
        <w:tc>
          <w:tcPr>
            <w:tcW w:w="97" w:type="pct"/>
            <w:vAlign w:val="center"/>
          </w:tcPr>
          <w:p w14:paraId="12AD65F2" w14:textId="77777777" w:rsidR="00F318A9" w:rsidRPr="00E123C3" w:rsidRDefault="00F318A9" w:rsidP="00F318A9">
            <w:pPr>
              <w:jc w:val="center"/>
              <w:rPr>
                <w:rFonts w:ascii="Arial" w:hAnsi="Arial"/>
                <w:sz w:val="14"/>
              </w:rPr>
            </w:pPr>
          </w:p>
        </w:tc>
        <w:tc>
          <w:tcPr>
            <w:tcW w:w="97" w:type="pct"/>
            <w:vAlign w:val="center"/>
          </w:tcPr>
          <w:p w14:paraId="212CA0C0" w14:textId="77777777" w:rsidR="00F318A9" w:rsidRPr="00E123C3" w:rsidRDefault="00F318A9" w:rsidP="00F318A9">
            <w:pPr>
              <w:jc w:val="center"/>
              <w:rPr>
                <w:rFonts w:ascii="Arial" w:hAnsi="Arial"/>
                <w:sz w:val="14"/>
              </w:rPr>
            </w:pPr>
          </w:p>
        </w:tc>
        <w:tc>
          <w:tcPr>
            <w:tcW w:w="120" w:type="pct"/>
            <w:vAlign w:val="center"/>
          </w:tcPr>
          <w:p w14:paraId="481FA331" w14:textId="77777777" w:rsidR="00F318A9" w:rsidRPr="00E123C3" w:rsidRDefault="00F318A9" w:rsidP="00F318A9">
            <w:pPr>
              <w:jc w:val="center"/>
              <w:rPr>
                <w:rFonts w:ascii="Arial" w:hAnsi="Arial"/>
                <w:sz w:val="14"/>
              </w:rPr>
            </w:pPr>
          </w:p>
        </w:tc>
        <w:tc>
          <w:tcPr>
            <w:tcW w:w="97" w:type="pct"/>
            <w:shd w:val="clear" w:color="auto" w:fill="C5E0B3" w:themeFill="accent6" w:themeFillTint="66"/>
            <w:vAlign w:val="center"/>
          </w:tcPr>
          <w:p w14:paraId="00C4668C"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099EB0E0"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27F434B4"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5E96ACA0"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55696667"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478A71B5"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shd w:val="clear" w:color="auto" w:fill="FFFFFF" w:themeFill="background1"/>
            <w:vAlign w:val="center"/>
          </w:tcPr>
          <w:p w14:paraId="25390300"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1734CD1A"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5FAD1777" w14:textId="77777777" w:rsidR="00F318A9" w:rsidRPr="00E123C3" w:rsidRDefault="00F318A9" w:rsidP="00F318A9">
            <w:pPr>
              <w:jc w:val="center"/>
              <w:rPr>
                <w:rFonts w:ascii="Arial" w:hAnsi="Arial"/>
                <w:sz w:val="14"/>
              </w:rPr>
            </w:pPr>
          </w:p>
        </w:tc>
        <w:tc>
          <w:tcPr>
            <w:tcW w:w="109" w:type="pct"/>
            <w:vAlign w:val="center"/>
          </w:tcPr>
          <w:p w14:paraId="0E6A12D7" w14:textId="77777777" w:rsidR="00F318A9" w:rsidRPr="00E123C3" w:rsidRDefault="00F318A9" w:rsidP="00F318A9">
            <w:pPr>
              <w:jc w:val="center"/>
              <w:rPr>
                <w:rFonts w:ascii="Arial" w:hAnsi="Arial"/>
                <w:sz w:val="14"/>
              </w:rPr>
            </w:pPr>
          </w:p>
        </w:tc>
        <w:tc>
          <w:tcPr>
            <w:tcW w:w="120" w:type="pct"/>
            <w:vAlign w:val="center"/>
          </w:tcPr>
          <w:p w14:paraId="16617715" w14:textId="77777777" w:rsidR="00F318A9" w:rsidRPr="00E123C3" w:rsidRDefault="00F318A9" w:rsidP="00F318A9">
            <w:pPr>
              <w:jc w:val="center"/>
              <w:rPr>
                <w:rFonts w:ascii="Arial" w:hAnsi="Arial"/>
                <w:sz w:val="14"/>
              </w:rPr>
            </w:pPr>
          </w:p>
        </w:tc>
        <w:tc>
          <w:tcPr>
            <w:tcW w:w="120" w:type="pct"/>
            <w:vAlign w:val="center"/>
          </w:tcPr>
          <w:p w14:paraId="34222437" w14:textId="77777777" w:rsidR="00F318A9" w:rsidRPr="00E123C3" w:rsidRDefault="00F318A9" w:rsidP="00F318A9">
            <w:pPr>
              <w:jc w:val="center"/>
              <w:rPr>
                <w:rFonts w:ascii="Arial" w:hAnsi="Arial"/>
                <w:sz w:val="14"/>
              </w:rPr>
            </w:pPr>
          </w:p>
        </w:tc>
        <w:tc>
          <w:tcPr>
            <w:tcW w:w="120" w:type="pct"/>
            <w:vAlign w:val="center"/>
          </w:tcPr>
          <w:p w14:paraId="1CD425AE" w14:textId="77777777" w:rsidR="00F318A9" w:rsidRPr="00E123C3" w:rsidRDefault="00F318A9" w:rsidP="00F318A9">
            <w:pPr>
              <w:jc w:val="center"/>
              <w:rPr>
                <w:rFonts w:ascii="Arial" w:hAnsi="Arial"/>
                <w:sz w:val="14"/>
              </w:rPr>
            </w:pPr>
          </w:p>
        </w:tc>
        <w:tc>
          <w:tcPr>
            <w:tcW w:w="120" w:type="pct"/>
            <w:vAlign w:val="center"/>
          </w:tcPr>
          <w:p w14:paraId="11B63392" w14:textId="77777777" w:rsidR="00F318A9" w:rsidRPr="00E123C3" w:rsidRDefault="00F318A9" w:rsidP="00F318A9">
            <w:pPr>
              <w:jc w:val="center"/>
              <w:rPr>
                <w:rFonts w:ascii="Arial" w:hAnsi="Arial"/>
                <w:sz w:val="14"/>
              </w:rPr>
            </w:pPr>
          </w:p>
        </w:tc>
        <w:tc>
          <w:tcPr>
            <w:tcW w:w="120" w:type="pct"/>
            <w:vAlign w:val="center"/>
          </w:tcPr>
          <w:p w14:paraId="15E513BA" w14:textId="77777777" w:rsidR="00F318A9" w:rsidRPr="00E123C3" w:rsidRDefault="00F318A9" w:rsidP="00F318A9">
            <w:pPr>
              <w:jc w:val="center"/>
              <w:rPr>
                <w:rFonts w:ascii="Arial" w:hAnsi="Arial"/>
                <w:sz w:val="14"/>
              </w:rPr>
            </w:pPr>
          </w:p>
        </w:tc>
      </w:tr>
      <w:tr w:rsidR="00F318A9" w:rsidRPr="00E123C3" w14:paraId="6FCCB9B9" w14:textId="77777777" w:rsidTr="00F318A9">
        <w:trPr>
          <w:trHeight w:val="184"/>
          <w:jc w:val="center"/>
        </w:trPr>
        <w:tc>
          <w:tcPr>
            <w:tcW w:w="408" w:type="pct"/>
            <w:vMerge/>
          </w:tcPr>
          <w:p w14:paraId="7AE896E2" w14:textId="77777777" w:rsidR="00F318A9" w:rsidRPr="00E123C3" w:rsidRDefault="00F318A9" w:rsidP="00F318A9">
            <w:pPr>
              <w:rPr>
                <w:rFonts w:ascii="Arial" w:hAnsi="Arial"/>
                <w:sz w:val="14"/>
              </w:rPr>
            </w:pPr>
          </w:p>
        </w:tc>
        <w:tc>
          <w:tcPr>
            <w:tcW w:w="408" w:type="pct"/>
            <w:vMerge/>
          </w:tcPr>
          <w:p w14:paraId="47F15017" w14:textId="77777777" w:rsidR="00F318A9" w:rsidRPr="00E123C3" w:rsidRDefault="00F318A9" w:rsidP="00F318A9">
            <w:pPr>
              <w:rPr>
                <w:rFonts w:ascii="Arial" w:hAnsi="Arial"/>
                <w:sz w:val="14"/>
              </w:rPr>
            </w:pPr>
          </w:p>
        </w:tc>
        <w:tc>
          <w:tcPr>
            <w:tcW w:w="459" w:type="pct"/>
            <w:vMerge/>
          </w:tcPr>
          <w:p w14:paraId="0F9A6317" w14:textId="77777777" w:rsidR="00F318A9" w:rsidRPr="00E123C3" w:rsidRDefault="00F318A9" w:rsidP="00F318A9">
            <w:pPr>
              <w:rPr>
                <w:rFonts w:ascii="Arial" w:hAnsi="Arial"/>
                <w:sz w:val="14"/>
              </w:rPr>
            </w:pPr>
          </w:p>
        </w:tc>
        <w:tc>
          <w:tcPr>
            <w:tcW w:w="557" w:type="pct"/>
            <w:vMerge/>
          </w:tcPr>
          <w:p w14:paraId="30D82FF0" w14:textId="77777777" w:rsidR="00F318A9" w:rsidRPr="00E123C3" w:rsidRDefault="00F318A9" w:rsidP="00F318A9">
            <w:pPr>
              <w:rPr>
                <w:rFonts w:ascii="Arial" w:hAnsi="Arial"/>
                <w:sz w:val="14"/>
              </w:rPr>
            </w:pPr>
          </w:p>
        </w:tc>
        <w:tc>
          <w:tcPr>
            <w:tcW w:w="1090" w:type="pct"/>
          </w:tcPr>
          <w:p w14:paraId="70B3E812" w14:textId="77777777" w:rsidR="00F318A9" w:rsidRPr="00E123C3" w:rsidRDefault="00F318A9" w:rsidP="00F318A9">
            <w:pPr>
              <w:rPr>
                <w:rFonts w:ascii="Arial" w:hAnsi="Arial" w:cs="Arial"/>
                <w:sz w:val="14"/>
                <w:szCs w:val="16"/>
              </w:rPr>
            </w:pPr>
            <w:r w:rsidRPr="00E123C3">
              <w:rPr>
                <w:rFonts w:ascii="Arial" w:hAnsi="Arial"/>
                <w:sz w:val="14"/>
              </w:rPr>
              <w:t xml:space="preserve">Activity 4.1.3: </w:t>
            </w:r>
            <w:r w:rsidRPr="00E123C3">
              <w:rPr>
                <w:rFonts w:ascii="Arial" w:hAnsi="Arial" w:cs="Arial"/>
                <w:sz w:val="14"/>
                <w:szCs w:val="16"/>
              </w:rPr>
              <w:t xml:space="preserve">Review experience of other countries. This will be supported by a report prepared by the policy expert with inputs drawn from U4E initiative on other similar country experiences. </w:t>
            </w:r>
          </w:p>
          <w:p w14:paraId="40DAEB3B" w14:textId="77777777" w:rsidR="00F318A9" w:rsidRPr="00E123C3" w:rsidRDefault="00F318A9" w:rsidP="00F318A9">
            <w:pPr>
              <w:rPr>
                <w:rFonts w:ascii="Arial" w:hAnsi="Arial"/>
                <w:sz w:val="14"/>
              </w:rPr>
            </w:pPr>
          </w:p>
          <w:p w14:paraId="297F1778" w14:textId="77777777" w:rsidR="00F318A9" w:rsidRPr="00E123C3" w:rsidRDefault="00F318A9" w:rsidP="00F318A9">
            <w:pPr>
              <w:rPr>
                <w:rFonts w:ascii="Arial" w:hAnsi="Arial"/>
                <w:sz w:val="14"/>
              </w:rPr>
            </w:pPr>
            <w:r w:rsidRPr="00E123C3">
              <w:rPr>
                <w:rFonts w:ascii="Arial" w:hAnsi="Arial"/>
                <w:sz w:val="14"/>
              </w:rPr>
              <w:t>Deliverable 4.1.3: report on international experience in consumer awareness campaigns for higher efficiency refrigerators</w:t>
            </w:r>
          </w:p>
        </w:tc>
        <w:tc>
          <w:tcPr>
            <w:tcW w:w="97" w:type="pct"/>
            <w:vAlign w:val="center"/>
          </w:tcPr>
          <w:p w14:paraId="0BB412B1" w14:textId="77777777" w:rsidR="00F318A9" w:rsidRPr="00E123C3" w:rsidRDefault="00F318A9" w:rsidP="00F318A9">
            <w:pPr>
              <w:jc w:val="center"/>
              <w:rPr>
                <w:rFonts w:ascii="Arial" w:hAnsi="Arial"/>
                <w:sz w:val="14"/>
              </w:rPr>
            </w:pPr>
          </w:p>
        </w:tc>
        <w:tc>
          <w:tcPr>
            <w:tcW w:w="97" w:type="pct"/>
            <w:vAlign w:val="center"/>
          </w:tcPr>
          <w:p w14:paraId="163DB757" w14:textId="77777777" w:rsidR="00F318A9" w:rsidRPr="00E123C3" w:rsidRDefault="00F318A9" w:rsidP="00F318A9">
            <w:pPr>
              <w:jc w:val="center"/>
              <w:rPr>
                <w:rFonts w:ascii="Arial" w:hAnsi="Arial"/>
                <w:sz w:val="14"/>
              </w:rPr>
            </w:pPr>
          </w:p>
        </w:tc>
        <w:tc>
          <w:tcPr>
            <w:tcW w:w="120" w:type="pct"/>
            <w:vAlign w:val="center"/>
          </w:tcPr>
          <w:p w14:paraId="58AF506F" w14:textId="77777777" w:rsidR="00F318A9" w:rsidRPr="00E123C3" w:rsidRDefault="00F318A9" w:rsidP="00F318A9">
            <w:pPr>
              <w:jc w:val="center"/>
              <w:rPr>
                <w:rFonts w:ascii="Arial" w:hAnsi="Arial"/>
                <w:sz w:val="14"/>
              </w:rPr>
            </w:pPr>
          </w:p>
        </w:tc>
        <w:tc>
          <w:tcPr>
            <w:tcW w:w="97" w:type="pct"/>
            <w:vAlign w:val="center"/>
          </w:tcPr>
          <w:p w14:paraId="58AD8545" w14:textId="77777777" w:rsidR="00F318A9" w:rsidRPr="00E123C3" w:rsidRDefault="00F318A9" w:rsidP="00F318A9">
            <w:pPr>
              <w:jc w:val="center"/>
              <w:rPr>
                <w:rFonts w:ascii="Arial" w:hAnsi="Arial"/>
                <w:sz w:val="14"/>
              </w:rPr>
            </w:pPr>
          </w:p>
        </w:tc>
        <w:tc>
          <w:tcPr>
            <w:tcW w:w="120" w:type="pct"/>
            <w:vAlign w:val="center"/>
          </w:tcPr>
          <w:p w14:paraId="13DE84D5" w14:textId="77777777" w:rsidR="00F318A9" w:rsidRPr="00E123C3" w:rsidRDefault="00F318A9" w:rsidP="00F318A9">
            <w:pPr>
              <w:jc w:val="center"/>
              <w:rPr>
                <w:rFonts w:ascii="Arial" w:hAnsi="Arial"/>
                <w:sz w:val="14"/>
              </w:rPr>
            </w:pPr>
          </w:p>
        </w:tc>
        <w:tc>
          <w:tcPr>
            <w:tcW w:w="120" w:type="pct"/>
            <w:vAlign w:val="center"/>
          </w:tcPr>
          <w:p w14:paraId="5A9A8DE8"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7642F5C3"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01DB3D0B"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52C18492"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shd w:val="clear" w:color="auto" w:fill="FFFFFF" w:themeFill="background1"/>
            <w:vAlign w:val="center"/>
          </w:tcPr>
          <w:p w14:paraId="6507AA02"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7211FED1"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37698DF0" w14:textId="77777777" w:rsidR="00F318A9" w:rsidRPr="00E123C3" w:rsidRDefault="00F318A9" w:rsidP="00F318A9">
            <w:pPr>
              <w:jc w:val="center"/>
              <w:rPr>
                <w:rFonts w:ascii="Arial" w:hAnsi="Arial"/>
                <w:sz w:val="14"/>
              </w:rPr>
            </w:pPr>
          </w:p>
        </w:tc>
        <w:tc>
          <w:tcPr>
            <w:tcW w:w="109" w:type="pct"/>
            <w:vAlign w:val="center"/>
          </w:tcPr>
          <w:p w14:paraId="67770D52" w14:textId="77777777" w:rsidR="00F318A9" w:rsidRPr="00E123C3" w:rsidRDefault="00F318A9" w:rsidP="00F318A9">
            <w:pPr>
              <w:jc w:val="center"/>
              <w:rPr>
                <w:rFonts w:ascii="Arial" w:hAnsi="Arial"/>
                <w:sz w:val="14"/>
              </w:rPr>
            </w:pPr>
          </w:p>
        </w:tc>
        <w:tc>
          <w:tcPr>
            <w:tcW w:w="120" w:type="pct"/>
            <w:vAlign w:val="center"/>
          </w:tcPr>
          <w:p w14:paraId="5D46FA86" w14:textId="77777777" w:rsidR="00F318A9" w:rsidRPr="00E123C3" w:rsidRDefault="00F318A9" w:rsidP="00F318A9">
            <w:pPr>
              <w:jc w:val="center"/>
              <w:rPr>
                <w:rFonts w:ascii="Arial" w:hAnsi="Arial"/>
                <w:sz w:val="14"/>
              </w:rPr>
            </w:pPr>
          </w:p>
        </w:tc>
        <w:tc>
          <w:tcPr>
            <w:tcW w:w="120" w:type="pct"/>
            <w:vAlign w:val="center"/>
          </w:tcPr>
          <w:p w14:paraId="0705CA90" w14:textId="77777777" w:rsidR="00F318A9" w:rsidRPr="00E123C3" w:rsidRDefault="00F318A9" w:rsidP="00F318A9">
            <w:pPr>
              <w:jc w:val="center"/>
              <w:rPr>
                <w:rFonts w:ascii="Arial" w:hAnsi="Arial"/>
                <w:sz w:val="14"/>
              </w:rPr>
            </w:pPr>
          </w:p>
        </w:tc>
        <w:tc>
          <w:tcPr>
            <w:tcW w:w="120" w:type="pct"/>
            <w:vAlign w:val="center"/>
          </w:tcPr>
          <w:p w14:paraId="0438AEAA" w14:textId="77777777" w:rsidR="00F318A9" w:rsidRPr="00E123C3" w:rsidRDefault="00F318A9" w:rsidP="00F318A9">
            <w:pPr>
              <w:jc w:val="center"/>
              <w:rPr>
                <w:rFonts w:ascii="Arial" w:hAnsi="Arial"/>
                <w:sz w:val="14"/>
              </w:rPr>
            </w:pPr>
          </w:p>
        </w:tc>
        <w:tc>
          <w:tcPr>
            <w:tcW w:w="120" w:type="pct"/>
            <w:vAlign w:val="center"/>
          </w:tcPr>
          <w:p w14:paraId="0D9153A7" w14:textId="77777777" w:rsidR="00F318A9" w:rsidRPr="00E123C3" w:rsidRDefault="00F318A9" w:rsidP="00F318A9">
            <w:pPr>
              <w:jc w:val="center"/>
              <w:rPr>
                <w:rFonts w:ascii="Arial" w:hAnsi="Arial"/>
                <w:sz w:val="14"/>
              </w:rPr>
            </w:pPr>
          </w:p>
        </w:tc>
        <w:tc>
          <w:tcPr>
            <w:tcW w:w="120" w:type="pct"/>
            <w:vAlign w:val="center"/>
          </w:tcPr>
          <w:p w14:paraId="1B42E15F" w14:textId="77777777" w:rsidR="00F318A9" w:rsidRPr="00E123C3" w:rsidRDefault="00F318A9" w:rsidP="00F318A9">
            <w:pPr>
              <w:jc w:val="center"/>
              <w:rPr>
                <w:rFonts w:ascii="Arial" w:hAnsi="Arial"/>
                <w:sz w:val="14"/>
              </w:rPr>
            </w:pPr>
          </w:p>
        </w:tc>
      </w:tr>
      <w:tr w:rsidR="00F318A9" w:rsidRPr="00E123C3" w14:paraId="05EFF0FE" w14:textId="77777777" w:rsidTr="00F318A9">
        <w:trPr>
          <w:trHeight w:val="184"/>
          <w:jc w:val="center"/>
        </w:trPr>
        <w:tc>
          <w:tcPr>
            <w:tcW w:w="408" w:type="pct"/>
            <w:vMerge/>
          </w:tcPr>
          <w:p w14:paraId="1BFDE199" w14:textId="77777777" w:rsidR="00F318A9" w:rsidRPr="00E123C3" w:rsidRDefault="00F318A9" w:rsidP="00F318A9">
            <w:pPr>
              <w:rPr>
                <w:rFonts w:ascii="Arial" w:hAnsi="Arial"/>
                <w:sz w:val="14"/>
              </w:rPr>
            </w:pPr>
          </w:p>
        </w:tc>
        <w:tc>
          <w:tcPr>
            <w:tcW w:w="408" w:type="pct"/>
            <w:vMerge/>
          </w:tcPr>
          <w:p w14:paraId="75C479EE" w14:textId="77777777" w:rsidR="00F318A9" w:rsidRPr="00E123C3" w:rsidRDefault="00F318A9" w:rsidP="00F318A9">
            <w:pPr>
              <w:rPr>
                <w:rFonts w:ascii="Arial" w:hAnsi="Arial"/>
                <w:sz w:val="14"/>
              </w:rPr>
            </w:pPr>
          </w:p>
        </w:tc>
        <w:tc>
          <w:tcPr>
            <w:tcW w:w="459" w:type="pct"/>
            <w:vMerge/>
          </w:tcPr>
          <w:p w14:paraId="0D868704" w14:textId="77777777" w:rsidR="00F318A9" w:rsidRPr="00E123C3" w:rsidRDefault="00F318A9" w:rsidP="00F318A9">
            <w:pPr>
              <w:rPr>
                <w:rFonts w:ascii="Arial" w:hAnsi="Arial"/>
                <w:sz w:val="14"/>
              </w:rPr>
            </w:pPr>
          </w:p>
        </w:tc>
        <w:tc>
          <w:tcPr>
            <w:tcW w:w="557" w:type="pct"/>
            <w:vMerge/>
          </w:tcPr>
          <w:p w14:paraId="7CF65920" w14:textId="77777777" w:rsidR="00F318A9" w:rsidRPr="00E123C3" w:rsidRDefault="00F318A9" w:rsidP="00F318A9">
            <w:pPr>
              <w:rPr>
                <w:rFonts w:ascii="Arial" w:hAnsi="Arial"/>
                <w:sz w:val="14"/>
              </w:rPr>
            </w:pPr>
          </w:p>
        </w:tc>
        <w:tc>
          <w:tcPr>
            <w:tcW w:w="1090" w:type="pct"/>
          </w:tcPr>
          <w:p w14:paraId="11C61511" w14:textId="77777777" w:rsidR="00F318A9" w:rsidRPr="00E123C3" w:rsidRDefault="00F318A9" w:rsidP="00F318A9">
            <w:pPr>
              <w:rPr>
                <w:rFonts w:ascii="Arial" w:hAnsi="Arial"/>
                <w:sz w:val="14"/>
              </w:rPr>
            </w:pPr>
            <w:r w:rsidRPr="00E123C3">
              <w:rPr>
                <w:rFonts w:ascii="Arial" w:hAnsi="Arial"/>
                <w:sz w:val="14"/>
              </w:rPr>
              <w:t>Activity 4.1.4: design consumer awareness campaign for refrigerators. This work will be done by the PWG under guidance from the policy expert together with a local communication expert.</w:t>
            </w:r>
          </w:p>
          <w:p w14:paraId="7722EB23" w14:textId="77777777" w:rsidR="00F318A9" w:rsidRPr="00E123C3" w:rsidRDefault="00F318A9" w:rsidP="00F318A9">
            <w:pPr>
              <w:rPr>
                <w:rFonts w:ascii="Arial" w:hAnsi="Arial"/>
                <w:sz w:val="14"/>
              </w:rPr>
            </w:pPr>
          </w:p>
          <w:p w14:paraId="11A3A63D" w14:textId="77777777" w:rsidR="00F318A9" w:rsidRPr="00E123C3" w:rsidRDefault="00F318A9" w:rsidP="00F318A9">
            <w:pPr>
              <w:rPr>
                <w:rFonts w:ascii="Arial" w:hAnsi="Arial"/>
                <w:sz w:val="14"/>
              </w:rPr>
            </w:pPr>
            <w:r w:rsidRPr="00E123C3">
              <w:rPr>
                <w:rFonts w:ascii="Arial" w:hAnsi="Arial"/>
                <w:sz w:val="14"/>
              </w:rPr>
              <w:t>Deliverable 4.1.4: national consumer awareness campaign plan for refrigerators</w:t>
            </w:r>
          </w:p>
        </w:tc>
        <w:tc>
          <w:tcPr>
            <w:tcW w:w="97" w:type="pct"/>
            <w:vAlign w:val="center"/>
          </w:tcPr>
          <w:p w14:paraId="4E2D23D6" w14:textId="77777777" w:rsidR="00F318A9" w:rsidRPr="00E123C3" w:rsidRDefault="00F318A9" w:rsidP="00F318A9">
            <w:pPr>
              <w:jc w:val="center"/>
              <w:rPr>
                <w:rFonts w:ascii="Arial" w:hAnsi="Arial"/>
                <w:sz w:val="14"/>
              </w:rPr>
            </w:pPr>
          </w:p>
        </w:tc>
        <w:tc>
          <w:tcPr>
            <w:tcW w:w="97" w:type="pct"/>
            <w:vAlign w:val="center"/>
          </w:tcPr>
          <w:p w14:paraId="34C4B2FE" w14:textId="77777777" w:rsidR="00F318A9" w:rsidRPr="00E123C3" w:rsidRDefault="00F318A9" w:rsidP="00F318A9">
            <w:pPr>
              <w:jc w:val="center"/>
              <w:rPr>
                <w:rFonts w:ascii="Arial" w:hAnsi="Arial"/>
                <w:sz w:val="14"/>
              </w:rPr>
            </w:pPr>
          </w:p>
        </w:tc>
        <w:tc>
          <w:tcPr>
            <w:tcW w:w="120" w:type="pct"/>
            <w:vAlign w:val="center"/>
          </w:tcPr>
          <w:p w14:paraId="7913837A" w14:textId="77777777" w:rsidR="00F318A9" w:rsidRPr="00E123C3" w:rsidRDefault="00F318A9" w:rsidP="00F318A9">
            <w:pPr>
              <w:jc w:val="center"/>
              <w:rPr>
                <w:rFonts w:ascii="Arial" w:hAnsi="Arial"/>
                <w:sz w:val="14"/>
              </w:rPr>
            </w:pPr>
          </w:p>
        </w:tc>
        <w:tc>
          <w:tcPr>
            <w:tcW w:w="97" w:type="pct"/>
            <w:vAlign w:val="center"/>
          </w:tcPr>
          <w:p w14:paraId="7CA7CAEA" w14:textId="77777777" w:rsidR="00F318A9" w:rsidRPr="00E123C3" w:rsidRDefault="00F318A9" w:rsidP="00F318A9">
            <w:pPr>
              <w:jc w:val="center"/>
              <w:rPr>
                <w:rFonts w:ascii="Arial" w:hAnsi="Arial"/>
                <w:sz w:val="14"/>
              </w:rPr>
            </w:pPr>
          </w:p>
        </w:tc>
        <w:tc>
          <w:tcPr>
            <w:tcW w:w="120" w:type="pct"/>
            <w:vAlign w:val="center"/>
          </w:tcPr>
          <w:p w14:paraId="4C206CEA" w14:textId="77777777" w:rsidR="00F318A9" w:rsidRPr="00E123C3" w:rsidRDefault="00F318A9" w:rsidP="00F318A9">
            <w:pPr>
              <w:jc w:val="center"/>
              <w:rPr>
                <w:rFonts w:ascii="Arial" w:hAnsi="Arial"/>
                <w:sz w:val="14"/>
              </w:rPr>
            </w:pPr>
          </w:p>
        </w:tc>
        <w:tc>
          <w:tcPr>
            <w:tcW w:w="120" w:type="pct"/>
            <w:vAlign w:val="center"/>
          </w:tcPr>
          <w:p w14:paraId="12FF3B3B" w14:textId="77777777" w:rsidR="00F318A9" w:rsidRPr="00E123C3" w:rsidRDefault="00F318A9" w:rsidP="00F318A9">
            <w:pPr>
              <w:jc w:val="center"/>
              <w:rPr>
                <w:rFonts w:ascii="Arial" w:hAnsi="Arial"/>
                <w:sz w:val="14"/>
              </w:rPr>
            </w:pPr>
          </w:p>
        </w:tc>
        <w:tc>
          <w:tcPr>
            <w:tcW w:w="120" w:type="pct"/>
            <w:vAlign w:val="center"/>
          </w:tcPr>
          <w:p w14:paraId="64900153" w14:textId="77777777" w:rsidR="00F318A9" w:rsidRPr="00E123C3" w:rsidRDefault="00F318A9" w:rsidP="00F318A9">
            <w:pPr>
              <w:jc w:val="center"/>
              <w:rPr>
                <w:rFonts w:ascii="Arial" w:hAnsi="Arial"/>
                <w:sz w:val="14"/>
              </w:rPr>
            </w:pPr>
          </w:p>
        </w:tc>
        <w:tc>
          <w:tcPr>
            <w:tcW w:w="120" w:type="pct"/>
            <w:vAlign w:val="center"/>
          </w:tcPr>
          <w:p w14:paraId="038FC484"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3D72BCFE"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75C92939"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413F5E74"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37174D9A" w14:textId="77777777" w:rsidR="00F318A9" w:rsidRPr="00E123C3" w:rsidRDefault="00F318A9" w:rsidP="00F318A9">
            <w:pPr>
              <w:jc w:val="center"/>
              <w:rPr>
                <w:rFonts w:ascii="Arial" w:hAnsi="Arial"/>
                <w:sz w:val="14"/>
              </w:rPr>
            </w:pPr>
            <w:r w:rsidRPr="00E123C3">
              <w:rPr>
                <w:rFonts w:ascii="Arial" w:hAnsi="Arial"/>
                <w:sz w:val="14"/>
              </w:rPr>
              <w:t>X</w:t>
            </w:r>
          </w:p>
        </w:tc>
        <w:tc>
          <w:tcPr>
            <w:tcW w:w="109" w:type="pct"/>
            <w:vAlign w:val="center"/>
          </w:tcPr>
          <w:p w14:paraId="1408CF09" w14:textId="77777777" w:rsidR="00F318A9" w:rsidRPr="00E123C3" w:rsidRDefault="00F318A9" w:rsidP="00F318A9">
            <w:pPr>
              <w:jc w:val="center"/>
              <w:rPr>
                <w:rFonts w:ascii="Arial" w:hAnsi="Arial"/>
                <w:sz w:val="14"/>
              </w:rPr>
            </w:pPr>
          </w:p>
        </w:tc>
        <w:tc>
          <w:tcPr>
            <w:tcW w:w="120" w:type="pct"/>
            <w:vAlign w:val="center"/>
          </w:tcPr>
          <w:p w14:paraId="30FB47B0" w14:textId="77777777" w:rsidR="00F318A9" w:rsidRPr="00E123C3" w:rsidRDefault="00F318A9" w:rsidP="00F318A9">
            <w:pPr>
              <w:jc w:val="center"/>
              <w:rPr>
                <w:rFonts w:ascii="Arial" w:hAnsi="Arial"/>
                <w:sz w:val="14"/>
              </w:rPr>
            </w:pPr>
          </w:p>
        </w:tc>
        <w:tc>
          <w:tcPr>
            <w:tcW w:w="120" w:type="pct"/>
            <w:vAlign w:val="center"/>
          </w:tcPr>
          <w:p w14:paraId="32FA065A" w14:textId="77777777" w:rsidR="00F318A9" w:rsidRPr="00E123C3" w:rsidRDefault="00F318A9" w:rsidP="00F318A9">
            <w:pPr>
              <w:jc w:val="center"/>
              <w:rPr>
                <w:rFonts w:ascii="Arial" w:hAnsi="Arial"/>
                <w:sz w:val="14"/>
              </w:rPr>
            </w:pPr>
          </w:p>
        </w:tc>
        <w:tc>
          <w:tcPr>
            <w:tcW w:w="120" w:type="pct"/>
            <w:vAlign w:val="center"/>
          </w:tcPr>
          <w:p w14:paraId="3CD27540" w14:textId="77777777" w:rsidR="00F318A9" w:rsidRPr="00E123C3" w:rsidRDefault="00F318A9" w:rsidP="00F318A9">
            <w:pPr>
              <w:jc w:val="center"/>
              <w:rPr>
                <w:rFonts w:ascii="Arial" w:hAnsi="Arial"/>
                <w:sz w:val="14"/>
              </w:rPr>
            </w:pPr>
          </w:p>
        </w:tc>
        <w:tc>
          <w:tcPr>
            <w:tcW w:w="120" w:type="pct"/>
            <w:vAlign w:val="center"/>
          </w:tcPr>
          <w:p w14:paraId="70E8E7D2" w14:textId="77777777" w:rsidR="00F318A9" w:rsidRPr="00E123C3" w:rsidRDefault="00F318A9" w:rsidP="00F318A9">
            <w:pPr>
              <w:jc w:val="center"/>
              <w:rPr>
                <w:rFonts w:ascii="Arial" w:hAnsi="Arial"/>
                <w:sz w:val="14"/>
              </w:rPr>
            </w:pPr>
          </w:p>
        </w:tc>
        <w:tc>
          <w:tcPr>
            <w:tcW w:w="120" w:type="pct"/>
            <w:vAlign w:val="center"/>
          </w:tcPr>
          <w:p w14:paraId="32125FBF" w14:textId="77777777" w:rsidR="00F318A9" w:rsidRPr="00E123C3" w:rsidRDefault="00F318A9" w:rsidP="00F318A9">
            <w:pPr>
              <w:jc w:val="center"/>
              <w:rPr>
                <w:rFonts w:ascii="Arial" w:hAnsi="Arial"/>
                <w:sz w:val="14"/>
              </w:rPr>
            </w:pPr>
          </w:p>
        </w:tc>
      </w:tr>
      <w:tr w:rsidR="00F318A9" w:rsidRPr="00E123C3" w14:paraId="3A0F1B7E" w14:textId="77777777" w:rsidTr="00F318A9">
        <w:trPr>
          <w:trHeight w:val="184"/>
          <w:jc w:val="center"/>
        </w:trPr>
        <w:tc>
          <w:tcPr>
            <w:tcW w:w="408" w:type="pct"/>
            <w:vMerge/>
          </w:tcPr>
          <w:p w14:paraId="60FCE224" w14:textId="77777777" w:rsidR="00F318A9" w:rsidRPr="00E123C3" w:rsidRDefault="00F318A9" w:rsidP="00F318A9">
            <w:pPr>
              <w:rPr>
                <w:rFonts w:ascii="Arial" w:hAnsi="Arial"/>
                <w:sz w:val="14"/>
              </w:rPr>
            </w:pPr>
          </w:p>
        </w:tc>
        <w:tc>
          <w:tcPr>
            <w:tcW w:w="408" w:type="pct"/>
            <w:vMerge/>
          </w:tcPr>
          <w:p w14:paraId="607C5CD0" w14:textId="77777777" w:rsidR="00F318A9" w:rsidRPr="00E123C3" w:rsidRDefault="00F318A9" w:rsidP="00F318A9">
            <w:pPr>
              <w:rPr>
                <w:rFonts w:ascii="Arial" w:hAnsi="Arial"/>
                <w:sz w:val="14"/>
              </w:rPr>
            </w:pPr>
          </w:p>
        </w:tc>
        <w:tc>
          <w:tcPr>
            <w:tcW w:w="459" w:type="pct"/>
            <w:vMerge/>
          </w:tcPr>
          <w:p w14:paraId="1E017A52" w14:textId="77777777" w:rsidR="00F318A9" w:rsidRPr="00E123C3" w:rsidRDefault="00F318A9" w:rsidP="00F318A9">
            <w:pPr>
              <w:rPr>
                <w:rFonts w:ascii="Arial" w:hAnsi="Arial"/>
                <w:sz w:val="14"/>
              </w:rPr>
            </w:pPr>
          </w:p>
        </w:tc>
        <w:tc>
          <w:tcPr>
            <w:tcW w:w="557" w:type="pct"/>
            <w:vMerge/>
          </w:tcPr>
          <w:p w14:paraId="39BE5EB3" w14:textId="77777777" w:rsidR="00F318A9" w:rsidRPr="00E123C3" w:rsidRDefault="00F318A9" w:rsidP="00F318A9">
            <w:pPr>
              <w:rPr>
                <w:rFonts w:ascii="Arial" w:hAnsi="Arial"/>
                <w:sz w:val="14"/>
              </w:rPr>
            </w:pPr>
          </w:p>
        </w:tc>
        <w:tc>
          <w:tcPr>
            <w:tcW w:w="1090" w:type="pct"/>
          </w:tcPr>
          <w:p w14:paraId="5743DABC" w14:textId="77777777" w:rsidR="00F318A9" w:rsidRPr="00E123C3" w:rsidRDefault="00F318A9" w:rsidP="00F318A9">
            <w:pPr>
              <w:rPr>
                <w:rFonts w:ascii="Arial" w:hAnsi="Arial"/>
                <w:sz w:val="14"/>
              </w:rPr>
            </w:pPr>
            <w:r w:rsidRPr="00E123C3">
              <w:rPr>
                <w:rFonts w:ascii="Arial" w:hAnsi="Arial"/>
                <w:sz w:val="14"/>
              </w:rPr>
              <w:t xml:space="preserve">Activity 4.1.5: Organize public consultation on the recommended national policy roadmap (including recommended levels of MEPS and HEPS, labeling scheme, and consumer awareness campaign) for refrigerators. This consultation will bring together representatives from the industry, importers, consumer groups, utility, </w:t>
            </w:r>
            <w:r w:rsidRPr="00E123C3">
              <w:rPr>
                <w:rFonts w:ascii="Arial" w:hAnsi="Arial" w:cs="Arial"/>
                <w:sz w:val="14"/>
                <w:szCs w:val="16"/>
              </w:rPr>
              <w:t>and academia.</w:t>
            </w:r>
            <w:r w:rsidRPr="00E123C3">
              <w:rPr>
                <w:rFonts w:ascii="Arial" w:hAnsi="Arial"/>
                <w:sz w:val="14"/>
              </w:rPr>
              <w:t xml:space="preserve"> The consultation will last three (3) months, including a national stakeholders consultation workshop</w:t>
            </w:r>
          </w:p>
          <w:p w14:paraId="612B32BD" w14:textId="77777777" w:rsidR="00F318A9" w:rsidRPr="00E123C3" w:rsidRDefault="00F318A9" w:rsidP="00F318A9">
            <w:pPr>
              <w:rPr>
                <w:rFonts w:ascii="Arial" w:hAnsi="Arial"/>
                <w:sz w:val="14"/>
              </w:rPr>
            </w:pPr>
          </w:p>
          <w:p w14:paraId="514671B3" w14:textId="77777777" w:rsidR="00F318A9" w:rsidRPr="00E123C3" w:rsidRDefault="00F318A9" w:rsidP="00F318A9">
            <w:pPr>
              <w:rPr>
                <w:rFonts w:ascii="Arial" w:hAnsi="Arial"/>
                <w:sz w:val="14"/>
              </w:rPr>
            </w:pPr>
            <w:r w:rsidRPr="00E123C3">
              <w:rPr>
                <w:rFonts w:ascii="Arial" w:hAnsi="Arial"/>
                <w:sz w:val="14"/>
              </w:rPr>
              <w:t>Deliverable 4.1.5: national stakeholders consultation workshop and consultation report</w:t>
            </w:r>
          </w:p>
        </w:tc>
        <w:tc>
          <w:tcPr>
            <w:tcW w:w="97" w:type="pct"/>
            <w:vAlign w:val="center"/>
          </w:tcPr>
          <w:p w14:paraId="1684AF3B" w14:textId="77777777" w:rsidR="00F318A9" w:rsidRPr="00E123C3" w:rsidRDefault="00F318A9" w:rsidP="00F318A9">
            <w:pPr>
              <w:jc w:val="center"/>
              <w:rPr>
                <w:rFonts w:ascii="Arial" w:hAnsi="Arial"/>
                <w:sz w:val="14"/>
              </w:rPr>
            </w:pPr>
          </w:p>
        </w:tc>
        <w:tc>
          <w:tcPr>
            <w:tcW w:w="97" w:type="pct"/>
            <w:vAlign w:val="center"/>
          </w:tcPr>
          <w:p w14:paraId="7B431DAE" w14:textId="77777777" w:rsidR="00F318A9" w:rsidRPr="00E123C3" w:rsidRDefault="00F318A9" w:rsidP="00F318A9">
            <w:pPr>
              <w:jc w:val="center"/>
              <w:rPr>
                <w:rFonts w:ascii="Arial" w:hAnsi="Arial"/>
                <w:sz w:val="14"/>
              </w:rPr>
            </w:pPr>
          </w:p>
        </w:tc>
        <w:tc>
          <w:tcPr>
            <w:tcW w:w="120" w:type="pct"/>
            <w:vAlign w:val="center"/>
          </w:tcPr>
          <w:p w14:paraId="58D6A5B4" w14:textId="77777777" w:rsidR="00F318A9" w:rsidRPr="00E123C3" w:rsidRDefault="00F318A9" w:rsidP="00F318A9">
            <w:pPr>
              <w:jc w:val="center"/>
              <w:rPr>
                <w:rFonts w:ascii="Arial" w:hAnsi="Arial"/>
                <w:sz w:val="14"/>
              </w:rPr>
            </w:pPr>
          </w:p>
        </w:tc>
        <w:tc>
          <w:tcPr>
            <w:tcW w:w="97" w:type="pct"/>
            <w:vAlign w:val="center"/>
          </w:tcPr>
          <w:p w14:paraId="3D9FD038" w14:textId="77777777" w:rsidR="00F318A9" w:rsidRPr="00E123C3" w:rsidRDefault="00F318A9" w:rsidP="00F318A9">
            <w:pPr>
              <w:jc w:val="center"/>
              <w:rPr>
                <w:rFonts w:ascii="Arial" w:hAnsi="Arial"/>
                <w:sz w:val="14"/>
              </w:rPr>
            </w:pPr>
          </w:p>
        </w:tc>
        <w:tc>
          <w:tcPr>
            <w:tcW w:w="120" w:type="pct"/>
            <w:vAlign w:val="center"/>
          </w:tcPr>
          <w:p w14:paraId="3703C86A" w14:textId="77777777" w:rsidR="00F318A9" w:rsidRPr="00E123C3" w:rsidRDefault="00F318A9" w:rsidP="00F318A9">
            <w:pPr>
              <w:jc w:val="center"/>
              <w:rPr>
                <w:rFonts w:ascii="Arial" w:hAnsi="Arial"/>
                <w:sz w:val="14"/>
              </w:rPr>
            </w:pPr>
          </w:p>
        </w:tc>
        <w:tc>
          <w:tcPr>
            <w:tcW w:w="120" w:type="pct"/>
            <w:vAlign w:val="center"/>
          </w:tcPr>
          <w:p w14:paraId="272C5CB5" w14:textId="77777777" w:rsidR="00F318A9" w:rsidRPr="00E123C3" w:rsidRDefault="00F318A9" w:rsidP="00F318A9">
            <w:pPr>
              <w:jc w:val="center"/>
              <w:rPr>
                <w:rFonts w:ascii="Arial" w:hAnsi="Arial"/>
                <w:sz w:val="14"/>
              </w:rPr>
            </w:pPr>
          </w:p>
        </w:tc>
        <w:tc>
          <w:tcPr>
            <w:tcW w:w="120" w:type="pct"/>
            <w:vAlign w:val="center"/>
          </w:tcPr>
          <w:p w14:paraId="6BED4931" w14:textId="77777777" w:rsidR="00F318A9" w:rsidRPr="00E123C3" w:rsidRDefault="00F318A9" w:rsidP="00F318A9">
            <w:pPr>
              <w:jc w:val="center"/>
              <w:rPr>
                <w:rFonts w:ascii="Arial" w:hAnsi="Arial"/>
                <w:sz w:val="14"/>
              </w:rPr>
            </w:pPr>
          </w:p>
        </w:tc>
        <w:tc>
          <w:tcPr>
            <w:tcW w:w="120" w:type="pct"/>
            <w:vAlign w:val="center"/>
          </w:tcPr>
          <w:p w14:paraId="091DDAE9"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5963C4BB"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637F1A97"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1E2BF8D6"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17F5E563" w14:textId="77777777" w:rsidR="00F318A9" w:rsidRPr="00E123C3" w:rsidRDefault="00F318A9" w:rsidP="00F318A9">
            <w:pPr>
              <w:jc w:val="center"/>
              <w:rPr>
                <w:rFonts w:ascii="Arial" w:hAnsi="Arial"/>
                <w:sz w:val="14"/>
              </w:rPr>
            </w:pPr>
          </w:p>
        </w:tc>
        <w:tc>
          <w:tcPr>
            <w:tcW w:w="109" w:type="pct"/>
            <w:shd w:val="clear" w:color="auto" w:fill="C5E0B3" w:themeFill="accent6" w:themeFillTint="66"/>
            <w:vAlign w:val="center"/>
          </w:tcPr>
          <w:p w14:paraId="4F6DD0EB"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42F4ABED"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vAlign w:val="center"/>
          </w:tcPr>
          <w:p w14:paraId="3F7473CC" w14:textId="77777777" w:rsidR="00F318A9" w:rsidRPr="00E123C3" w:rsidRDefault="00F318A9" w:rsidP="00F318A9">
            <w:pPr>
              <w:jc w:val="center"/>
              <w:rPr>
                <w:rFonts w:ascii="Arial" w:hAnsi="Arial"/>
                <w:sz w:val="14"/>
              </w:rPr>
            </w:pPr>
          </w:p>
        </w:tc>
        <w:tc>
          <w:tcPr>
            <w:tcW w:w="120" w:type="pct"/>
            <w:vAlign w:val="center"/>
          </w:tcPr>
          <w:p w14:paraId="718B24A2" w14:textId="77777777" w:rsidR="00F318A9" w:rsidRPr="00E123C3" w:rsidRDefault="00F318A9" w:rsidP="00F318A9">
            <w:pPr>
              <w:jc w:val="center"/>
              <w:rPr>
                <w:rFonts w:ascii="Arial" w:hAnsi="Arial"/>
                <w:sz w:val="14"/>
              </w:rPr>
            </w:pPr>
          </w:p>
        </w:tc>
        <w:tc>
          <w:tcPr>
            <w:tcW w:w="120" w:type="pct"/>
            <w:vAlign w:val="center"/>
          </w:tcPr>
          <w:p w14:paraId="02095EA8" w14:textId="77777777" w:rsidR="00F318A9" w:rsidRPr="00E123C3" w:rsidRDefault="00F318A9" w:rsidP="00F318A9">
            <w:pPr>
              <w:jc w:val="center"/>
              <w:rPr>
                <w:rFonts w:ascii="Arial" w:hAnsi="Arial"/>
                <w:sz w:val="14"/>
              </w:rPr>
            </w:pPr>
          </w:p>
        </w:tc>
        <w:tc>
          <w:tcPr>
            <w:tcW w:w="120" w:type="pct"/>
            <w:vAlign w:val="center"/>
          </w:tcPr>
          <w:p w14:paraId="3C80F3A0" w14:textId="77777777" w:rsidR="00F318A9" w:rsidRPr="00E123C3" w:rsidRDefault="00F318A9" w:rsidP="00F318A9">
            <w:pPr>
              <w:jc w:val="center"/>
              <w:rPr>
                <w:rFonts w:ascii="Arial" w:hAnsi="Arial"/>
                <w:sz w:val="14"/>
              </w:rPr>
            </w:pPr>
          </w:p>
        </w:tc>
      </w:tr>
      <w:tr w:rsidR="00F318A9" w:rsidRPr="00E123C3" w14:paraId="0802978F" w14:textId="77777777" w:rsidTr="00F318A9">
        <w:trPr>
          <w:trHeight w:val="184"/>
          <w:jc w:val="center"/>
        </w:trPr>
        <w:tc>
          <w:tcPr>
            <w:tcW w:w="408" w:type="pct"/>
            <w:vMerge/>
          </w:tcPr>
          <w:p w14:paraId="709E7D7F" w14:textId="77777777" w:rsidR="00F318A9" w:rsidRPr="00E123C3" w:rsidRDefault="00F318A9" w:rsidP="00F318A9">
            <w:pPr>
              <w:rPr>
                <w:rFonts w:ascii="Arial" w:hAnsi="Arial"/>
                <w:sz w:val="14"/>
              </w:rPr>
            </w:pPr>
          </w:p>
        </w:tc>
        <w:tc>
          <w:tcPr>
            <w:tcW w:w="408" w:type="pct"/>
            <w:vMerge/>
          </w:tcPr>
          <w:p w14:paraId="0B417158" w14:textId="77777777" w:rsidR="00F318A9" w:rsidRPr="00E123C3" w:rsidRDefault="00F318A9" w:rsidP="00F318A9">
            <w:pPr>
              <w:rPr>
                <w:rFonts w:ascii="Arial" w:hAnsi="Arial"/>
                <w:sz w:val="14"/>
              </w:rPr>
            </w:pPr>
          </w:p>
        </w:tc>
        <w:tc>
          <w:tcPr>
            <w:tcW w:w="459" w:type="pct"/>
            <w:vMerge/>
          </w:tcPr>
          <w:p w14:paraId="68A5E85A" w14:textId="77777777" w:rsidR="00F318A9" w:rsidRPr="00E123C3" w:rsidRDefault="00F318A9" w:rsidP="00F318A9">
            <w:pPr>
              <w:rPr>
                <w:rFonts w:ascii="Arial" w:hAnsi="Arial"/>
                <w:sz w:val="14"/>
              </w:rPr>
            </w:pPr>
          </w:p>
        </w:tc>
        <w:tc>
          <w:tcPr>
            <w:tcW w:w="557" w:type="pct"/>
            <w:vMerge/>
          </w:tcPr>
          <w:p w14:paraId="3FCFA50E" w14:textId="77777777" w:rsidR="00F318A9" w:rsidRPr="00E123C3" w:rsidRDefault="00F318A9" w:rsidP="00F318A9">
            <w:pPr>
              <w:rPr>
                <w:rFonts w:ascii="Arial" w:hAnsi="Arial"/>
                <w:sz w:val="14"/>
              </w:rPr>
            </w:pPr>
          </w:p>
        </w:tc>
        <w:tc>
          <w:tcPr>
            <w:tcW w:w="1090" w:type="pct"/>
          </w:tcPr>
          <w:p w14:paraId="1BFBD431" w14:textId="77777777" w:rsidR="00F318A9" w:rsidRPr="00E123C3" w:rsidRDefault="00F318A9" w:rsidP="00F318A9">
            <w:pPr>
              <w:rPr>
                <w:rFonts w:ascii="Arial" w:hAnsi="Arial"/>
                <w:sz w:val="14"/>
              </w:rPr>
            </w:pPr>
            <w:r w:rsidRPr="00E123C3">
              <w:rPr>
                <w:rFonts w:ascii="Arial" w:hAnsi="Arial"/>
                <w:sz w:val="14"/>
              </w:rPr>
              <w:t>Activity 4.1.6: Finalization of the national policy roadmap for refrigerators by the PWG. This will include the preparation of a report on the outcomes of the public consultation with recommendations for finalization of the roadmap. The finalization of the roadmap will be done by the PWG.</w:t>
            </w:r>
          </w:p>
          <w:p w14:paraId="270827EE" w14:textId="77777777" w:rsidR="00F318A9" w:rsidRPr="00E123C3" w:rsidRDefault="00F318A9" w:rsidP="00F318A9">
            <w:pPr>
              <w:rPr>
                <w:rFonts w:ascii="Arial" w:hAnsi="Arial"/>
                <w:sz w:val="14"/>
              </w:rPr>
            </w:pPr>
          </w:p>
          <w:p w14:paraId="7EF09DEA" w14:textId="77777777" w:rsidR="00F318A9" w:rsidRPr="00E123C3" w:rsidRDefault="00F318A9" w:rsidP="00F318A9">
            <w:pPr>
              <w:rPr>
                <w:rFonts w:ascii="Arial" w:hAnsi="Arial"/>
                <w:sz w:val="14"/>
              </w:rPr>
            </w:pPr>
            <w:r w:rsidRPr="00E123C3">
              <w:rPr>
                <w:rFonts w:ascii="Arial" w:hAnsi="Arial"/>
                <w:sz w:val="14"/>
              </w:rPr>
              <w:t>Deliverable 4.1.6: national policy roadmap</w:t>
            </w:r>
          </w:p>
        </w:tc>
        <w:tc>
          <w:tcPr>
            <w:tcW w:w="97" w:type="pct"/>
            <w:vAlign w:val="center"/>
          </w:tcPr>
          <w:p w14:paraId="6FE70CA5" w14:textId="77777777" w:rsidR="00F318A9" w:rsidRPr="00E123C3" w:rsidRDefault="00F318A9" w:rsidP="00F318A9">
            <w:pPr>
              <w:jc w:val="center"/>
              <w:rPr>
                <w:rFonts w:ascii="Arial" w:hAnsi="Arial"/>
                <w:sz w:val="14"/>
              </w:rPr>
            </w:pPr>
          </w:p>
        </w:tc>
        <w:tc>
          <w:tcPr>
            <w:tcW w:w="97" w:type="pct"/>
            <w:vAlign w:val="center"/>
          </w:tcPr>
          <w:p w14:paraId="0DDD12DA" w14:textId="77777777" w:rsidR="00F318A9" w:rsidRPr="00E123C3" w:rsidRDefault="00F318A9" w:rsidP="00F318A9">
            <w:pPr>
              <w:jc w:val="center"/>
              <w:rPr>
                <w:rFonts w:ascii="Arial" w:hAnsi="Arial"/>
                <w:sz w:val="14"/>
              </w:rPr>
            </w:pPr>
          </w:p>
        </w:tc>
        <w:tc>
          <w:tcPr>
            <w:tcW w:w="120" w:type="pct"/>
            <w:vAlign w:val="center"/>
          </w:tcPr>
          <w:p w14:paraId="7528E0E0" w14:textId="77777777" w:rsidR="00F318A9" w:rsidRPr="00E123C3" w:rsidRDefault="00F318A9" w:rsidP="00F318A9">
            <w:pPr>
              <w:jc w:val="center"/>
              <w:rPr>
                <w:rFonts w:ascii="Arial" w:hAnsi="Arial"/>
                <w:sz w:val="14"/>
              </w:rPr>
            </w:pPr>
          </w:p>
        </w:tc>
        <w:tc>
          <w:tcPr>
            <w:tcW w:w="97" w:type="pct"/>
            <w:vAlign w:val="center"/>
          </w:tcPr>
          <w:p w14:paraId="3C47ED9B" w14:textId="77777777" w:rsidR="00F318A9" w:rsidRPr="00E123C3" w:rsidRDefault="00F318A9" w:rsidP="00F318A9">
            <w:pPr>
              <w:jc w:val="center"/>
              <w:rPr>
                <w:rFonts w:ascii="Arial" w:hAnsi="Arial"/>
                <w:sz w:val="14"/>
              </w:rPr>
            </w:pPr>
          </w:p>
        </w:tc>
        <w:tc>
          <w:tcPr>
            <w:tcW w:w="120" w:type="pct"/>
            <w:vAlign w:val="center"/>
          </w:tcPr>
          <w:p w14:paraId="2E733371" w14:textId="77777777" w:rsidR="00F318A9" w:rsidRPr="00E123C3" w:rsidRDefault="00F318A9" w:rsidP="00F318A9">
            <w:pPr>
              <w:jc w:val="center"/>
              <w:rPr>
                <w:rFonts w:ascii="Arial" w:hAnsi="Arial"/>
                <w:sz w:val="14"/>
              </w:rPr>
            </w:pPr>
          </w:p>
        </w:tc>
        <w:tc>
          <w:tcPr>
            <w:tcW w:w="120" w:type="pct"/>
            <w:vAlign w:val="center"/>
          </w:tcPr>
          <w:p w14:paraId="1489519E" w14:textId="77777777" w:rsidR="00F318A9" w:rsidRPr="00E123C3" w:rsidRDefault="00F318A9" w:rsidP="00F318A9">
            <w:pPr>
              <w:jc w:val="center"/>
              <w:rPr>
                <w:rFonts w:ascii="Arial" w:hAnsi="Arial"/>
                <w:sz w:val="14"/>
              </w:rPr>
            </w:pPr>
          </w:p>
        </w:tc>
        <w:tc>
          <w:tcPr>
            <w:tcW w:w="120" w:type="pct"/>
            <w:vAlign w:val="center"/>
          </w:tcPr>
          <w:p w14:paraId="730CCC86" w14:textId="77777777" w:rsidR="00F318A9" w:rsidRPr="00E123C3" w:rsidRDefault="00F318A9" w:rsidP="00F318A9">
            <w:pPr>
              <w:jc w:val="center"/>
              <w:rPr>
                <w:rFonts w:ascii="Arial" w:hAnsi="Arial"/>
                <w:sz w:val="14"/>
              </w:rPr>
            </w:pPr>
          </w:p>
        </w:tc>
        <w:tc>
          <w:tcPr>
            <w:tcW w:w="120" w:type="pct"/>
            <w:vAlign w:val="center"/>
          </w:tcPr>
          <w:p w14:paraId="4D0F1E60" w14:textId="77777777" w:rsidR="00F318A9" w:rsidRPr="00E123C3" w:rsidRDefault="00F318A9" w:rsidP="00F318A9">
            <w:pPr>
              <w:jc w:val="center"/>
              <w:rPr>
                <w:rFonts w:ascii="Arial" w:hAnsi="Arial"/>
                <w:sz w:val="14"/>
              </w:rPr>
            </w:pPr>
          </w:p>
        </w:tc>
        <w:tc>
          <w:tcPr>
            <w:tcW w:w="120" w:type="pct"/>
            <w:vAlign w:val="center"/>
          </w:tcPr>
          <w:p w14:paraId="580D1FB7" w14:textId="77777777" w:rsidR="00F318A9" w:rsidRPr="00E123C3" w:rsidRDefault="00F318A9" w:rsidP="00F318A9">
            <w:pPr>
              <w:jc w:val="center"/>
              <w:rPr>
                <w:rFonts w:ascii="Arial" w:hAnsi="Arial"/>
                <w:sz w:val="14"/>
              </w:rPr>
            </w:pPr>
          </w:p>
        </w:tc>
        <w:tc>
          <w:tcPr>
            <w:tcW w:w="120" w:type="pct"/>
            <w:vAlign w:val="center"/>
          </w:tcPr>
          <w:p w14:paraId="0A869D54" w14:textId="77777777" w:rsidR="00F318A9" w:rsidRPr="00E123C3" w:rsidRDefault="00F318A9" w:rsidP="00F318A9">
            <w:pPr>
              <w:jc w:val="center"/>
              <w:rPr>
                <w:rFonts w:ascii="Arial" w:hAnsi="Arial"/>
                <w:sz w:val="14"/>
              </w:rPr>
            </w:pPr>
          </w:p>
        </w:tc>
        <w:tc>
          <w:tcPr>
            <w:tcW w:w="120" w:type="pct"/>
            <w:vAlign w:val="center"/>
          </w:tcPr>
          <w:p w14:paraId="694E5DEE" w14:textId="77777777" w:rsidR="00F318A9" w:rsidRPr="00E123C3" w:rsidRDefault="00F318A9" w:rsidP="00F318A9">
            <w:pPr>
              <w:jc w:val="center"/>
              <w:rPr>
                <w:rFonts w:ascii="Arial" w:hAnsi="Arial"/>
                <w:sz w:val="14"/>
              </w:rPr>
            </w:pPr>
          </w:p>
        </w:tc>
        <w:tc>
          <w:tcPr>
            <w:tcW w:w="120" w:type="pct"/>
            <w:vAlign w:val="center"/>
          </w:tcPr>
          <w:p w14:paraId="7E76590F" w14:textId="77777777" w:rsidR="00F318A9" w:rsidRPr="00E123C3" w:rsidRDefault="00F318A9" w:rsidP="00F318A9">
            <w:pPr>
              <w:jc w:val="center"/>
              <w:rPr>
                <w:rFonts w:ascii="Arial" w:hAnsi="Arial"/>
                <w:sz w:val="14"/>
              </w:rPr>
            </w:pPr>
          </w:p>
        </w:tc>
        <w:tc>
          <w:tcPr>
            <w:tcW w:w="109" w:type="pct"/>
            <w:vAlign w:val="center"/>
          </w:tcPr>
          <w:p w14:paraId="1D43A058"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466B083D"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1327F5D0"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7F0DE461"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vAlign w:val="center"/>
          </w:tcPr>
          <w:p w14:paraId="52FF69CE" w14:textId="77777777" w:rsidR="00F318A9" w:rsidRPr="00E123C3" w:rsidRDefault="00F318A9" w:rsidP="00F318A9">
            <w:pPr>
              <w:jc w:val="center"/>
              <w:rPr>
                <w:rFonts w:ascii="Arial" w:hAnsi="Arial"/>
                <w:sz w:val="14"/>
              </w:rPr>
            </w:pPr>
          </w:p>
        </w:tc>
        <w:tc>
          <w:tcPr>
            <w:tcW w:w="120" w:type="pct"/>
            <w:vAlign w:val="center"/>
          </w:tcPr>
          <w:p w14:paraId="2B8AD463" w14:textId="77777777" w:rsidR="00F318A9" w:rsidRPr="00E123C3" w:rsidRDefault="00F318A9" w:rsidP="00F318A9">
            <w:pPr>
              <w:jc w:val="center"/>
              <w:rPr>
                <w:rFonts w:ascii="Arial" w:hAnsi="Arial"/>
                <w:sz w:val="14"/>
              </w:rPr>
            </w:pPr>
          </w:p>
        </w:tc>
      </w:tr>
      <w:tr w:rsidR="00F318A9" w:rsidRPr="00E123C3" w14:paraId="746E186A" w14:textId="77777777" w:rsidTr="00F318A9">
        <w:trPr>
          <w:trHeight w:val="184"/>
          <w:jc w:val="center"/>
        </w:trPr>
        <w:tc>
          <w:tcPr>
            <w:tcW w:w="408" w:type="pct"/>
            <w:vMerge/>
          </w:tcPr>
          <w:p w14:paraId="667D0843" w14:textId="77777777" w:rsidR="00F318A9" w:rsidRPr="00E123C3" w:rsidRDefault="00F318A9" w:rsidP="00F318A9">
            <w:pPr>
              <w:rPr>
                <w:rFonts w:ascii="Arial" w:hAnsi="Arial"/>
                <w:sz w:val="14"/>
              </w:rPr>
            </w:pPr>
          </w:p>
        </w:tc>
        <w:tc>
          <w:tcPr>
            <w:tcW w:w="408" w:type="pct"/>
            <w:vMerge/>
          </w:tcPr>
          <w:p w14:paraId="65B2DED6" w14:textId="77777777" w:rsidR="00F318A9" w:rsidRPr="00E123C3" w:rsidRDefault="00F318A9" w:rsidP="00F318A9">
            <w:pPr>
              <w:rPr>
                <w:rFonts w:ascii="Arial" w:hAnsi="Arial"/>
                <w:sz w:val="14"/>
              </w:rPr>
            </w:pPr>
          </w:p>
        </w:tc>
        <w:tc>
          <w:tcPr>
            <w:tcW w:w="459" w:type="pct"/>
            <w:vMerge/>
          </w:tcPr>
          <w:p w14:paraId="1A1B922F" w14:textId="77777777" w:rsidR="00F318A9" w:rsidRPr="00E123C3" w:rsidRDefault="00F318A9" w:rsidP="00F318A9">
            <w:pPr>
              <w:rPr>
                <w:rFonts w:ascii="Arial" w:hAnsi="Arial"/>
                <w:sz w:val="14"/>
              </w:rPr>
            </w:pPr>
          </w:p>
        </w:tc>
        <w:tc>
          <w:tcPr>
            <w:tcW w:w="557" w:type="pct"/>
            <w:vMerge/>
          </w:tcPr>
          <w:p w14:paraId="2EC3D1C4" w14:textId="77777777" w:rsidR="00F318A9" w:rsidRPr="00E123C3" w:rsidRDefault="00F318A9" w:rsidP="00F318A9">
            <w:pPr>
              <w:rPr>
                <w:rFonts w:ascii="Arial" w:hAnsi="Arial"/>
                <w:sz w:val="14"/>
              </w:rPr>
            </w:pPr>
          </w:p>
        </w:tc>
        <w:tc>
          <w:tcPr>
            <w:tcW w:w="1090" w:type="pct"/>
          </w:tcPr>
          <w:p w14:paraId="29532AFD" w14:textId="77777777" w:rsidR="00F318A9" w:rsidRPr="00E123C3" w:rsidRDefault="00F318A9" w:rsidP="00F318A9">
            <w:pPr>
              <w:rPr>
                <w:rFonts w:ascii="Arial" w:hAnsi="Arial"/>
                <w:sz w:val="14"/>
              </w:rPr>
            </w:pPr>
            <w:r w:rsidRPr="00E123C3">
              <w:rPr>
                <w:rFonts w:ascii="Arial" w:hAnsi="Arial"/>
                <w:sz w:val="14"/>
              </w:rPr>
              <w:t xml:space="preserve">Activity 4.1.7: Development of national MV&amp;E plan for refrigerators. Initial consultation conducted during proposal preparation highlighted the following: the national MV&amp;E framework shall be based </w:t>
            </w:r>
            <w:proofErr w:type="gramStart"/>
            <w:r w:rsidRPr="00E123C3">
              <w:rPr>
                <w:rFonts w:ascii="Arial" w:hAnsi="Arial"/>
                <w:sz w:val="14"/>
              </w:rPr>
              <w:t>on:</w:t>
            </w:r>
            <w:proofErr w:type="gramEnd"/>
            <w:r w:rsidRPr="00E123C3">
              <w:rPr>
                <w:rFonts w:ascii="Arial" w:hAnsi="Arial"/>
                <w:sz w:val="14"/>
              </w:rPr>
              <w:t xml:space="preserve"> capacity reinforcement of custom officials since most refrigerators are imported; design of non-compliance measures. This activity will be conducted through the work of the PWG during its regular meetings. It will be supported by the policy expert.</w:t>
            </w:r>
          </w:p>
          <w:p w14:paraId="76A4FD21" w14:textId="77777777" w:rsidR="00F318A9" w:rsidRPr="00E123C3" w:rsidRDefault="00F318A9" w:rsidP="00F318A9">
            <w:pPr>
              <w:rPr>
                <w:rFonts w:ascii="Arial" w:hAnsi="Arial"/>
                <w:sz w:val="14"/>
              </w:rPr>
            </w:pPr>
          </w:p>
          <w:p w14:paraId="328FD74C" w14:textId="77777777" w:rsidR="00F318A9" w:rsidRPr="00E123C3" w:rsidRDefault="00F318A9" w:rsidP="00F318A9">
            <w:pPr>
              <w:rPr>
                <w:rFonts w:ascii="Arial" w:hAnsi="Arial"/>
                <w:sz w:val="14"/>
              </w:rPr>
            </w:pPr>
            <w:r w:rsidRPr="00E123C3">
              <w:rPr>
                <w:rFonts w:ascii="Arial" w:hAnsi="Arial"/>
                <w:sz w:val="14"/>
              </w:rPr>
              <w:t>Deliverable 4.1.7: national MV&amp;E plan for refrigerators</w:t>
            </w:r>
          </w:p>
        </w:tc>
        <w:tc>
          <w:tcPr>
            <w:tcW w:w="97" w:type="pct"/>
            <w:vAlign w:val="center"/>
          </w:tcPr>
          <w:p w14:paraId="53433F46" w14:textId="77777777" w:rsidR="00F318A9" w:rsidRPr="00E123C3" w:rsidRDefault="00F318A9" w:rsidP="00F318A9">
            <w:pPr>
              <w:jc w:val="center"/>
              <w:rPr>
                <w:rFonts w:ascii="Arial" w:hAnsi="Arial"/>
                <w:sz w:val="14"/>
              </w:rPr>
            </w:pPr>
          </w:p>
        </w:tc>
        <w:tc>
          <w:tcPr>
            <w:tcW w:w="97" w:type="pct"/>
            <w:vAlign w:val="center"/>
          </w:tcPr>
          <w:p w14:paraId="55DF30E7" w14:textId="77777777" w:rsidR="00F318A9" w:rsidRPr="00E123C3" w:rsidRDefault="00F318A9" w:rsidP="00F318A9">
            <w:pPr>
              <w:jc w:val="center"/>
              <w:rPr>
                <w:rFonts w:ascii="Arial" w:hAnsi="Arial"/>
                <w:sz w:val="14"/>
              </w:rPr>
            </w:pPr>
          </w:p>
        </w:tc>
        <w:tc>
          <w:tcPr>
            <w:tcW w:w="120" w:type="pct"/>
            <w:vAlign w:val="center"/>
          </w:tcPr>
          <w:p w14:paraId="6E63EAE7" w14:textId="77777777" w:rsidR="00F318A9" w:rsidRPr="00E123C3" w:rsidRDefault="00F318A9" w:rsidP="00F318A9">
            <w:pPr>
              <w:jc w:val="center"/>
              <w:rPr>
                <w:rFonts w:ascii="Arial" w:hAnsi="Arial"/>
                <w:sz w:val="14"/>
              </w:rPr>
            </w:pPr>
          </w:p>
        </w:tc>
        <w:tc>
          <w:tcPr>
            <w:tcW w:w="97" w:type="pct"/>
            <w:vAlign w:val="center"/>
          </w:tcPr>
          <w:p w14:paraId="0A3789B8" w14:textId="77777777" w:rsidR="00F318A9" w:rsidRPr="00E123C3" w:rsidRDefault="00F318A9" w:rsidP="00F318A9">
            <w:pPr>
              <w:jc w:val="center"/>
              <w:rPr>
                <w:rFonts w:ascii="Arial" w:hAnsi="Arial"/>
                <w:sz w:val="14"/>
              </w:rPr>
            </w:pPr>
          </w:p>
        </w:tc>
        <w:tc>
          <w:tcPr>
            <w:tcW w:w="120" w:type="pct"/>
            <w:vAlign w:val="center"/>
          </w:tcPr>
          <w:p w14:paraId="0FAB1D9B"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329B7AE8"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11C6E795"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16AEF5AE"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5113D0AD"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shd w:val="clear" w:color="auto" w:fill="FFFFFF" w:themeFill="background1"/>
            <w:vAlign w:val="center"/>
          </w:tcPr>
          <w:p w14:paraId="00396D18"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361AE8F1"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41673A5F" w14:textId="77777777" w:rsidR="00F318A9" w:rsidRPr="00E123C3" w:rsidRDefault="00F318A9" w:rsidP="00F318A9">
            <w:pPr>
              <w:jc w:val="center"/>
              <w:rPr>
                <w:rFonts w:ascii="Arial" w:hAnsi="Arial"/>
                <w:sz w:val="14"/>
              </w:rPr>
            </w:pPr>
          </w:p>
        </w:tc>
        <w:tc>
          <w:tcPr>
            <w:tcW w:w="109" w:type="pct"/>
            <w:shd w:val="clear" w:color="auto" w:fill="FFFFFF" w:themeFill="background1"/>
            <w:vAlign w:val="center"/>
          </w:tcPr>
          <w:p w14:paraId="3037280D"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4F0856E2"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0DFA05FB"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4BC4148C" w14:textId="77777777" w:rsidR="00F318A9" w:rsidRPr="00E123C3" w:rsidRDefault="00F318A9" w:rsidP="00F318A9">
            <w:pPr>
              <w:jc w:val="center"/>
              <w:rPr>
                <w:rFonts w:ascii="Arial" w:hAnsi="Arial"/>
                <w:sz w:val="14"/>
              </w:rPr>
            </w:pPr>
          </w:p>
        </w:tc>
        <w:tc>
          <w:tcPr>
            <w:tcW w:w="120" w:type="pct"/>
            <w:vAlign w:val="center"/>
          </w:tcPr>
          <w:p w14:paraId="3C5518B3" w14:textId="77777777" w:rsidR="00F318A9" w:rsidRPr="00E123C3" w:rsidRDefault="00F318A9" w:rsidP="00F318A9">
            <w:pPr>
              <w:jc w:val="center"/>
              <w:rPr>
                <w:rFonts w:ascii="Arial" w:hAnsi="Arial"/>
                <w:sz w:val="14"/>
              </w:rPr>
            </w:pPr>
          </w:p>
        </w:tc>
        <w:tc>
          <w:tcPr>
            <w:tcW w:w="120" w:type="pct"/>
            <w:vAlign w:val="center"/>
          </w:tcPr>
          <w:p w14:paraId="27A15CB3" w14:textId="77777777" w:rsidR="00F318A9" w:rsidRPr="00E123C3" w:rsidRDefault="00F318A9" w:rsidP="00F318A9">
            <w:pPr>
              <w:jc w:val="center"/>
              <w:rPr>
                <w:rFonts w:ascii="Arial" w:hAnsi="Arial"/>
                <w:sz w:val="14"/>
              </w:rPr>
            </w:pPr>
          </w:p>
        </w:tc>
      </w:tr>
      <w:tr w:rsidR="00F318A9" w:rsidRPr="00E123C3" w14:paraId="15946F44" w14:textId="77777777" w:rsidTr="00F318A9">
        <w:trPr>
          <w:trHeight w:val="184"/>
          <w:jc w:val="center"/>
        </w:trPr>
        <w:tc>
          <w:tcPr>
            <w:tcW w:w="408" w:type="pct"/>
            <w:vMerge/>
          </w:tcPr>
          <w:p w14:paraId="3EAB8F19" w14:textId="77777777" w:rsidR="00F318A9" w:rsidRPr="00E123C3" w:rsidRDefault="00F318A9" w:rsidP="00F318A9">
            <w:pPr>
              <w:rPr>
                <w:rFonts w:ascii="Arial" w:hAnsi="Arial"/>
                <w:sz w:val="14"/>
              </w:rPr>
            </w:pPr>
          </w:p>
        </w:tc>
        <w:tc>
          <w:tcPr>
            <w:tcW w:w="408" w:type="pct"/>
            <w:vMerge/>
          </w:tcPr>
          <w:p w14:paraId="569D7DD5" w14:textId="77777777" w:rsidR="00F318A9" w:rsidRPr="00E123C3" w:rsidRDefault="00F318A9" w:rsidP="00F318A9">
            <w:pPr>
              <w:rPr>
                <w:rFonts w:ascii="Arial" w:hAnsi="Arial"/>
                <w:sz w:val="14"/>
              </w:rPr>
            </w:pPr>
          </w:p>
        </w:tc>
        <w:tc>
          <w:tcPr>
            <w:tcW w:w="459" w:type="pct"/>
            <w:vMerge/>
          </w:tcPr>
          <w:p w14:paraId="72F146B7" w14:textId="77777777" w:rsidR="00F318A9" w:rsidRPr="00E123C3" w:rsidRDefault="00F318A9" w:rsidP="00F318A9">
            <w:pPr>
              <w:rPr>
                <w:rFonts w:ascii="Arial" w:hAnsi="Arial"/>
                <w:sz w:val="14"/>
              </w:rPr>
            </w:pPr>
          </w:p>
        </w:tc>
        <w:tc>
          <w:tcPr>
            <w:tcW w:w="557" w:type="pct"/>
            <w:vMerge/>
          </w:tcPr>
          <w:p w14:paraId="2D32E1BA" w14:textId="77777777" w:rsidR="00F318A9" w:rsidRPr="00E123C3" w:rsidRDefault="00F318A9" w:rsidP="00F318A9">
            <w:pPr>
              <w:rPr>
                <w:rFonts w:ascii="Arial" w:hAnsi="Arial"/>
                <w:sz w:val="14"/>
              </w:rPr>
            </w:pPr>
          </w:p>
        </w:tc>
        <w:tc>
          <w:tcPr>
            <w:tcW w:w="1090" w:type="pct"/>
            <w:shd w:val="clear" w:color="auto" w:fill="FFFFFF" w:themeFill="background1"/>
          </w:tcPr>
          <w:p w14:paraId="140A712B" w14:textId="77777777" w:rsidR="00F318A9" w:rsidRPr="00E123C3" w:rsidRDefault="00F318A9" w:rsidP="00F318A9">
            <w:pPr>
              <w:rPr>
                <w:rFonts w:ascii="Arial" w:hAnsi="Arial"/>
                <w:sz w:val="14"/>
              </w:rPr>
            </w:pPr>
            <w:r w:rsidRPr="00E123C3">
              <w:rPr>
                <w:rFonts w:ascii="Arial" w:hAnsi="Arial"/>
                <w:sz w:val="14"/>
              </w:rPr>
              <w:t>Activity 4.1.8: Design training curriculum and materials on MEPS for refrigerators for custom officials. Control at the border will be central in the country’s MV&amp;E plan since most refrigerators are imported. The training curriculum will be developed through capacity building needs assessments.</w:t>
            </w:r>
          </w:p>
          <w:p w14:paraId="6FA434DE" w14:textId="77777777" w:rsidR="00F318A9" w:rsidRPr="00E123C3" w:rsidRDefault="00F318A9" w:rsidP="00F318A9">
            <w:pPr>
              <w:rPr>
                <w:rFonts w:ascii="Arial" w:hAnsi="Arial"/>
                <w:sz w:val="14"/>
              </w:rPr>
            </w:pPr>
          </w:p>
          <w:p w14:paraId="098D15F9" w14:textId="77777777" w:rsidR="00F318A9" w:rsidRPr="00E123C3" w:rsidRDefault="00F318A9" w:rsidP="00F318A9">
            <w:pPr>
              <w:rPr>
                <w:rFonts w:ascii="Arial" w:hAnsi="Arial"/>
                <w:sz w:val="14"/>
              </w:rPr>
            </w:pPr>
            <w:r w:rsidRPr="00E123C3">
              <w:rPr>
                <w:rFonts w:ascii="Arial" w:hAnsi="Arial"/>
                <w:sz w:val="14"/>
              </w:rPr>
              <w:t>Deliverable 4.1.8: training curriculum and training materials on MEPS for refrigerators for custom officials and retail market inspectors</w:t>
            </w:r>
          </w:p>
        </w:tc>
        <w:tc>
          <w:tcPr>
            <w:tcW w:w="97" w:type="pct"/>
            <w:vAlign w:val="center"/>
          </w:tcPr>
          <w:p w14:paraId="0490A589" w14:textId="77777777" w:rsidR="00F318A9" w:rsidRPr="00E123C3" w:rsidRDefault="00F318A9" w:rsidP="00F318A9">
            <w:pPr>
              <w:jc w:val="center"/>
              <w:rPr>
                <w:rFonts w:ascii="Arial" w:hAnsi="Arial"/>
                <w:sz w:val="14"/>
              </w:rPr>
            </w:pPr>
          </w:p>
        </w:tc>
        <w:tc>
          <w:tcPr>
            <w:tcW w:w="97" w:type="pct"/>
            <w:vAlign w:val="center"/>
          </w:tcPr>
          <w:p w14:paraId="3C2B3576" w14:textId="77777777" w:rsidR="00F318A9" w:rsidRPr="00E123C3" w:rsidRDefault="00F318A9" w:rsidP="00F318A9">
            <w:pPr>
              <w:jc w:val="center"/>
              <w:rPr>
                <w:rFonts w:ascii="Arial" w:hAnsi="Arial"/>
                <w:sz w:val="14"/>
              </w:rPr>
            </w:pPr>
          </w:p>
        </w:tc>
        <w:tc>
          <w:tcPr>
            <w:tcW w:w="120" w:type="pct"/>
            <w:vAlign w:val="center"/>
          </w:tcPr>
          <w:p w14:paraId="60AECEA6" w14:textId="77777777" w:rsidR="00F318A9" w:rsidRPr="00E123C3" w:rsidRDefault="00F318A9" w:rsidP="00F318A9">
            <w:pPr>
              <w:jc w:val="center"/>
              <w:rPr>
                <w:rFonts w:ascii="Arial" w:hAnsi="Arial"/>
                <w:sz w:val="14"/>
              </w:rPr>
            </w:pPr>
          </w:p>
        </w:tc>
        <w:tc>
          <w:tcPr>
            <w:tcW w:w="97" w:type="pct"/>
            <w:vAlign w:val="center"/>
          </w:tcPr>
          <w:p w14:paraId="2D3AADE4" w14:textId="77777777" w:rsidR="00F318A9" w:rsidRPr="00E123C3" w:rsidRDefault="00F318A9" w:rsidP="00F318A9">
            <w:pPr>
              <w:jc w:val="center"/>
              <w:rPr>
                <w:rFonts w:ascii="Arial" w:hAnsi="Arial"/>
                <w:sz w:val="14"/>
              </w:rPr>
            </w:pPr>
          </w:p>
        </w:tc>
        <w:tc>
          <w:tcPr>
            <w:tcW w:w="120" w:type="pct"/>
            <w:vAlign w:val="center"/>
          </w:tcPr>
          <w:p w14:paraId="3F2DD9C5"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5D084184"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20C654D3"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73B0DD65"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632A551D"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6A102940"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090B75CA"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17B26B53" w14:textId="77777777" w:rsidR="00F318A9" w:rsidRPr="00E123C3" w:rsidRDefault="00F318A9" w:rsidP="00F318A9">
            <w:pPr>
              <w:jc w:val="center"/>
              <w:rPr>
                <w:rFonts w:ascii="Arial" w:hAnsi="Arial"/>
                <w:sz w:val="14"/>
              </w:rPr>
            </w:pPr>
            <w:r w:rsidRPr="00E123C3">
              <w:rPr>
                <w:rFonts w:ascii="Arial" w:hAnsi="Arial"/>
                <w:sz w:val="14"/>
              </w:rPr>
              <w:t>X</w:t>
            </w:r>
          </w:p>
        </w:tc>
        <w:tc>
          <w:tcPr>
            <w:tcW w:w="109" w:type="pct"/>
            <w:shd w:val="clear" w:color="auto" w:fill="FFFFFF" w:themeFill="background1"/>
            <w:vAlign w:val="center"/>
          </w:tcPr>
          <w:p w14:paraId="32CC17AF"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5AB567D1"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7C5CB58F"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0BAE19BA" w14:textId="77777777" w:rsidR="00F318A9" w:rsidRPr="00E123C3" w:rsidRDefault="00F318A9" w:rsidP="00F318A9">
            <w:pPr>
              <w:jc w:val="center"/>
              <w:rPr>
                <w:rFonts w:ascii="Arial" w:hAnsi="Arial"/>
                <w:sz w:val="14"/>
              </w:rPr>
            </w:pPr>
          </w:p>
        </w:tc>
        <w:tc>
          <w:tcPr>
            <w:tcW w:w="120" w:type="pct"/>
            <w:vAlign w:val="center"/>
          </w:tcPr>
          <w:p w14:paraId="311DA1E7" w14:textId="77777777" w:rsidR="00F318A9" w:rsidRPr="00E123C3" w:rsidRDefault="00F318A9" w:rsidP="00F318A9">
            <w:pPr>
              <w:jc w:val="center"/>
              <w:rPr>
                <w:rFonts w:ascii="Arial" w:hAnsi="Arial"/>
                <w:sz w:val="14"/>
              </w:rPr>
            </w:pPr>
          </w:p>
        </w:tc>
        <w:tc>
          <w:tcPr>
            <w:tcW w:w="120" w:type="pct"/>
            <w:vAlign w:val="center"/>
          </w:tcPr>
          <w:p w14:paraId="58D8F0A2" w14:textId="77777777" w:rsidR="00F318A9" w:rsidRPr="00E123C3" w:rsidRDefault="00F318A9" w:rsidP="00F318A9">
            <w:pPr>
              <w:jc w:val="center"/>
              <w:rPr>
                <w:rFonts w:ascii="Arial" w:hAnsi="Arial"/>
                <w:sz w:val="14"/>
              </w:rPr>
            </w:pPr>
          </w:p>
        </w:tc>
      </w:tr>
      <w:tr w:rsidR="00F318A9" w:rsidRPr="00E123C3" w14:paraId="4A3C3BC0" w14:textId="77777777" w:rsidTr="00F318A9">
        <w:trPr>
          <w:trHeight w:val="184"/>
          <w:jc w:val="center"/>
        </w:trPr>
        <w:tc>
          <w:tcPr>
            <w:tcW w:w="408" w:type="pct"/>
            <w:vMerge/>
          </w:tcPr>
          <w:p w14:paraId="7A7D3334" w14:textId="77777777" w:rsidR="00F318A9" w:rsidRPr="00E123C3" w:rsidRDefault="00F318A9" w:rsidP="00F318A9">
            <w:pPr>
              <w:rPr>
                <w:rFonts w:ascii="Arial" w:hAnsi="Arial"/>
                <w:sz w:val="14"/>
              </w:rPr>
            </w:pPr>
          </w:p>
        </w:tc>
        <w:tc>
          <w:tcPr>
            <w:tcW w:w="408" w:type="pct"/>
            <w:vMerge/>
          </w:tcPr>
          <w:p w14:paraId="3022583D" w14:textId="77777777" w:rsidR="00F318A9" w:rsidRPr="00E123C3" w:rsidRDefault="00F318A9" w:rsidP="00F318A9">
            <w:pPr>
              <w:rPr>
                <w:rFonts w:ascii="Arial" w:hAnsi="Arial"/>
                <w:sz w:val="14"/>
              </w:rPr>
            </w:pPr>
          </w:p>
        </w:tc>
        <w:tc>
          <w:tcPr>
            <w:tcW w:w="459" w:type="pct"/>
            <w:vMerge/>
          </w:tcPr>
          <w:p w14:paraId="309FE9DD" w14:textId="77777777" w:rsidR="00F318A9" w:rsidRPr="00E123C3" w:rsidRDefault="00F318A9" w:rsidP="00F318A9">
            <w:pPr>
              <w:rPr>
                <w:rFonts w:ascii="Arial" w:hAnsi="Arial"/>
                <w:sz w:val="14"/>
              </w:rPr>
            </w:pPr>
          </w:p>
        </w:tc>
        <w:tc>
          <w:tcPr>
            <w:tcW w:w="557" w:type="pct"/>
            <w:vMerge/>
          </w:tcPr>
          <w:p w14:paraId="01DB84A0" w14:textId="77777777" w:rsidR="00F318A9" w:rsidRPr="00E123C3" w:rsidRDefault="00F318A9" w:rsidP="00F318A9">
            <w:pPr>
              <w:rPr>
                <w:rFonts w:ascii="Arial" w:hAnsi="Arial"/>
                <w:sz w:val="14"/>
              </w:rPr>
            </w:pPr>
          </w:p>
        </w:tc>
        <w:tc>
          <w:tcPr>
            <w:tcW w:w="1090" w:type="pct"/>
            <w:shd w:val="clear" w:color="auto" w:fill="FFFFFF" w:themeFill="background1"/>
          </w:tcPr>
          <w:p w14:paraId="5D7BB096" w14:textId="77777777" w:rsidR="00F318A9" w:rsidRPr="00E123C3" w:rsidRDefault="00F318A9" w:rsidP="00F318A9">
            <w:pPr>
              <w:rPr>
                <w:rFonts w:ascii="Arial" w:hAnsi="Arial"/>
                <w:sz w:val="14"/>
              </w:rPr>
            </w:pPr>
            <w:r w:rsidRPr="00E123C3">
              <w:rPr>
                <w:rFonts w:ascii="Arial" w:hAnsi="Arial"/>
                <w:sz w:val="14"/>
              </w:rPr>
              <w:t>Activity 4.1.9: Organize training of trainers. Local trainers will be selected and trained so they can deliver training of custom officials on a long-term basis.</w:t>
            </w:r>
          </w:p>
          <w:p w14:paraId="6D3248C0" w14:textId="77777777" w:rsidR="00F318A9" w:rsidRPr="00E123C3" w:rsidRDefault="00F318A9" w:rsidP="00F318A9">
            <w:pPr>
              <w:rPr>
                <w:rFonts w:ascii="Arial" w:hAnsi="Arial"/>
                <w:sz w:val="14"/>
              </w:rPr>
            </w:pPr>
          </w:p>
          <w:p w14:paraId="3D1DF1ED" w14:textId="77777777" w:rsidR="00F318A9" w:rsidRPr="00E123C3" w:rsidRDefault="00F318A9" w:rsidP="00F318A9">
            <w:pPr>
              <w:rPr>
                <w:rFonts w:ascii="Arial" w:hAnsi="Arial"/>
                <w:sz w:val="14"/>
              </w:rPr>
            </w:pPr>
            <w:r w:rsidRPr="00E123C3">
              <w:rPr>
                <w:rFonts w:ascii="Arial" w:hAnsi="Arial"/>
                <w:sz w:val="14"/>
              </w:rPr>
              <w:t>Deliverable 4.1.9: 15 local trainers trained on MEPS for refrigerators</w:t>
            </w:r>
          </w:p>
        </w:tc>
        <w:tc>
          <w:tcPr>
            <w:tcW w:w="97" w:type="pct"/>
            <w:vAlign w:val="center"/>
          </w:tcPr>
          <w:p w14:paraId="40D6D475" w14:textId="77777777" w:rsidR="00F318A9" w:rsidRPr="00E123C3" w:rsidRDefault="00F318A9" w:rsidP="00F318A9">
            <w:pPr>
              <w:jc w:val="center"/>
              <w:rPr>
                <w:rFonts w:ascii="Arial" w:hAnsi="Arial"/>
                <w:sz w:val="14"/>
              </w:rPr>
            </w:pPr>
          </w:p>
        </w:tc>
        <w:tc>
          <w:tcPr>
            <w:tcW w:w="97" w:type="pct"/>
            <w:vAlign w:val="center"/>
          </w:tcPr>
          <w:p w14:paraId="0CA171A9" w14:textId="77777777" w:rsidR="00F318A9" w:rsidRPr="00E123C3" w:rsidRDefault="00F318A9" w:rsidP="00F318A9">
            <w:pPr>
              <w:jc w:val="center"/>
              <w:rPr>
                <w:rFonts w:ascii="Arial" w:hAnsi="Arial"/>
                <w:sz w:val="14"/>
              </w:rPr>
            </w:pPr>
          </w:p>
        </w:tc>
        <w:tc>
          <w:tcPr>
            <w:tcW w:w="120" w:type="pct"/>
            <w:vAlign w:val="center"/>
          </w:tcPr>
          <w:p w14:paraId="28921C1D" w14:textId="77777777" w:rsidR="00F318A9" w:rsidRPr="00E123C3" w:rsidRDefault="00F318A9" w:rsidP="00F318A9">
            <w:pPr>
              <w:jc w:val="center"/>
              <w:rPr>
                <w:rFonts w:ascii="Arial" w:hAnsi="Arial"/>
                <w:sz w:val="14"/>
              </w:rPr>
            </w:pPr>
          </w:p>
        </w:tc>
        <w:tc>
          <w:tcPr>
            <w:tcW w:w="97" w:type="pct"/>
            <w:vAlign w:val="center"/>
          </w:tcPr>
          <w:p w14:paraId="084D5576" w14:textId="77777777" w:rsidR="00F318A9" w:rsidRPr="00E123C3" w:rsidRDefault="00F318A9" w:rsidP="00F318A9">
            <w:pPr>
              <w:jc w:val="center"/>
              <w:rPr>
                <w:rFonts w:ascii="Arial" w:hAnsi="Arial"/>
                <w:sz w:val="14"/>
              </w:rPr>
            </w:pPr>
          </w:p>
        </w:tc>
        <w:tc>
          <w:tcPr>
            <w:tcW w:w="120" w:type="pct"/>
            <w:vAlign w:val="center"/>
          </w:tcPr>
          <w:p w14:paraId="19D449F0"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00254D44"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3211CB59"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6FB2DE29"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3C01C866"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2B71D47C"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48F1744F"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7207DDAD" w14:textId="77777777" w:rsidR="00F318A9" w:rsidRPr="00E123C3" w:rsidRDefault="00F318A9" w:rsidP="00F318A9">
            <w:pPr>
              <w:jc w:val="center"/>
              <w:rPr>
                <w:rFonts w:ascii="Arial" w:hAnsi="Arial"/>
                <w:sz w:val="14"/>
              </w:rPr>
            </w:pPr>
          </w:p>
        </w:tc>
        <w:tc>
          <w:tcPr>
            <w:tcW w:w="109" w:type="pct"/>
            <w:shd w:val="clear" w:color="auto" w:fill="C5E0B3" w:themeFill="accent6" w:themeFillTint="66"/>
            <w:vAlign w:val="center"/>
          </w:tcPr>
          <w:p w14:paraId="32D03407"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7868C5E2"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shd w:val="clear" w:color="auto" w:fill="FFFFFF" w:themeFill="background1"/>
            <w:vAlign w:val="center"/>
          </w:tcPr>
          <w:p w14:paraId="667C6B08"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4E22FC87" w14:textId="77777777" w:rsidR="00F318A9" w:rsidRPr="00E123C3" w:rsidRDefault="00F318A9" w:rsidP="00F318A9">
            <w:pPr>
              <w:jc w:val="center"/>
              <w:rPr>
                <w:rFonts w:ascii="Arial" w:hAnsi="Arial"/>
                <w:sz w:val="14"/>
              </w:rPr>
            </w:pPr>
          </w:p>
        </w:tc>
        <w:tc>
          <w:tcPr>
            <w:tcW w:w="120" w:type="pct"/>
            <w:vAlign w:val="center"/>
          </w:tcPr>
          <w:p w14:paraId="2F3EB317" w14:textId="77777777" w:rsidR="00F318A9" w:rsidRPr="00E123C3" w:rsidRDefault="00F318A9" w:rsidP="00F318A9">
            <w:pPr>
              <w:jc w:val="center"/>
              <w:rPr>
                <w:rFonts w:ascii="Arial" w:hAnsi="Arial"/>
                <w:sz w:val="14"/>
              </w:rPr>
            </w:pPr>
          </w:p>
        </w:tc>
        <w:tc>
          <w:tcPr>
            <w:tcW w:w="120" w:type="pct"/>
            <w:vAlign w:val="center"/>
          </w:tcPr>
          <w:p w14:paraId="1369505A" w14:textId="77777777" w:rsidR="00F318A9" w:rsidRPr="00E123C3" w:rsidRDefault="00F318A9" w:rsidP="00F318A9">
            <w:pPr>
              <w:jc w:val="center"/>
              <w:rPr>
                <w:rFonts w:ascii="Arial" w:hAnsi="Arial"/>
                <w:sz w:val="14"/>
              </w:rPr>
            </w:pPr>
          </w:p>
        </w:tc>
      </w:tr>
      <w:tr w:rsidR="00F318A9" w:rsidRPr="00E123C3" w14:paraId="0BCEE8E8" w14:textId="77777777" w:rsidTr="00F318A9">
        <w:tblPrEx>
          <w:jc w:val="left"/>
        </w:tblPrEx>
        <w:trPr>
          <w:trHeight w:val="184"/>
        </w:trPr>
        <w:tc>
          <w:tcPr>
            <w:tcW w:w="408" w:type="pct"/>
            <w:vMerge/>
          </w:tcPr>
          <w:p w14:paraId="03CD114A" w14:textId="77777777" w:rsidR="00F318A9" w:rsidRPr="00E123C3" w:rsidRDefault="00F318A9" w:rsidP="00F318A9">
            <w:pPr>
              <w:rPr>
                <w:rFonts w:ascii="Arial" w:hAnsi="Arial"/>
                <w:sz w:val="14"/>
              </w:rPr>
            </w:pPr>
          </w:p>
        </w:tc>
        <w:tc>
          <w:tcPr>
            <w:tcW w:w="408" w:type="pct"/>
            <w:vMerge/>
          </w:tcPr>
          <w:p w14:paraId="6D1D03DF" w14:textId="77777777" w:rsidR="00F318A9" w:rsidRPr="00E123C3" w:rsidRDefault="00F318A9" w:rsidP="00F318A9">
            <w:pPr>
              <w:rPr>
                <w:rFonts w:ascii="Arial" w:hAnsi="Arial"/>
                <w:sz w:val="14"/>
              </w:rPr>
            </w:pPr>
          </w:p>
        </w:tc>
        <w:tc>
          <w:tcPr>
            <w:tcW w:w="459" w:type="pct"/>
            <w:vMerge/>
          </w:tcPr>
          <w:p w14:paraId="0D2A6080" w14:textId="77777777" w:rsidR="00F318A9" w:rsidRPr="00E123C3" w:rsidRDefault="00F318A9" w:rsidP="00F318A9">
            <w:pPr>
              <w:rPr>
                <w:rFonts w:ascii="Arial" w:hAnsi="Arial"/>
                <w:sz w:val="14"/>
              </w:rPr>
            </w:pPr>
          </w:p>
        </w:tc>
        <w:tc>
          <w:tcPr>
            <w:tcW w:w="557" w:type="pct"/>
            <w:vMerge/>
          </w:tcPr>
          <w:p w14:paraId="2DC4C3ED" w14:textId="77777777" w:rsidR="00F318A9" w:rsidRPr="00E123C3" w:rsidRDefault="00F318A9" w:rsidP="00F318A9">
            <w:pPr>
              <w:rPr>
                <w:rFonts w:ascii="Arial" w:hAnsi="Arial"/>
                <w:sz w:val="14"/>
              </w:rPr>
            </w:pPr>
          </w:p>
        </w:tc>
        <w:tc>
          <w:tcPr>
            <w:tcW w:w="1090" w:type="pct"/>
          </w:tcPr>
          <w:p w14:paraId="709D2221" w14:textId="77777777" w:rsidR="00F318A9" w:rsidRPr="00D554F6" w:rsidRDefault="00F318A9" w:rsidP="00F318A9">
            <w:pPr>
              <w:rPr>
                <w:rFonts w:ascii="Arial" w:hAnsi="Arial"/>
                <w:b/>
                <w:sz w:val="14"/>
              </w:rPr>
            </w:pPr>
            <w:r w:rsidRPr="00D554F6">
              <w:rPr>
                <w:rFonts w:ascii="Arial" w:hAnsi="Arial"/>
                <w:b/>
                <w:sz w:val="14"/>
              </w:rPr>
              <w:t>Output 4.</w:t>
            </w:r>
            <w:r>
              <w:rPr>
                <w:rFonts w:ascii="Arial" w:hAnsi="Arial"/>
                <w:b/>
                <w:sz w:val="14"/>
              </w:rPr>
              <w:t>2</w:t>
            </w:r>
            <w:r w:rsidRPr="00D554F6">
              <w:rPr>
                <w:rFonts w:ascii="Arial" w:hAnsi="Arial"/>
                <w:b/>
                <w:sz w:val="14"/>
              </w:rPr>
              <w:t xml:space="preserve">: The national policy roadmap for the promotion of higher efficiency </w:t>
            </w:r>
            <w:r>
              <w:rPr>
                <w:rFonts w:ascii="Arial" w:hAnsi="Arial"/>
                <w:b/>
                <w:sz w:val="14"/>
              </w:rPr>
              <w:t>DTs</w:t>
            </w:r>
            <w:r w:rsidRPr="00D554F6">
              <w:rPr>
                <w:rFonts w:ascii="Arial" w:hAnsi="Arial"/>
                <w:b/>
                <w:sz w:val="14"/>
              </w:rPr>
              <w:t xml:space="preserve">, including MEPS-HEPS, </w:t>
            </w:r>
            <w:proofErr w:type="gramStart"/>
            <w:r>
              <w:rPr>
                <w:rFonts w:ascii="Arial" w:hAnsi="Arial"/>
                <w:b/>
                <w:sz w:val="14"/>
              </w:rPr>
              <w:t>end-users</w:t>
            </w:r>
            <w:proofErr w:type="gramEnd"/>
            <w:r>
              <w:rPr>
                <w:rFonts w:ascii="Arial" w:hAnsi="Arial"/>
                <w:b/>
                <w:sz w:val="14"/>
              </w:rPr>
              <w:t xml:space="preserve"> education</w:t>
            </w:r>
            <w:r w:rsidRPr="00D554F6">
              <w:rPr>
                <w:rFonts w:ascii="Arial" w:hAnsi="Arial"/>
                <w:b/>
                <w:sz w:val="14"/>
              </w:rPr>
              <w:t xml:space="preserve">, capacity building </w:t>
            </w:r>
            <w:r>
              <w:rPr>
                <w:rFonts w:ascii="Arial" w:hAnsi="Arial"/>
                <w:b/>
                <w:sz w:val="14"/>
              </w:rPr>
              <w:t>on TCO</w:t>
            </w:r>
            <w:r w:rsidRPr="00D554F6">
              <w:rPr>
                <w:rFonts w:ascii="Arial" w:hAnsi="Arial"/>
                <w:b/>
                <w:sz w:val="14"/>
              </w:rPr>
              <w:t>, and MV&amp;E framework) adopted by the government</w:t>
            </w:r>
          </w:p>
          <w:p w14:paraId="57332D52" w14:textId="77777777" w:rsidR="00F318A9" w:rsidRDefault="00F318A9" w:rsidP="00F318A9">
            <w:pPr>
              <w:rPr>
                <w:rFonts w:ascii="Arial" w:hAnsi="Arial"/>
                <w:sz w:val="14"/>
              </w:rPr>
            </w:pPr>
          </w:p>
          <w:p w14:paraId="615E7AD4" w14:textId="77777777" w:rsidR="00F318A9" w:rsidRPr="00E123C3" w:rsidRDefault="00F318A9" w:rsidP="00F318A9">
            <w:pPr>
              <w:rPr>
                <w:rFonts w:ascii="Arial" w:hAnsi="Arial"/>
                <w:sz w:val="14"/>
              </w:rPr>
            </w:pPr>
            <w:r w:rsidRPr="00E123C3">
              <w:rPr>
                <w:rFonts w:ascii="Arial" w:hAnsi="Arial"/>
                <w:sz w:val="14"/>
              </w:rPr>
              <w:t xml:space="preserve">Activity 4.2.1: Develop MEPS and HEPS for DTs. This work will be conducted by the PWG during its quarterly meetings with support from the international policy expert. The policy expert will be sub-contracted and guide the work of the PWG. A critical element of the work of the PWG will be to determine the appropriate level of MEPS and HEPS in order to achieve the efficiency level objectives in line with local </w:t>
            </w:r>
            <w:r w:rsidRPr="00E123C3">
              <w:rPr>
                <w:rFonts w:ascii="Arial" w:hAnsi="Arial" w:cs="Arial"/>
                <w:sz w:val="14"/>
                <w:szCs w:val="16"/>
              </w:rPr>
              <w:t>manufacturer’s</w:t>
            </w:r>
            <w:r w:rsidRPr="00E123C3">
              <w:rPr>
                <w:rFonts w:ascii="Arial" w:hAnsi="Arial"/>
                <w:sz w:val="14"/>
              </w:rPr>
              <w:t xml:space="preserve"> ability to manufacture higher efficiency DTs at competitive price, as well as with the impact on the power development plan. The policy expert will prepare the relevant preparatory studies and documents, and conduct training during the PWG meetings, as appropriate. In addition to the PWG quarterly meetings, provision is made to organize two (2) additional 2-day meetings if deemed necessary</w:t>
            </w:r>
          </w:p>
          <w:p w14:paraId="009B0145" w14:textId="77777777" w:rsidR="00F318A9" w:rsidRPr="00E123C3" w:rsidRDefault="00F318A9" w:rsidP="00F318A9">
            <w:pPr>
              <w:rPr>
                <w:rFonts w:ascii="Arial" w:hAnsi="Arial"/>
                <w:sz w:val="14"/>
              </w:rPr>
            </w:pPr>
          </w:p>
          <w:p w14:paraId="558C56E8" w14:textId="77777777" w:rsidR="00F318A9" w:rsidRPr="00E123C3" w:rsidRDefault="00F318A9" w:rsidP="00F318A9">
            <w:pPr>
              <w:rPr>
                <w:rFonts w:ascii="Arial" w:hAnsi="Arial"/>
                <w:sz w:val="14"/>
              </w:rPr>
            </w:pPr>
            <w:r w:rsidRPr="00E123C3">
              <w:rPr>
                <w:rFonts w:ascii="Arial" w:hAnsi="Arial"/>
                <w:sz w:val="14"/>
              </w:rPr>
              <w:t>Deliverable 4.2.1: draft MEPS for DTs ready for public consultation</w:t>
            </w:r>
          </w:p>
        </w:tc>
        <w:tc>
          <w:tcPr>
            <w:tcW w:w="97" w:type="pct"/>
            <w:vAlign w:val="center"/>
          </w:tcPr>
          <w:p w14:paraId="03EEEDE2" w14:textId="77777777" w:rsidR="00F318A9" w:rsidRPr="00E123C3" w:rsidRDefault="00F318A9" w:rsidP="00F318A9">
            <w:pPr>
              <w:jc w:val="center"/>
              <w:rPr>
                <w:rFonts w:ascii="Arial" w:hAnsi="Arial"/>
                <w:sz w:val="14"/>
              </w:rPr>
            </w:pPr>
          </w:p>
        </w:tc>
        <w:tc>
          <w:tcPr>
            <w:tcW w:w="97" w:type="pct"/>
            <w:vAlign w:val="center"/>
          </w:tcPr>
          <w:p w14:paraId="0028AFC0" w14:textId="77777777" w:rsidR="00F318A9" w:rsidRPr="00E123C3" w:rsidRDefault="00F318A9" w:rsidP="00F318A9">
            <w:pPr>
              <w:jc w:val="center"/>
              <w:rPr>
                <w:rFonts w:ascii="Arial" w:hAnsi="Arial"/>
                <w:sz w:val="14"/>
              </w:rPr>
            </w:pPr>
          </w:p>
        </w:tc>
        <w:tc>
          <w:tcPr>
            <w:tcW w:w="120" w:type="pct"/>
            <w:vAlign w:val="center"/>
          </w:tcPr>
          <w:p w14:paraId="33EB1884" w14:textId="77777777" w:rsidR="00F318A9" w:rsidRPr="00E123C3" w:rsidRDefault="00F318A9" w:rsidP="00F318A9">
            <w:pPr>
              <w:jc w:val="center"/>
              <w:rPr>
                <w:rFonts w:ascii="Arial" w:hAnsi="Arial"/>
                <w:sz w:val="14"/>
              </w:rPr>
            </w:pPr>
          </w:p>
        </w:tc>
        <w:tc>
          <w:tcPr>
            <w:tcW w:w="97" w:type="pct"/>
            <w:shd w:val="clear" w:color="auto" w:fill="C5E0B3" w:themeFill="accent6" w:themeFillTint="66"/>
            <w:vAlign w:val="center"/>
          </w:tcPr>
          <w:p w14:paraId="5D184988"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07C9DCDF"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662B1127"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1D3E0393"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6F1BE249"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1BC4FA17"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vAlign w:val="center"/>
          </w:tcPr>
          <w:p w14:paraId="6EBB09A9" w14:textId="77777777" w:rsidR="00F318A9" w:rsidRPr="00E123C3" w:rsidRDefault="00F318A9" w:rsidP="00F318A9">
            <w:pPr>
              <w:jc w:val="center"/>
              <w:rPr>
                <w:rFonts w:ascii="Arial" w:hAnsi="Arial"/>
                <w:sz w:val="14"/>
              </w:rPr>
            </w:pPr>
          </w:p>
        </w:tc>
        <w:tc>
          <w:tcPr>
            <w:tcW w:w="120" w:type="pct"/>
            <w:vAlign w:val="center"/>
          </w:tcPr>
          <w:p w14:paraId="186E9946" w14:textId="77777777" w:rsidR="00F318A9" w:rsidRPr="00E123C3" w:rsidRDefault="00F318A9" w:rsidP="00F318A9">
            <w:pPr>
              <w:jc w:val="center"/>
              <w:rPr>
                <w:rFonts w:ascii="Arial" w:hAnsi="Arial"/>
                <w:sz w:val="14"/>
              </w:rPr>
            </w:pPr>
          </w:p>
        </w:tc>
        <w:tc>
          <w:tcPr>
            <w:tcW w:w="120" w:type="pct"/>
            <w:vAlign w:val="center"/>
          </w:tcPr>
          <w:p w14:paraId="65FAD617" w14:textId="77777777" w:rsidR="00F318A9" w:rsidRPr="00E123C3" w:rsidRDefault="00F318A9" w:rsidP="00F318A9">
            <w:pPr>
              <w:jc w:val="center"/>
              <w:rPr>
                <w:rFonts w:ascii="Arial" w:hAnsi="Arial"/>
                <w:sz w:val="14"/>
              </w:rPr>
            </w:pPr>
          </w:p>
        </w:tc>
        <w:tc>
          <w:tcPr>
            <w:tcW w:w="109" w:type="pct"/>
            <w:vAlign w:val="center"/>
          </w:tcPr>
          <w:p w14:paraId="62F40B04" w14:textId="77777777" w:rsidR="00F318A9" w:rsidRPr="00E123C3" w:rsidRDefault="00F318A9" w:rsidP="00F318A9">
            <w:pPr>
              <w:jc w:val="center"/>
              <w:rPr>
                <w:rFonts w:ascii="Arial" w:hAnsi="Arial"/>
                <w:sz w:val="14"/>
              </w:rPr>
            </w:pPr>
          </w:p>
        </w:tc>
        <w:tc>
          <w:tcPr>
            <w:tcW w:w="120" w:type="pct"/>
            <w:vAlign w:val="center"/>
          </w:tcPr>
          <w:p w14:paraId="4757906A" w14:textId="77777777" w:rsidR="00F318A9" w:rsidRPr="00E123C3" w:rsidRDefault="00F318A9" w:rsidP="00F318A9">
            <w:pPr>
              <w:jc w:val="center"/>
              <w:rPr>
                <w:rFonts w:ascii="Arial" w:hAnsi="Arial"/>
                <w:sz w:val="14"/>
              </w:rPr>
            </w:pPr>
          </w:p>
        </w:tc>
        <w:tc>
          <w:tcPr>
            <w:tcW w:w="120" w:type="pct"/>
            <w:vAlign w:val="center"/>
          </w:tcPr>
          <w:p w14:paraId="054C04EF" w14:textId="77777777" w:rsidR="00F318A9" w:rsidRPr="00E123C3" w:rsidRDefault="00F318A9" w:rsidP="00F318A9">
            <w:pPr>
              <w:jc w:val="center"/>
              <w:rPr>
                <w:rFonts w:ascii="Arial" w:hAnsi="Arial"/>
                <w:sz w:val="14"/>
              </w:rPr>
            </w:pPr>
          </w:p>
        </w:tc>
        <w:tc>
          <w:tcPr>
            <w:tcW w:w="120" w:type="pct"/>
            <w:vAlign w:val="center"/>
          </w:tcPr>
          <w:p w14:paraId="5065F0CE" w14:textId="77777777" w:rsidR="00F318A9" w:rsidRPr="00E123C3" w:rsidRDefault="00F318A9" w:rsidP="00F318A9">
            <w:pPr>
              <w:jc w:val="center"/>
              <w:rPr>
                <w:rFonts w:ascii="Arial" w:hAnsi="Arial"/>
                <w:sz w:val="14"/>
              </w:rPr>
            </w:pPr>
          </w:p>
        </w:tc>
        <w:tc>
          <w:tcPr>
            <w:tcW w:w="120" w:type="pct"/>
            <w:vAlign w:val="center"/>
          </w:tcPr>
          <w:p w14:paraId="71D40093" w14:textId="77777777" w:rsidR="00F318A9" w:rsidRPr="00E123C3" w:rsidRDefault="00F318A9" w:rsidP="00F318A9">
            <w:pPr>
              <w:jc w:val="center"/>
              <w:rPr>
                <w:rFonts w:ascii="Arial" w:hAnsi="Arial"/>
                <w:sz w:val="14"/>
              </w:rPr>
            </w:pPr>
          </w:p>
        </w:tc>
        <w:tc>
          <w:tcPr>
            <w:tcW w:w="120" w:type="pct"/>
            <w:vAlign w:val="center"/>
          </w:tcPr>
          <w:p w14:paraId="6D26FD43" w14:textId="77777777" w:rsidR="00F318A9" w:rsidRPr="00E123C3" w:rsidRDefault="00F318A9" w:rsidP="00F318A9">
            <w:pPr>
              <w:jc w:val="center"/>
              <w:rPr>
                <w:rFonts w:ascii="Arial" w:hAnsi="Arial"/>
                <w:sz w:val="14"/>
              </w:rPr>
            </w:pPr>
          </w:p>
        </w:tc>
      </w:tr>
      <w:tr w:rsidR="00F318A9" w:rsidRPr="00E123C3" w14:paraId="381A82D6" w14:textId="77777777" w:rsidTr="00F318A9">
        <w:tblPrEx>
          <w:jc w:val="left"/>
        </w:tblPrEx>
        <w:trPr>
          <w:trHeight w:val="184"/>
        </w:trPr>
        <w:tc>
          <w:tcPr>
            <w:tcW w:w="408" w:type="pct"/>
            <w:vMerge/>
          </w:tcPr>
          <w:p w14:paraId="1BC9BF9C" w14:textId="77777777" w:rsidR="00F318A9" w:rsidRPr="00E123C3" w:rsidRDefault="00F318A9" w:rsidP="00F318A9">
            <w:pPr>
              <w:rPr>
                <w:rFonts w:ascii="Arial" w:hAnsi="Arial"/>
                <w:sz w:val="14"/>
              </w:rPr>
            </w:pPr>
          </w:p>
        </w:tc>
        <w:tc>
          <w:tcPr>
            <w:tcW w:w="408" w:type="pct"/>
            <w:vMerge/>
          </w:tcPr>
          <w:p w14:paraId="25C88769" w14:textId="77777777" w:rsidR="00F318A9" w:rsidRPr="00E123C3" w:rsidRDefault="00F318A9" w:rsidP="00F318A9">
            <w:pPr>
              <w:rPr>
                <w:rFonts w:ascii="Arial" w:hAnsi="Arial"/>
                <w:sz w:val="14"/>
              </w:rPr>
            </w:pPr>
          </w:p>
        </w:tc>
        <w:tc>
          <w:tcPr>
            <w:tcW w:w="459" w:type="pct"/>
            <w:vMerge/>
          </w:tcPr>
          <w:p w14:paraId="18FF826A" w14:textId="77777777" w:rsidR="00F318A9" w:rsidRPr="00E123C3" w:rsidRDefault="00F318A9" w:rsidP="00F318A9">
            <w:pPr>
              <w:rPr>
                <w:rFonts w:ascii="Arial" w:hAnsi="Arial"/>
                <w:sz w:val="14"/>
              </w:rPr>
            </w:pPr>
          </w:p>
        </w:tc>
        <w:tc>
          <w:tcPr>
            <w:tcW w:w="557" w:type="pct"/>
            <w:vMerge/>
          </w:tcPr>
          <w:p w14:paraId="1D3AE9FC" w14:textId="77777777" w:rsidR="00F318A9" w:rsidRPr="00E123C3" w:rsidRDefault="00F318A9" w:rsidP="00F318A9">
            <w:pPr>
              <w:rPr>
                <w:rFonts w:ascii="Arial" w:hAnsi="Arial"/>
                <w:sz w:val="14"/>
              </w:rPr>
            </w:pPr>
          </w:p>
        </w:tc>
        <w:tc>
          <w:tcPr>
            <w:tcW w:w="1090" w:type="pct"/>
          </w:tcPr>
          <w:p w14:paraId="782F3B57" w14:textId="77777777" w:rsidR="00F318A9" w:rsidRPr="00E123C3" w:rsidRDefault="00F318A9" w:rsidP="00F318A9">
            <w:pPr>
              <w:rPr>
                <w:rFonts w:ascii="Arial" w:hAnsi="Arial"/>
                <w:sz w:val="14"/>
              </w:rPr>
            </w:pPr>
            <w:r w:rsidRPr="00E123C3">
              <w:rPr>
                <w:rFonts w:ascii="Arial" w:hAnsi="Arial"/>
                <w:sz w:val="14"/>
              </w:rPr>
              <w:t>Activity 4.2.2: Conduct training workshop for procurement officers on Total Cost of Ownership (TCO). The procurement of higher efficiency DTs, which come at a higher initial cost, must take into consideration the total operating and maintenance cost of a DT, as well as the corresponding reduction in electricity losses (TCO). Training will be organized for procurement officers from the public electric utility as well as for non-utility market players.</w:t>
            </w:r>
          </w:p>
          <w:p w14:paraId="47046DCB" w14:textId="77777777" w:rsidR="00F318A9" w:rsidRPr="00E123C3" w:rsidRDefault="00F318A9" w:rsidP="00F318A9">
            <w:pPr>
              <w:rPr>
                <w:rFonts w:ascii="Arial" w:hAnsi="Arial"/>
                <w:sz w:val="14"/>
              </w:rPr>
            </w:pPr>
          </w:p>
          <w:p w14:paraId="0FF4E1E3" w14:textId="77777777" w:rsidR="00F318A9" w:rsidRPr="00E123C3" w:rsidRDefault="00F318A9" w:rsidP="00F318A9">
            <w:pPr>
              <w:rPr>
                <w:rFonts w:ascii="Arial" w:hAnsi="Arial"/>
                <w:sz w:val="14"/>
              </w:rPr>
            </w:pPr>
            <w:r w:rsidRPr="00E123C3">
              <w:rPr>
                <w:rFonts w:ascii="Arial" w:hAnsi="Arial"/>
                <w:sz w:val="14"/>
              </w:rPr>
              <w:t>Deliverable 4.2.2: 2-day training workshop for procurement officers of TCO for DTs</w:t>
            </w:r>
          </w:p>
        </w:tc>
        <w:tc>
          <w:tcPr>
            <w:tcW w:w="97" w:type="pct"/>
            <w:vAlign w:val="center"/>
          </w:tcPr>
          <w:p w14:paraId="408A6C79" w14:textId="77777777" w:rsidR="00F318A9" w:rsidRPr="00E123C3" w:rsidRDefault="00F318A9" w:rsidP="00F318A9">
            <w:pPr>
              <w:jc w:val="center"/>
              <w:rPr>
                <w:rFonts w:ascii="Arial" w:hAnsi="Arial"/>
                <w:sz w:val="14"/>
              </w:rPr>
            </w:pPr>
          </w:p>
        </w:tc>
        <w:tc>
          <w:tcPr>
            <w:tcW w:w="97" w:type="pct"/>
            <w:vAlign w:val="center"/>
          </w:tcPr>
          <w:p w14:paraId="197041D7" w14:textId="77777777" w:rsidR="00F318A9" w:rsidRPr="00E123C3" w:rsidRDefault="00F318A9" w:rsidP="00F318A9">
            <w:pPr>
              <w:jc w:val="center"/>
              <w:rPr>
                <w:rFonts w:ascii="Arial" w:hAnsi="Arial"/>
                <w:sz w:val="14"/>
              </w:rPr>
            </w:pPr>
          </w:p>
        </w:tc>
        <w:tc>
          <w:tcPr>
            <w:tcW w:w="120" w:type="pct"/>
            <w:vAlign w:val="center"/>
          </w:tcPr>
          <w:p w14:paraId="029A8D75" w14:textId="77777777" w:rsidR="00F318A9" w:rsidRPr="00E123C3" w:rsidRDefault="00F318A9" w:rsidP="00F318A9">
            <w:pPr>
              <w:jc w:val="center"/>
              <w:rPr>
                <w:rFonts w:ascii="Arial" w:hAnsi="Arial"/>
                <w:sz w:val="14"/>
              </w:rPr>
            </w:pPr>
          </w:p>
        </w:tc>
        <w:tc>
          <w:tcPr>
            <w:tcW w:w="97" w:type="pct"/>
            <w:vAlign w:val="center"/>
          </w:tcPr>
          <w:p w14:paraId="7E316564" w14:textId="77777777" w:rsidR="00F318A9" w:rsidRPr="00E123C3" w:rsidRDefault="00F318A9" w:rsidP="00F318A9">
            <w:pPr>
              <w:jc w:val="center"/>
              <w:rPr>
                <w:rFonts w:ascii="Arial" w:hAnsi="Arial"/>
                <w:sz w:val="14"/>
              </w:rPr>
            </w:pPr>
          </w:p>
        </w:tc>
        <w:tc>
          <w:tcPr>
            <w:tcW w:w="120" w:type="pct"/>
            <w:vAlign w:val="center"/>
          </w:tcPr>
          <w:p w14:paraId="480BADC2" w14:textId="77777777" w:rsidR="00F318A9" w:rsidRPr="00E123C3" w:rsidRDefault="00F318A9" w:rsidP="00F318A9">
            <w:pPr>
              <w:jc w:val="center"/>
              <w:rPr>
                <w:rFonts w:ascii="Arial" w:hAnsi="Arial"/>
                <w:sz w:val="14"/>
              </w:rPr>
            </w:pPr>
          </w:p>
        </w:tc>
        <w:tc>
          <w:tcPr>
            <w:tcW w:w="120" w:type="pct"/>
            <w:vAlign w:val="center"/>
          </w:tcPr>
          <w:p w14:paraId="0315C2C6" w14:textId="77777777" w:rsidR="00F318A9" w:rsidRPr="00E123C3" w:rsidRDefault="00F318A9" w:rsidP="00F318A9">
            <w:pPr>
              <w:jc w:val="center"/>
              <w:rPr>
                <w:rFonts w:ascii="Arial" w:hAnsi="Arial"/>
                <w:sz w:val="14"/>
              </w:rPr>
            </w:pPr>
          </w:p>
        </w:tc>
        <w:tc>
          <w:tcPr>
            <w:tcW w:w="120" w:type="pct"/>
            <w:vAlign w:val="center"/>
          </w:tcPr>
          <w:p w14:paraId="74DDCA7E" w14:textId="77777777" w:rsidR="00F318A9" w:rsidRPr="00E123C3" w:rsidRDefault="00F318A9" w:rsidP="00F318A9">
            <w:pPr>
              <w:jc w:val="center"/>
              <w:rPr>
                <w:rFonts w:ascii="Arial" w:hAnsi="Arial"/>
                <w:sz w:val="14"/>
              </w:rPr>
            </w:pPr>
          </w:p>
        </w:tc>
        <w:tc>
          <w:tcPr>
            <w:tcW w:w="120" w:type="pct"/>
            <w:vAlign w:val="center"/>
          </w:tcPr>
          <w:p w14:paraId="7BAE3630" w14:textId="77777777" w:rsidR="00F318A9" w:rsidRPr="00E123C3" w:rsidRDefault="00F318A9" w:rsidP="00F318A9">
            <w:pPr>
              <w:jc w:val="center"/>
              <w:rPr>
                <w:rFonts w:ascii="Arial" w:hAnsi="Arial"/>
                <w:sz w:val="14"/>
              </w:rPr>
            </w:pPr>
          </w:p>
        </w:tc>
        <w:tc>
          <w:tcPr>
            <w:tcW w:w="120" w:type="pct"/>
            <w:vAlign w:val="center"/>
          </w:tcPr>
          <w:p w14:paraId="6561CE4A"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7433DAA6"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0458167B"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4263300B" w14:textId="77777777" w:rsidR="00F318A9" w:rsidRPr="00E123C3" w:rsidRDefault="00F318A9" w:rsidP="00F318A9">
            <w:pPr>
              <w:jc w:val="center"/>
              <w:rPr>
                <w:rFonts w:ascii="Arial" w:hAnsi="Arial"/>
                <w:sz w:val="14"/>
              </w:rPr>
            </w:pPr>
            <w:r w:rsidRPr="00E123C3">
              <w:rPr>
                <w:rFonts w:ascii="Arial" w:hAnsi="Arial"/>
                <w:sz w:val="14"/>
              </w:rPr>
              <w:t>X</w:t>
            </w:r>
          </w:p>
        </w:tc>
        <w:tc>
          <w:tcPr>
            <w:tcW w:w="109" w:type="pct"/>
            <w:vAlign w:val="center"/>
          </w:tcPr>
          <w:p w14:paraId="7236FB26" w14:textId="77777777" w:rsidR="00F318A9" w:rsidRPr="00E123C3" w:rsidRDefault="00F318A9" w:rsidP="00F318A9">
            <w:pPr>
              <w:jc w:val="center"/>
              <w:rPr>
                <w:rFonts w:ascii="Arial" w:hAnsi="Arial"/>
                <w:sz w:val="14"/>
              </w:rPr>
            </w:pPr>
          </w:p>
        </w:tc>
        <w:tc>
          <w:tcPr>
            <w:tcW w:w="120" w:type="pct"/>
            <w:vAlign w:val="center"/>
          </w:tcPr>
          <w:p w14:paraId="424DC2E3" w14:textId="77777777" w:rsidR="00F318A9" w:rsidRPr="00E123C3" w:rsidRDefault="00F318A9" w:rsidP="00F318A9">
            <w:pPr>
              <w:jc w:val="center"/>
              <w:rPr>
                <w:rFonts w:ascii="Arial" w:hAnsi="Arial"/>
                <w:sz w:val="14"/>
              </w:rPr>
            </w:pPr>
          </w:p>
        </w:tc>
        <w:tc>
          <w:tcPr>
            <w:tcW w:w="120" w:type="pct"/>
            <w:vAlign w:val="center"/>
          </w:tcPr>
          <w:p w14:paraId="3C3A4F76" w14:textId="77777777" w:rsidR="00F318A9" w:rsidRPr="00E123C3" w:rsidRDefault="00F318A9" w:rsidP="00F318A9">
            <w:pPr>
              <w:jc w:val="center"/>
              <w:rPr>
                <w:rFonts w:ascii="Arial" w:hAnsi="Arial"/>
                <w:sz w:val="14"/>
              </w:rPr>
            </w:pPr>
          </w:p>
        </w:tc>
        <w:tc>
          <w:tcPr>
            <w:tcW w:w="120" w:type="pct"/>
            <w:vAlign w:val="center"/>
          </w:tcPr>
          <w:p w14:paraId="24074945" w14:textId="77777777" w:rsidR="00F318A9" w:rsidRPr="00E123C3" w:rsidRDefault="00F318A9" w:rsidP="00F318A9">
            <w:pPr>
              <w:jc w:val="center"/>
              <w:rPr>
                <w:rFonts w:ascii="Arial" w:hAnsi="Arial"/>
                <w:sz w:val="14"/>
              </w:rPr>
            </w:pPr>
          </w:p>
        </w:tc>
        <w:tc>
          <w:tcPr>
            <w:tcW w:w="120" w:type="pct"/>
            <w:vAlign w:val="center"/>
          </w:tcPr>
          <w:p w14:paraId="4692A905" w14:textId="77777777" w:rsidR="00F318A9" w:rsidRPr="00E123C3" w:rsidRDefault="00F318A9" w:rsidP="00F318A9">
            <w:pPr>
              <w:jc w:val="center"/>
              <w:rPr>
                <w:rFonts w:ascii="Arial" w:hAnsi="Arial"/>
                <w:sz w:val="14"/>
              </w:rPr>
            </w:pPr>
          </w:p>
        </w:tc>
        <w:tc>
          <w:tcPr>
            <w:tcW w:w="120" w:type="pct"/>
            <w:vAlign w:val="center"/>
          </w:tcPr>
          <w:p w14:paraId="036AED33" w14:textId="77777777" w:rsidR="00F318A9" w:rsidRPr="00E123C3" w:rsidRDefault="00F318A9" w:rsidP="00F318A9">
            <w:pPr>
              <w:jc w:val="center"/>
              <w:rPr>
                <w:rFonts w:ascii="Arial" w:hAnsi="Arial"/>
                <w:sz w:val="14"/>
              </w:rPr>
            </w:pPr>
          </w:p>
        </w:tc>
      </w:tr>
      <w:tr w:rsidR="00F318A9" w:rsidRPr="00E123C3" w14:paraId="7EEAEEE5" w14:textId="77777777" w:rsidTr="00F318A9">
        <w:tblPrEx>
          <w:jc w:val="left"/>
        </w:tblPrEx>
        <w:trPr>
          <w:trHeight w:val="184"/>
        </w:trPr>
        <w:tc>
          <w:tcPr>
            <w:tcW w:w="408" w:type="pct"/>
            <w:vMerge/>
          </w:tcPr>
          <w:p w14:paraId="6C1A2641" w14:textId="77777777" w:rsidR="00F318A9" w:rsidRPr="00E123C3" w:rsidRDefault="00F318A9" w:rsidP="00F318A9">
            <w:pPr>
              <w:rPr>
                <w:rFonts w:ascii="Arial" w:hAnsi="Arial"/>
                <w:sz w:val="14"/>
              </w:rPr>
            </w:pPr>
          </w:p>
        </w:tc>
        <w:tc>
          <w:tcPr>
            <w:tcW w:w="408" w:type="pct"/>
            <w:vMerge/>
          </w:tcPr>
          <w:p w14:paraId="423A75A3" w14:textId="77777777" w:rsidR="00F318A9" w:rsidRPr="00E123C3" w:rsidRDefault="00F318A9" w:rsidP="00F318A9">
            <w:pPr>
              <w:rPr>
                <w:rFonts w:ascii="Arial" w:hAnsi="Arial"/>
                <w:sz w:val="14"/>
              </w:rPr>
            </w:pPr>
          </w:p>
        </w:tc>
        <w:tc>
          <w:tcPr>
            <w:tcW w:w="459" w:type="pct"/>
            <w:vMerge/>
          </w:tcPr>
          <w:p w14:paraId="57BFC8F4" w14:textId="77777777" w:rsidR="00F318A9" w:rsidRPr="00E123C3" w:rsidRDefault="00F318A9" w:rsidP="00F318A9">
            <w:pPr>
              <w:rPr>
                <w:rFonts w:ascii="Arial" w:hAnsi="Arial"/>
                <w:sz w:val="14"/>
              </w:rPr>
            </w:pPr>
          </w:p>
        </w:tc>
        <w:tc>
          <w:tcPr>
            <w:tcW w:w="557" w:type="pct"/>
            <w:vMerge/>
          </w:tcPr>
          <w:p w14:paraId="738D1134" w14:textId="77777777" w:rsidR="00F318A9" w:rsidRPr="00E123C3" w:rsidRDefault="00F318A9" w:rsidP="00F318A9">
            <w:pPr>
              <w:rPr>
                <w:rFonts w:ascii="Arial" w:hAnsi="Arial"/>
                <w:sz w:val="14"/>
              </w:rPr>
            </w:pPr>
          </w:p>
        </w:tc>
        <w:tc>
          <w:tcPr>
            <w:tcW w:w="1090" w:type="pct"/>
          </w:tcPr>
          <w:p w14:paraId="05D9EC8F" w14:textId="77777777" w:rsidR="00F318A9" w:rsidRPr="00E123C3" w:rsidRDefault="00F318A9" w:rsidP="00F318A9">
            <w:pPr>
              <w:rPr>
                <w:rFonts w:ascii="Arial" w:hAnsi="Arial"/>
                <w:sz w:val="14"/>
              </w:rPr>
            </w:pPr>
            <w:r w:rsidRPr="00E123C3">
              <w:rPr>
                <w:rFonts w:ascii="Arial" w:hAnsi="Arial"/>
                <w:sz w:val="14"/>
              </w:rPr>
              <w:t xml:space="preserve">Activity 4.2.3: Organize public consultation on the recommended national policy roadmap (including recommended levels of </w:t>
            </w:r>
            <w:r w:rsidRPr="00E123C3">
              <w:rPr>
                <w:rFonts w:ascii="Arial" w:hAnsi="Arial"/>
                <w:sz w:val="14"/>
              </w:rPr>
              <w:lastRenderedPageBreak/>
              <w:t xml:space="preserve">MEPS and HEPS). This consultation will bring together representatives from the consumer groups, public electric utility, non-utility market player, </w:t>
            </w:r>
            <w:r w:rsidRPr="00E123C3">
              <w:rPr>
                <w:rFonts w:ascii="Arial" w:hAnsi="Arial" w:cs="Arial"/>
                <w:sz w:val="14"/>
                <w:szCs w:val="16"/>
              </w:rPr>
              <w:t>and academia.</w:t>
            </w:r>
            <w:r w:rsidRPr="00E123C3">
              <w:rPr>
                <w:rFonts w:ascii="Arial" w:hAnsi="Arial"/>
                <w:sz w:val="14"/>
              </w:rPr>
              <w:t xml:space="preserve"> The consultation will last three (3) months, including a national stakeholders consultation workshop</w:t>
            </w:r>
          </w:p>
          <w:p w14:paraId="1454D662" w14:textId="77777777" w:rsidR="00F318A9" w:rsidRPr="00E123C3" w:rsidRDefault="00F318A9" w:rsidP="00F318A9">
            <w:pPr>
              <w:rPr>
                <w:rFonts w:ascii="Arial" w:hAnsi="Arial"/>
                <w:sz w:val="14"/>
              </w:rPr>
            </w:pPr>
          </w:p>
          <w:p w14:paraId="15B13C6E" w14:textId="77777777" w:rsidR="00F318A9" w:rsidRPr="00E123C3" w:rsidRDefault="00F318A9" w:rsidP="00F318A9">
            <w:pPr>
              <w:rPr>
                <w:rFonts w:ascii="Arial" w:hAnsi="Arial"/>
                <w:sz w:val="14"/>
              </w:rPr>
            </w:pPr>
            <w:r w:rsidRPr="00E123C3">
              <w:rPr>
                <w:rFonts w:ascii="Arial" w:hAnsi="Arial"/>
                <w:sz w:val="14"/>
              </w:rPr>
              <w:t>Deliverable 4.2.3: national stakeholders consultation workshop and consultation on national policy roadmap for DTs report</w:t>
            </w:r>
          </w:p>
        </w:tc>
        <w:tc>
          <w:tcPr>
            <w:tcW w:w="97" w:type="pct"/>
            <w:vAlign w:val="center"/>
          </w:tcPr>
          <w:p w14:paraId="4B67FEBC" w14:textId="77777777" w:rsidR="00F318A9" w:rsidRPr="00E123C3" w:rsidRDefault="00F318A9" w:rsidP="00F318A9">
            <w:pPr>
              <w:jc w:val="center"/>
              <w:rPr>
                <w:rFonts w:ascii="Arial" w:hAnsi="Arial"/>
                <w:sz w:val="14"/>
              </w:rPr>
            </w:pPr>
          </w:p>
        </w:tc>
        <w:tc>
          <w:tcPr>
            <w:tcW w:w="97" w:type="pct"/>
            <w:vAlign w:val="center"/>
          </w:tcPr>
          <w:p w14:paraId="6FA443AB" w14:textId="77777777" w:rsidR="00F318A9" w:rsidRPr="00E123C3" w:rsidRDefault="00F318A9" w:rsidP="00F318A9">
            <w:pPr>
              <w:jc w:val="center"/>
              <w:rPr>
                <w:rFonts w:ascii="Arial" w:hAnsi="Arial"/>
                <w:sz w:val="14"/>
              </w:rPr>
            </w:pPr>
          </w:p>
        </w:tc>
        <w:tc>
          <w:tcPr>
            <w:tcW w:w="120" w:type="pct"/>
            <w:vAlign w:val="center"/>
          </w:tcPr>
          <w:p w14:paraId="0BC4DB01" w14:textId="77777777" w:rsidR="00F318A9" w:rsidRPr="00E123C3" w:rsidRDefault="00F318A9" w:rsidP="00F318A9">
            <w:pPr>
              <w:jc w:val="center"/>
              <w:rPr>
                <w:rFonts w:ascii="Arial" w:hAnsi="Arial"/>
                <w:sz w:val="14"/>
              </w:rPr>
            </w:pPr>
          </w:p>
        </w:tc>
        <w:tc>
          <w:tcPr>
            <w:tcW w:w="97" w:type="pct"/>
            <w:vAlign w:val="center"/>
          </w:tcPr>
          <w:p w14:paraId="1A126DC9" w14:textId="77777777" w:rsidR="00F318A9" w:rsidRPr="00E123C3" w:rsidRDefault="00F318A9" w:rsidP="00F318A9">
            <w:pPr>
              <w:jc w:val="center"/>
              <w:rPr>
                <w:rFonts w:ascii="Arial" w:hAnsi="Arial"/>
                <w:sz w:val="14"/>
              </w:rPr>
            </w:pPr>
          </w:p>
        </w:tc>
        <w:tc>
          <w:tcPr>
            <w:tcW w:w="120" w:type="pct"/>
            <w:vAlign w:val="center"/>
          </w:tcPr>
          <w:p w14:paraId="500A893E" w14:textId="77777777" w:rsidR="00F318A9" w:rsidRPr="00E123C3" w:rsidRDefault="00F318A9" w:rsidP="00F318A9">
            <w:pPr>
              <w:jc w:val="center"/>
              <w:rPr>
                <w:rFonts w:ascii="Arial" w:hAnsi="Arial"/>
                <w:sz w:val="14"/>
              </w:rPr>
            </w:pPr>
          </w:p>
        </w:tc>
        <w:tc>
          <w:tcPr>
            <w:tcW w:w="120" w:type="pct"/>
            <w:vAlign w:val="center"/>
          </w:tcPr>
          <w:p w14:paraId="3F3FE577" w14:textId="77777777" w:rsidR="00F318A9" w:rsidRPr="00E123C3" w:rsidRDefault="00F318A9" w:rsidP="00F318A9">
            <w:pPr>
              <w:jc w:val="center"/>
              <w:rPr>
                <w:rFonts w:ascii="Arial" w:hAnsi="Arial"/>
                <w:sz w:val="14"/>
              </w:rPr>
            </w:pPr>
          </w:p>
        </w:tc>
        <w:tc>
          <w:tcPr>
            <w:tcW w:w="120" w:type="pct"/>
            <w:vAlign w:val="center"/>
          </w:tcPr>
          <w:p w14:paraId="1152ED2F" w14:textId="77777777" w:rsidR="00F318A9" w:rsidRPr="00E123C3" w:rsidRDefault="00F318A9" w:rsidP="00F318A9">
            <w:pPr>
              <w:jc w:val="center"/>
              <w:rPr>
                <w:rFonts w:ascii="Arial" w:hAnsi="Arial"/>
                <w:sz w:val="14"/>
              </w:rPr>
            </w:pPr>
          </w:p>
        </w:tc>
        <w:tc>
          <w:tcPr>
            <w:tcW w:w="120" w:type="pct"/>
            <w:vAlign w:val="center"/>
          </w:tcPr>
          <w:p w14:paraId="3561ED94" w14:textId="77777777" w:rsidR="00F318A9" w:rsidRPr="00E123C3" w:rsidRDefault="00F318A9" w:rsidP="00F318A9">
            <w:pPr>
              <w:jc w:val="center"/>
              <w:rPr>
                <w:rFonts w:ascii="Arial" w:hAnsi="Arial"/>
                <w:sz w:val="14"/>
              </w:rPr>
            </w:pPr>
          </w:p>
        </w:tc>
        <w:tc>
          <w:tcPr>
            <w:tcW w:w="120" w:type="pct"/>
            <w:vAlign w:val="center"/>
          </w:tcPr>
          <w:p w14:paraId="08E427E0" w14:textId="77777777" w:rsidR="00F318A9" w:rsidRPr="00E123C3" w:rsidRDefault="00F318A9" w:rsidP="00F318A9">
            <w:pPr>
              <w:jc w:val="center"/>
              <w:rPr>
                <w:rFonts w:ascii="Arial" w:hAnsi="Arial"/>
                <w:sz w:val="14"/>
              </w:rPr>
            </w:pPr>
          </w:p>
        </w:tc>
        <w:tc>
          <w:tcPr>
            <w:tcW w:w="120" w:type="pct"/>
            <w:vAlign w:val="center"/>
          </w:tcPr>
          <w:p w14:paraId="33DA7F70"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6057B4F7"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1FC65A4C" w14:textId="77777777" w:rsidR="00F318A9" w:rsidRPr="00E123C3" w:rsidRDefault="00F318A9" w:rsidP="00F318A9">
            <w:pPr>
              <w:jc w:val="center"/>
              <w:rPr>
                <w:rFonts w:ascii="Arial" w:hAnsi="Arial"/>
                <w:sz w:val="14"/>
              </w:rPr>
            </w:pPr>
          </w:p>
        </w:tc>
        <w:tc>
          <w:tcPr>
            <w:tcW w:w="109" w:type="pct"/>
            <w:shd w:val="clear" w:color="auto" w:fill="C5E0B3" w:themeFill="accent6" w:themeFillTint="66"/>
            <w:vAlign w:val="center"/>
          </w:tcPr>
          <w:p w14:paraId="1782E509"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1399526E"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vAlign w:val="center"/>
          </w:tcPr>
          <w:p w14:paraId="7BFBF65C" w14:textId="77777777" w:rsidR="00F318A9" w:rsidRPr="00E123C3" w:rsidRDefault="00F318A9" w:rsidP="00F318A9">
            <w:pPr>
              <w:jc w:val="center"/>
              <w:rPr>
                <w:rFonts w:ascii="Arial" w:hAnsi="Arial"/>
                <w:sz w:val="14"/>
              </w:rPr>
            </w:pPr>
          </w:p>
        </w:tc>
        <w:tc>
          <w:tcPr>
            <w:tcW w:w="120" w:type="pct"/>
            <w:vAlign w:val="center"/>
          </w:tcPr>
          <w:p w14:paraId="0C2734AA" w14:textId="77777777" w:rsidR="00F318A9" w:rsidRPr="00E123C3" w:rsidRDefault="00F318A9" w:rsidP="00F318A9">
            <w:pPr>
              <w:jc w:val="center"/>
              <w:rPr>
                <w:rFonts w:ascii="Arial" w:hAnsi="Arial"/>
                <w:sz w:val="14"/>
              </w:rPr>
            </w:pPr>
          </w:p>
        </w:tc>
        <w:tc>
          <w:tcPr>
            <w:tcW w:w="120" w:type="pct"/>
            <w:vAlign w:val="center"/>
          </w:tcPr>
          <w:p w14:paraId="571C205E" w14:textId="77777777" w:rsidR="00F318A9" w:rsidRPr="00E123C3" w:rsidRDefault="00F318A9" w:rsidP="00F318A9">
            <w:pPr>
              <w:jc w:val="center"/>
              <w:rPr>
                <w:rFonts w:ascii="Arial" w:hAnsi="Arial"/>
                <w:sz w:val="14"/>
              </w:rPr>
            </w:pPr>
          </w:p>
        </w:tc>
        <w:tc>
          <w:tcPr>
            <w:tcW w:w="120" w:type="pct"/>
            <w:vAlign w:val="center"/>
          </w:tcPr>
          <w:p w14:paraId="6D12A258" w14:textId="77777777" w:rsidR="00F318A9" w:rsidRPr="00E123C3" w:rsidRDefault="00F318A9" w:rsidP="00F318A9">
            <w:pPr>
              <w:jc w:val="center"/>
              <w:rPr>
                <w:rFonts w:ascii="Arial" w:hAnsi="Arial"/>
                <w:sz w:val="14"/>
              </w:rPr>
            </w:pPr>
          </w:p>
        </w:tc>
      </w:tr>
      <w:tr w:rsidR="00F318A9" w:rsidRPr="00E123C3" w14:paraId="158EE258" w14:textId="77777777" w:rsidTr="00F318A9">
        <w:tblPrEx>
          <w:jc w:val="left"/>
        </w:tblPrEx>
        <w:trPr>
          <w:trHeight w:val="184"/>
        </w:trPr>
        <w:tc>
          <w:tcPr>
            <w:tcW w:w="408" w:type="pct"/>
            <w:vMerge/>
          </w:tcPr>
          <w:p w14:paraId="15DBBACF" w14:textId="77777777" w:rsidR="00F318A9" w:rsidRPr="00E123C3" w:rsidRDefault="00F318A9" w:rsidP="00F318A9">
            <w:pPr>
              <w:rPr>
                <w:rFonts w:ascii="Arial" w:hAnsi="Arial"/>
                <w:sz w:val="14"/>
              </w:rPr>
            </w:pPr>
          </w:p>
        </w:tc>
        <w:tc>
          <w:tcPr>
            <w:tcW w:w="408" w:type="pct"/>
            <w:vMerge/>
          </w:tcPr>
          <w:p w14:paraId="299A552B" w14:textId="77777777" w:rsidR="00F318A9" w:rsidRPr="00E123C3" w:rsidRDefault="00F318A9" w:rsidP="00F318A9">
            <w:pPr>
              <w:rPr>
                <w:rFonts w:ascii="Arial" w:hAnsi="Arial"/>
                <w:sz w:val="14"/>
              </w:rPr>
            </w:pPr>
          </w:p>
        </w:tc>
        <w:tc>
          <w:tcPr>
            <w:tcW w:w="459" w:type="pct"/>
            <w:vMerge/>
          </w:tcPr>
          <w:p w14:paraId="20C20E6B" w14:textId="77777777" w:rsidR="00F318A9" w:rsidRPr="00E123C3" w:rsidRDefault="00F318A9" w:rsidP="00F318A9">
            <w:pPr>
              <w:rPr>
                <w:rFonts w:ascii="Arial" w:hAnsi="Arial"/>
                <w:sz w:val="14"/>
              </w:rPr>
            </w:pPr>
          </w:p>
        </w:tc>
        <w:tc>
          <w:tcPr>
            <w:tcW w:w="557" w:type="pct"/>
            <w:vMerge/>
          </w:tcPr>
          <w:p w14:paraId="4FAFD066" w14:textId="77777777" w:rsidR="00F318A9" w:rsidRPr="00E123C3" w:rsidRDefault="00F318A9" w:rsidP="00F318A9">
            <w:pPr>
              <w:rPr>
                <w:rFonts w:ascii="Arial" w:hAnsi="Arial"/>
                <w:sz w:val="14"/>
              </w:rPr>
            </w:pPr>
          </w:p>
        </w:tc>
        <w:tc>
          <w:tcPr>
            <w:tcW w:w="1090" w:type="pct"/>
          </w:tcPr>
          <w:p w14:paraId="26DAB55E" w14:textId="77777777" w:rsidR="00F318A9" w:rsidRPr="00E123C3" w:rsidRDefault="00F318A9" w:rsidP="00F318A9">
            <w:pPr>
              <w:rPr>
                <w:rFonts w:ascii="Arial" w:hAnsi="Arial"/>
                <w:sz w:val="14"/>
              </w:rPr>
            </w:pPr>
            <w:r w:rsidRPr="00E123C3">
              <w:rPr>
                <w:rFonts w:ascii="Arial" w:hAnsi="Arial"/>
                <w:sz w:val="14"/>
              </w:rPr>
              <w:t>Activity 4.2.4: Finalization of the national policy roadmap by the PWG. This will include the preparation of a report on the outcomes of the public consultation with recommendations for finalization of the roadmap. The finalization of the roadmap will be done by the PWG.</w:t>
            </w:r>
          </w:p>
          <w:p w14:paraId="2F6CA899" w14:textId="77777777" w:rsidR="00F318A9" w:rsidRPr="00E123C3" w:rsidRDefault="00F318A9" w:rsidP="00F318A9">
            <w:pPr>
              <w:rPr>
                <w:rFonts w:ascii="Arial" w:hAnsi="Arial"/>
                <w:sz w:val="14"/>
              </w:rPr>
            </w:pPr>
          </w:p>
          <w:p w14:paraId="768CBA10" w14:textId="77777777" w:rsidR="00F318A9" w:rsidRPr="00E123C3" w:rsidRDefault="00F318A9" w:rsidP="00F318A9">
            <w:pPr>
              <w:rPr>
                <w:rFonts w:ascii="Arial" w:hAnsi="Arial"/>
                <w:sz w:val="14"/>
              </w:rPr>
            </w:pPr>
            <w:r w:rsidRPr="00E123C3">
              <w:rPr>
                <w:rFonts w:ascii="Arial" w:hAnsi="Arial"/>
                <w:sz w:val="14"/>
              </w:rPr>
              <w:t>Deliverable 4.2.4: national policy roadmap for DTs</w:t>
            </w:r>
          </w:p>
        </w:tc>
        <w:tc>
          <w:tcPr>
            <w:tcW w:w="97" w:type="pct"/>
            <w:vAlign w:val="center"/>
          </w:tcPr>
          <w:p w14:paraId="0FCAF8C4" w14:textId="77777777" w:rsidR="00F318A9" w:rsidRPr="00E123C3" w:rsidRDefault="00F318A9" w:rsidP="00F318A9">
            <w:pPr>
              <w:jc w:val="center"/>
              <w:rPr>
                <w:rFonts w:ascii="Arial" w:hAnsi="Arial"/>
                <w:sz w:val="14"/>
              </w:rPr>
            </w:pPr>
          </w:p>
        </w:tc>
        <w:tc>
          <w:tcPr>
            <w:tcW w:w="97" w:type="pct"/>
            <w:vAlign w:val="center"/>
          </w:tcPr>
          <w:p w14:paraId="78B641E7" w14:textId="77777777" w:rsidR="00F318A9" w:rsidRPr="00E123C3" w:rsidRDefault="00F318A9" w:rsidP="00F318A9">
            <w:pPr>
              <w:jc w:val="center"/>
              <w:rPr>
                <w:rFonts w:ascii="Arial" w:hAnsi="Arial"/>
                <w:sz w:val="14"/>
              </w:rPr>
            </w:pPr>
          </w:p>
        </w:tc>
        <w:tc>
          <w:tcPr>
            <w:tcW w:w="120" w:type="pct"/>
            <w:vAlign w:val="center"/>
          </w:tcPr>
          <w:p w14:paraId="030B3ECC" w14:textId="77777777" w:rsidR="00F318A9" w:rsidRPr="00E123C3" w:rsidRDefault="00F318A9" w:rsidP="00F318A9">
            <w:pPr>
              <w:jc w:val="center"/>
              <w:rPr>
                <w:rFonts w:ascii="Arial" w:hAnsi="Arial"/>
                <w:sz w:val="14"/>
              </w:rPr>
            </w:pPr>
          </w:p>
        </w:tc>
        <w:tc>
          <w:tcPr>
            <w:tcW w:w="97" w:type="pct"/>
            <w:vAlign w:val="center"/>
          </w:tcPr>
          <w:p w14:paraId="6174BF98" w14:textId="77777777" w:rsidR="00F318A9" w:rsidRPr="00E123C3" w:rsidRDefault="00F318A9" w:rsidP="00F318A9">
            <w:pPr>
              <w:jc w:val="center"/>
              <w:rPr>
                <w:rFonts w:ascii="Arial" w:hAnsi="Arial"/>
                <w:sz w:val="14"/>
              </w:rPr>
            </w:pPr>
          </w:p>
        </w:tc>
        <w:tc>
          <w:tcPr>
            <w:tcW w:w="120" w:type="pct"/>
            <w:vAlign w:val="center"/>
          </w:tcPr>
          <w:p w14:paraId="56E71FDC" w14:textId="77777777" w:rsidR="00F318A9" w:rsidRPr="00E123C3" w:rsidRDefault="00F318A9" w:rsidP="00F318A9">
            <w:pPr>
              <w:jc w:val="center"/>
              <w:rPr>
                <w:rFonts w:ascii="Arial" w:hAnsi="Arial"/>
                <w:sz w:val="14"/>
              </w:rPr>
            </w:pPr>
          </w:p>
        </w:tc>
        <w:tc>
          <w:tcPr>
            <w:tcW w:w="120" w:type="pct"/>
            <w:vAlign w:val="center"/>
          </w:tcPr>
          <w:p w14:paraId="7BBE0C24" w14:textId="77777777" w:rsidR="00F318A9" w:rsidRPr="00E123C3" w:rsidRDefault="00F318A9" w:rsidP="00F318A9">
            <w:pPr>
              <w:jc w:val="center"/>
              <w:rPr>
                <w:rFonts w:ascii="Arial" w:hAnsi="Arial"/>
                <w:sz w:val="14"/>
              </w:rPr>
            </w:pPr>
          </w:p>
        </w:tc>
        <w:tc>
          <w:tcPr>
            <w:tcW w:w="120" w:type="pct"/>
            <w:vAlign w:val="center"/>
          </w:tcPr>
          <w:p w14:paraId="44E4BD62" w14:textId="77777777" w:rsidR="00F318A9" w:rsidRPr="00E123C3" w:rsidRDefault="00F318A9" w:rsidP="00F318A9">
            <w:pPr>
              <w:jc w:val="center"/>
              <w:rPr>
                <w:rFonts w:ascii="Arial" w:hAnsi="Arial"/>
                <w:sz w:val="14"/>
              </w:rPr>
            </w:pPr>
          </w:p>
        </w:tc>
        <w:tc>
          <w:tcPr>
            <w:tcW w:w="120" w:type="pct"/>
            <w:vAlign w:val="center"/>
          </w:tcPr>
          <w:p w14:paraId="16423FA1" w14:textId="77777777" w:rsidR="00F318A9" w:rsidRPr="00E123C3" w:rsidRDefault="00F318A9" w:rsidP="00F318A9">
            <w:pPr>
              <w:jc w:val="center"/>
              <w:rPr>
                <w:rFonts w:ascii="Arial" w:hAnsi="Arial"/>
                <w:sz w:val="14"/>
              </w:rPr>
            </w:pPr>
          </w:p>
        </w:tc>
        <w:tc>
          <w:tcPr>
            <w:tcW w:w="120" w:type="pct"/>
            <w:vAlign w:val="center"/>
          </w:tcPr>
          <w:p w14:paraId="068FD3F7" w14:textId="77777777" w:rsidR="00F318A9" w:rsidRPr="00E123C3" w:rsidRDefault="00F318A9" w:rsidP="00F318A9">
            <w:pPr>
              <w:jc w:val="center"/>
              <w:rPr>
                <w:rFonts w:ascii="Arial" w:hAnsi="Arial"/>
                <w:sz w:val="14"/>
              </w:rPr>
            </w:pPr>
          </w:p>
        </w:tc>
        <w:tc>
          <w:tcPr>
            <w:tcW w:w="120" w:type="pct"/>
            <w:vAlign w:val="center"/>
          </w:tcPr>
          <w:p w14:paraId="56C3615A" w14:textId="77777777" w:rsidR="00F318A9" w:rsidRPr="00E123C3" w:rsidRDefault="00F318A9" w:rsidP="00F318A9">
            <w:pPr>
              <w:jc w:val="center"/>
              <w:rPr>
                <w:rFonts w:ascii="Arial" w:hAnsi="Arial"/>
                <w:sz w:val="14"/>
              </w:rPr>
            </w:pPr>
          </w:p>
        </w:tc>
        <w:tc>
          <w:tcPr>
            <w:tcW w:w="120" w:type="pct"/>
            <w:vAlign w:val="center"/>
          </w:tcPr>
          <w:p w14:paraId="207AA37F" w14:textId="77777777" w:rsidR="00F318A9" w:rsidRPr="00E123C3" w:rsidRDefault="00F318A9" w:rsidP="00F318A9">
            <w:pPr>
              <w:jc w:val="center"/>
              <w:rPr>
                <w:rFonts w:ascii="Arial" w:hAnsi="Arial"/>
                <w:sz w:val="14"/>
              </w:rPr>
            </w:pPr>
          </w:p>
        </w:tc>
        <w:tc>
          <w:tcPr>
            <w:tcW w:w="120" w:type="pct"/>
            <w:vAlign w:val="center"/>
          </w:tcPr>
          <w:p w14:paraId="1BDF04E6" w14:textId="77777777" w:rsidR="00F318A9" w:rsidRPr="00E123C3" w:rsidRDefault="00F318A9" w:rsidP="00F318A9">
            <w:pPr>
              <w:jc w:val="center"/>
              <w:rPr>
                <w:rFonts w:ascii="Arial" w:hAnsi="Arial"/>
                <w:sz w:val="14"/>
              </w:rPr>
            </w:pPr>
          </w:p>
        </w:tc>
        <w:tc>
          <w:tcPr>
            <w:tcW w:w="109" w:type="pct"/>
            <w:vAlign w:val="center"/>
          </w:tcPr>
          <w:p w14:paraId="55CBA327"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003EE078"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07361225"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4062D1E9"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vAlign w:val="center"/>
          </w:tcPr>
          <w:p w14:paraId="2A1BAFE7" w14:textId="77777777" w:rsidR="00F318A9" w:rsidRPr="00E123C3" w:rsidRDefault="00F318A9" w:rsidP="00F318A9">
            <w:pPr>
              <w:jc w:val="center"/>
              <w:rPr>
                <w:rFonts w:ascii="Arial" w:hAnsi="Arial"/>
                <w:sz w:val="14"/>
              </w:rPr>
            </w:pPr>
          </w:p>
        </w:tc>
        <w:tc>
          <w:tcPr>
            <w:tcW w:w="120" w:type="pct"/>
            <w:vAlign w:val="center"/>
          </w:tcPr>
          <w:p w14:paraId="0337FA6D" w14:textId="77777777" w:rsidR="00F318A9" w:rsidRPr="00E123C3" w:rsidRDefault="00F318A9" w:rsidP="00F318A9">
            <w:pPr>
              <w:jc w:val="center"/>
              <w:rPr>
                <w:rFonts w:ascii="Arial" w:hAnsi="Arial"/>
                <w:sz w:val="14"/>
              </w:rPr>
            </w:pPr>
          </w:p>
        </w:tc>
      </w:tr>
      <w:tr w:rsidR="00F318A9" w:rsidRPr="00E123C3" w14:paraId="27A1AABC" w14:textId="77777777" w:rsidTr="00F318A9">
        <w:tblPrEx>
          <w:jc w:val="left"/>
        </w:tblPrEx>
        <w:trPr>
          <w:trHeight w:val="184"/>
        </w:trPr>
        <w:tc>
          <w:tcPr>
            <w:tcW w:w="408" w:type="pct"/>
            <w:vMerge/>
          </w:tcPr>
          <w:p w14:paraId="258E0D09" w14:textId="77777777" w:rsidR="00F318A9" w:rsidRPr="00E123C3" w:rsidRDefault="00F318A9" w:rsidP="00F318A9">
            <w:pPr>
              <w:rPr>
                <w:rFonts w:ascii="Arial" w:hAnsi="Arial"/>
                <w:sz w:val="14"/>
              </w:rPr>
            </w:pPr>
          </w:p>
        </w:tc>
        <w:tc>
          <w:tcPr>
            <w:tcW w:w="408" w:type="pct"/>
            <w:vMerge/>
          </w:tcPr>
          <w:p w14:paraId="5596CC30" w14:textId="77777777" w:rsidR="00F318A9" w:rsidRPr="00E123C3" w:rsidRDefault="00F318A9" w:rsidP="00F318A9">
            <w:pPr>
              <w:rPr>
                <w:rFonts w:ascii="Arial" w:hAnsi="Arial"/>
                <w:sz w:val="14"/>
              </w:rPr>
            </w:pPr>
          </w:p>
        </w:tc>
        <w:tc>
          <w:tcPr>
            <w:tcW w:w="459" w:type="pct"/>
            <w:vMerge/>
          </w:tcPr>
          <w:p w14:paraId="152436F1" w14:textId="77777777" w:rsidR="00F318A9" w:rsidRPr="00E123C3" w:rsidRDefault="00F318A9" w:rsidP="00F318A9">
            <w:pPr>
              <w:rPr>
                <w:rFonts w:ascii="Arial" w:hAnsi="Arial"/>
                <w:sz w:val="14"/>
              </w:rPr>
            </w:pPr>
          </w:p>
        </w:tc>
        <w:tc>
          <w:tcPr>
            <w:tcW w:w="557" w:type="pct"/>
            <w:vMerge/>
          </w:tcPr>
          <w:p w14:paraId="295C6570" w14:textId="77777777" w:rsidR="00F318A9" w:rsidRPr="00E123C3" w:rsidRDefault="00F318A9" w:rsidP="00F318A9">
            <w:pPr>
              <w:rPr>
                <w:rFonts w:ascii="Arial" w:hAnsi="Arial"/>
                <w:sz w:val="14"/>
              </w:rPr>
            </w:pPr>
          </w:p>
        </w:tc>
        <w:tc>
          <w:tcPr>
            <w:tcW w:w="1090" w:type="pct"/>
          </w:tcPr>
          <w:p w14:paraId="58AC41C4" w14:textId="77777777" w:rsidR="00F318A9" w:rsidRPr="00E123C3" w:rsidRDefault="00F318A9" w:rsidP="00F318A9">
            <w:pPr>
              <w:rPr>
                <w:rFonts w:ascii="Arial" w:hAnsi="Arial"/>
                <w:sz w:val="14"/>
              </w:rPr>
            </w:pPr>
            <w:r w:rsidRPr="00E123C3">
              <w:rPr>
                <w:rFonts w:ascii="Arial" w:hAnsi="Arial"/>
                <w:sz w:val="14"/>
              </w:rPr>
              <w:t xml:space="preserve">Activity 4.2.5: Development of national MV&amp;E plan for DTs. Initial consultation conducted during proposal preparation highlighted that DTs are purchased by a restricted number of players (mostly the public electric utility, and few energy-intensive customers). Non-utility market players must request the approval of the technical specifications from the public electric utility for the DTs they intend to </w:t>
            </w:r>
            <w:r w:rsidRPr="00E123C3">
              <w:rPr>
                <w:rFonts w:ascii="Arial" w:hAnsi="Arial" w:cs="Arial"/>
                <w:sz w:val="14"/>
                <w:szCs w:val="16"/>
              </w:rPr>
              <w:t>purchase</w:t>
            </w:r>
            <w:r w:rsidRPr="00E123C3">
              <w:rPr>
                <w:rFonts w:ascii="Arial" w:hAnsi="Arial"/>
                <w:sz w:val="14"/>
              </w:rPr>
              <w:t>. The national MV&amp;E framework will be designed through consultation with the relevant organizations and carried out under the supervision of the PWG.</w:t>
            </w:r>
          </w:p>
          <w:p w14:paraId="6363F25D" w14:textId="77777777" w:rsidR="00F318A9" w:rsidRPr="00E123C3" w:rsidRDefault="00F318A9" w:rsidP="00F318A9">
            <w:pPr>
              <w:rPr>
                <w:rFonts w:ascii="Arial" w:hAnsi="Arial"/>
                <w:sz w:val="14"/>
              </w:rPr>
            </w:pPr>
          </w:p>
          <w:p w14:paraId="0C55C4C9" w14:textId="77777777" w:rsidR="00F318A9" w:rsidRPr="00E123C3" w:rsidRDefault="00F318A9" w:rsidP="00F318A9">
            <w:pPr>
              <w:rPr>
                <w:rFonts w:ascii="Arial" w:hAnsi="Arial"/>
                <w:sz w:val="14"/>
              </w:rPr>
            </w:pPr>
            <w:r w:rsidRPr="00E123C3">
              <w:rPr>
                <w:rFonts w:ascii="Arial" w:hAnsi="Arial"/>
                <w:sz w:val="14"/>
              </w:rPr>
              <w:t>Deliverable 4.2.5: national MV&amp;E plan for DTs</w:t>
            </w:r>
          </w:p>
        </w:tc>
        <w:tc>
          <w:tcPr>
            <w:tcW w:w="97" w:type="pct"/>
            <w:vAlign w:val="center"/>
          </w:tcPr>
          <w:p w14:paraId="516B152E" w14:textId="77777777" w:rsidR="00F318A9" w:rsidRPr="00E123C3" w:rsidRDefault="00F318A9" w:rsidP="00F318A9">
            <w:pPr>
              <w:jc w:val="center"/>
              <w:rPr>
                <w:rFonts w:ascii="Arial" w:hAnsi="Arial"/>
                <w:sz w:val="14"/>
              </w:rPr>
            </w:pPr>
          </w:p>
        </w:tc>
        <w:tc>
          <w:tcPr>
            <w:tcW w:w="97" w:type="pct"/>
            <w:vAlign w:val="center"/>
          </w:tcPr>
          <w:p w14:paraId="14186E77" w14:textId="77777777" w:rsidR="00F318A9" w:rsidRPr="00E123C3" w:rsidRDefault="00F318A9" w:rsidP="00F318A9">
            <w:pPr>
              <w:jc w:val="center"/>
              <w:rPr>
                <w:rFonts w:ascii="Arial" w:hAnsi="Arial"/>
                <w:sz w:val="14"/>
              </w:rPr>
            </w:pPr>
          </w:p>
        </w:tc>
        <w:tc>
          <w:tcPr>
            <w:tcW w:w="120" w:type="pct"/>
            <w:vAlign w:val="center"/>
          </w:tcPr>
          <w:p w14:paraId="08527C2A" w14:textId="77777777" w:rsidR="00F318A9" w:rsidRPr="00E123C3" w:rsidRDefault="00F318A9" w:rsidP="00F318A9">
            <w:pPr>
              <w:jc w:val="center"/>
              <w:rPr>
                <w:rFonts w:ascii="Arial" w:hAnsi="Arial"/>
                <w:sz w:val="14"/>
              </w:rPr>
            </w:pPr>
          </w:p>
        </w:tc>
        <w:tc>
          <w:tcPr>
            <w:tcW w:w="97" w:type="pct"/>
            <w:vAlign w:val="center"/>
          </w:tcPr>
          <w:p w14:paraId="5F71FBD2" w14:textId="77777777" w:rsidR="00F318A9" w:rsidRPr="00E123C3" w:rsidRDefault="00F318A9" w:rsidP="00F318A9">
            <w:pPr>
              <w:jc w:val="center"/>
              <w:rPr>
                <w:rFonts w:ascii="Arial" w:hAnsi="Arial"/>
                <w:sz w:val="14"/>
              </w:rPr>
            </w:pPr>
          </w:p>
        </w:tc>
        <w:tc>
          <w:tcPr>
            <w:tcW w:w="120" w:type="pct"/>
            <w:vAlign w:val="center"/>
          </w:tcPr>
          <w:p w14:paraId="32D699B5"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6DD3763D"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646BF8EB"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1D394BD4"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3A1ED28B"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vAlign w:val="center"/>
          </w:tcPr>
          <w:p w14:paraId="4B7FDFC2" w14:textId="77777777" w:rsidR="00F318A9" w:rsidRPr="00E123C3" w:rsidRDefault="00F318A9" w:rsidP="00F318A9">
            <w:pPr>
              <w:jc w:val="center"/>
              <w:rPr>
                <w:rFonts w:ascii="Arial" w:hAnsi="Arial"/>
                <w:sz w:val="14"/>
              </w:rPr>
            </w:pPr>
          </w:p>
        </w:tc>
        <w:tc>
          <w:tcPr>
            <w:tcW w:w="120" w:type="pct"/>
            <w:vAlign w:val="center"/>
          </w:tcPr>
          <w:p w14:paraId="03B7F756" w14:textId="77777777" w:rsidR="00F318A9" w:rsidRPr="00E123C3" w:rsidRDefault="00F318A9" w:rsidP="00F318A9">
            <w:pPr>
              <w:jc w:val="center"/>
              <w:rPr>
                <w:rFonts w:ascii="Arial" w:hAnsi="Arial"/>
                <w:sz w:val="14"/>
              </w:rPr>
            </w:pPr>
          </w:p>
        </w:tc>
        <w:tc>
          <w:tcPr>
            <w:tcW w:w="120" w:type="pct"/>
            <w:vAlign w:val="center"/>
          </w:tcPr>
          <w:p w14:paraId="43985A43" w14:textId="77777777" w:rsidR="00F318A9" w:rsidRPr="00E123C3" w:rsidRDefault="00F318A9" w:rsidP="00F318A9">
            <w:pPr>
              <w:jc w:val="center"/>
              <w:rPr>
                <w:rFonts w:ascii="Arial" w:hAnsi="Arial"/>
                <w:sz w:val="14"/>
              </w:rPr>
            </w:pPr>
          </w:p>
        </w:tc>
        <w:tc>
          <w:tcPr>
            <w:tcW w:w="109" w:type="pct"/>
            <w:vAlign w:val="center"/>
          </w:tcPr>
          <w:p w14:paraId="46CB82C6" w14:textId="77777777" w:rsidR="00F318A9" w:rsidRPr="00E123C3" w:rsidRDefault="00F318A9" w:rsidP="00F318A9">
            <w:pPr>
              <w:jc w:val="center"/>
              <w:rPr>
                <w:rFonts w:ascii="Arial" w:hAnsi="Arial"/>
                <w:sz w:val="14"/>
              </w:rPr>
            </w:pPr>
          </w:p>
        </w:tc>
        <w:tc>
          <w:tcPr>
            <w:tcW w:w="120" w:type="pct"/>
            <w:vAlign w:val="center"/>
          </w:tcPr>
          <w:p w14:paraId="0864B5E2" w14:textId="77777777" w:rsidR="00F318A9" w:rsidRPr="00E123C3" w:rsidRDefault="00F318A9" w:rsidP="00F318A9">
            <w:pPr>
              <w:jc w:val="center"/>
              <w:rPr>
                <w:rFonts w:ascii="Arial" w:hAnsi="Arial"/>
                <w:sz w:val="14"/>
              </w:rPr>
            </w:pPr>
          </w:p>
        </w:tc>
        <w:tc>
          <w:tcPr>
            <w:tcW w:w="120" w:type="pct"/>
            <w:vAlign w:val="center"/>
          </w:tcPr>
          <w:p w14:paraId="1AA24B50" w14:textId="77777777" w:rsidR="00F318A9" w:rsidRPr="00E123C3" w:rsidRDefault="00F318A9" w:rsidP="00F318A9">
            <w:pPr>
              <w:jc w:val="center"/>
              <w:rPr>
                <w:rFonts w:ascii="Arial" w:hAnsi="Arial"/>
                <w:sz w:val="14"/>
              </w:rPr>
            </w:pPr>
          </w:p>
        </w:tc>
        <w:tc>
          <w:tcPr>
            <w:tcW w:w="120" w:type="pct"/>
            <w:vAlign w:val="center"/>
          </w:tcPr>
          <w:p w14:paraId="5F2FF5FB" w14:textId="77777777" w:rsidR="00F318A9" w:rsidRPr="00E123C3" w:rsidRDefault="00F318A9" w:rsidP="00F318A9">
            <w:pPr>
              <w:jc w:val="center"/>
              <w:rPr>
                <w:rFonts w:ascii="Arial" w:hAnsi="Arial"/>
                <w:sz w:val="14"/>
              </w:rPr>
            </w:pPr>
          </w:p>
        </w:tc>
        <w:tc>
          <w:tcPr>
            <w:tcW w:w="120" w:type="pct"/>
            <w:vAlign w:val="center"/>
          </w:tcPr>
          <w:p w14:paraId="4DFC87AF" w14:textId="77777777" w:rsidR="00F318A9" w:rsidRPr="00E123C3" w:rsidRDefault="00F318A9" w:rsidP="00F318A9">
            <w:pPr>
              <w:jc w:val="center"/>
              <w:rPr>
                <w:rFonts w:ascii="Arial" w:hAnsi="Arial"/>
                <w:sz w:val="14"/>
              </w:rPr>
            </w:pPr>
          </w:p>
        </w:tc>
        <w:tc>
          <w:tcPr>
            <w:tcW w:w="120" w:type="pct"/>
            <w:vAlign w:val="center"/>
          </w:tcPr>
          <w:p w14:paraId="6BEE14D2" w14:textId="77777777" w:rsidR="00F318A9" w:rsidRPr="00E123C3" w:rsidRDefault="00F318A9" w:rsidP="00F318A9">
            <w:pPr>
              <w:jc w:val="center"/>
              <w:rPr>
                <w:rFonts w:ascii="Arial" w:hAnsi="Arial"/>
                <w:sz w:val="14"/>
              </w:rPr>
            </w:pPr>
          </w:p>
        </w:tc>
      </w:tr>
      <w:tr w:rsidR="00F318A9" w:rsidRPr="00E123C3" w14:paraId="17C27377" w14:textId="77777777" w:rsidTr="00F318A9">
        <w:tblPrEx>
          <w:jc w:val="left"/>
        </w:tblPrEx>
        <w:trPr>
          <w:trHeight w:val="184"/>
        </w:trPr>
        <w:tc>
          <w:tcPr>
            <w:tcW w:w="408" w:type="pct"/>
            <w:vMerge/>
          </w:tcPr>
          <w:p w14:paraId="001FBE40" w14:textId="77777777" w:rsidR="00F318A9" w:rsidRPr="00E123C3" w:rsidRDefault="00F318A9" w:rsidP="00F318A9">
            <w:pPr>
              <w:rPr>
                <w:rFonts w:ascii="Arial" w:hAnsi="Arial"/>
                <w:sz w:val="14"/>
              </w:rPr>
            </w:pPr>
          </w:p>
        </w:tc>
        <w:tc>
          <w:tcPr>
            <w:tcW w:w="408" w:type="pct"/>
            <w:vMerge/>
          </w:tcPr>
          <w:p w14:paraId="5CD24975" w14:textId="77777777" w:rsidR="00F318A9" w:rsidRPr="00E123C3" w:rsidRDefault="00F318A9" w:rsidP="00F318A9">
            <w:pPr>
              <w:rPr>
                <w:rFonts w:ascii="Arial" w:hAnsi="Arial"/>
                <w:sz w:val="14"/>
              </w:rPr>
            </w:pPr>
          </w:p>
        </w:tc>
        <w:tc>
          <w:tcPr>
            <w:tcW w:w="459" w:type="pct"/>
            <w:vMerge/>
          </w:tcPr>
          <w:p w14:paraId="0A58EDCB" w14:textId="77777777" w:rsidR="00F318A9" w:rsidRPr="00E123C3" w:rsidRDefault="00F318A9" w:rsidP="00F318A9">
            <w:pPr>
              <w:rPr>
                <w:rFonts w:ascii="Arial" w:hAnsi="Arial"/>
                <w:sz w:val="14"/>
              </w:rPr>
            </w:pPr>
          </w:p>
        </w:tc>
        <w:tc>
          <w:tcPr>
            <w:tcW w:w="557" w:type="pct"/>
            <w:vMerge/>
          </w:tcPr>
          <w:p w14:paraId="10A72FE8" w14:textId="77777777" w:rsidR="00F318A9" w:rsidRPr="00E123C3" w:rsidRDefault="00F318A9" w:rsidP="00F318A9">
            <w:pPr>
              <w:rPr>
                <w:rFonts w:ascii="Arial" w:hAnsi="Arial"/>
                <w:sz w:val="14"/>
              </w:rPr>
            </w:pPr>
          </w:p>
        </w:tc>
        <w:tc>
          <w:tcPr>
            <w:tcW w:w="1090" w:type="pct"/>
            <w:shd w:val="clear" w:color="auto" w:fill="FFFFFF" w:themeFill="background1"/>
          </w:tcPr>
          <w:p w14:paraId="78E5A2BB" w14:textId="77777777" w:rsidR="00F318A9" w:rsidRPr="00D554F6" w:rsidRDefault="00F318A9" w:rsidP="00F318A9">
            <w:pPr>
              <w:rPr>
                <w:rFonts w:ascii="Arial" w:hAnsi="Arial"/>
                <w:b/>
                <w:sz w:val="14"/>
              </w:rPr>
            </w:pPr>
            <w:r w:rsidRPr="00D554F6">
              <w:rPr>
                <w:rFonts w:ascii="Arial" w:hAnsi="Arial"/>
                <w:b/>
                <w:sz w:val="14"/>
              </w:rPr>
              <w:t>Output 4.3: Technology upgrade options identified for DTs and capacity building of local DT manufacturers implemented</w:t>
            </w:r>
          </w:p>
          <w:p w14:paraId="1CA0DCC4" w14:textId="77777777" w:rsidR="00F318A9" w:rsidRDefault="00F318A9" w:rsidP="00F318A9">
            <w:pPr>
              <w:rPr>
                <w:rFonts w:ascii="Arial" w:hAnsi="Arial"/>
                <w:sz w:val="14"/>
              </w:rPr>
            </w:pPr>
          </w:p>
          <w:p w14:paraId="6242165B" w14:textId="77777777" w:rsidR="00F318A9" w:rsidRPr="00E123C3" w:rsidRDefault="00F318A9" w:rsidP="00F318A9">
            <w:pPr>
              <w:rPr>
                <w:rFonts w:ascii="Arial" w:hAnsi="Arial"/>
                <w:sz w:val="14"/>
              </w:rPr>
            </w:pPr>
            <w:r w:rsidRPr="00E123C3">
              <w:rPr>
                <w:rFonts w:ascii="Arial" w:hAnsi="Arial"/>
                <w:sz w:val="14"/>
              </w:rPr>
              <w:t>Activity 4.3.1: Conduct site visit at DT manufacturers. An international DT expert will carry out technical site visit to assess technology improvement needs and capacity building needs</w:t>
            </w:r>
          </w:p>
          <w:p w14:paraId="1C608205" w14:textId="77777777" w:rsidR="00F318A9" w:rsidRPr="00E123C3" w:rsidRDefault="00F318A9" w:rsidP="00F318A9">
            <w:pPr>
              <w:rPr>
                <w:rFonts w:ascii="Arial" w:hAnsi="Arial"/>
                <w:sz w:val="14"/>
              </w:rPr>
            </w:pPr>
          </w:p>
          <w:p w14:paraId="3D68AEF1" w14:textId="77777777" w:rsidR="00F318A9" w:rsidRPr="00E123C3" w:rsidRDefault="00F318A9" w:rsidP="00F318A9">
            <w:pPr>
              <w:rPr>
                <w:rFonts w:ascii="Arial" w:hAnsi="Arial"/>
                <w:sz w:val="14"/>
              </w:rPr>
            </w:pPr>
            <w:r w:rsidRPr="00E123C3">
              <w:rPr>
                <w:rFonts w:ascii="Arial" w:hAnsi="Arial"/>
                <w:sz w:val="14"/>
              </w:rPr>
              <w:t>Deliverable 4.3.1: Report on technology and capacity building needs analysis for DTs technology upgrade</w:t>
            </w:r>
          </w:p>
        </w:tc>
        <w:tc>
          <w:tcPr>
            <w:tcW w:w="97" w:type="pct"/>
            <w:shd w:val="clear" w:color="auto" w:fill="FFFFFF" w:themeFill="background1"/>
            <w:vAlign w:val="center"/>
          </w:tcPr>
          <w:p w14:paraId="740C2512" w14:textId="77777777" w:rsidR="00F318A9" w:rsidRPr="00E123C3" w:rsidRDefault="00F318A9" w:rsidP="00F318A9">
            <w:pPr>
              <w:jc w:val="center"/>
              <w:rPr>
                <w:rFonts w:ascii="Arial" w:hAnsi="Arial"/>
                <w:sz w:val="14"/>
              </w:rPr>
            </w:pPr>
          </w:p>
        </w:tc>
        <w:tc>
          <w:tcPr>
            <w:tcW w:w="97" w:type="pct"/>
            <w:shd w:val="clear" w:color="auto" w:fill="FFFFFF" w:themeFill="background1"/>
            <w:vAlign w:val="center"/>
          </w:tcPr>
          <w:p w14:paraId="10F7155C"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71FB1A99" w14:textId="77777777" w:rsidR="00F318A9" w:rsidRPr="00E123C3" w:rsidRDefault="00F318A9" w:rsidP="00F318A9">
            <w:pPr>
              <w:jc w:val="center"/>
              <w:rPr>
                <w:rFonts w:ascii="Arial" w:hAnsi="Arial"/>
                <w:sz w:val="14"/>
              </w:rPr>
            </w:pPr>
          </w:p>
        </w:tc>
        <w:tc>
          <w:tcPr>
            <w:tcW w:w="97" w:type="pct"/>
            <w:shd w:val="clear" w:color="auto" w:fill="FFFFFF" w:themeFill="background1"/>
            <w:vAlign w:val="center"/>
          </w:tcPr>
          <w:p w14:paraId="493857EB"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1191A16C"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1AEA77EA"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30071105"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1A24AB76"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0BD27BA7"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shd w:val="clear" w:color="auto" w:fill="FFFFFF" w:themeFill="background1"/>
            <w:vAlign w:val="center"/>
          </w:tcPr>
          <w:p w14:paraId="24DE6879"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035AA348"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4736B2E9" w14:textId="77777777" w:rsidR="00F318A9" w:rsidRPr="00E123C3" w:rsidRDefault="00F318A9" w:rsidP="00F318A9">
            <w:pPr>
              <w:jc w:val="center"/>
              <w:rPr>
                <w:rFonts w:ascii="Arial" w:hAnsi="Arial"/>
                <w:sz w:val="14"/>
              </w:rPr>
            </w:pPr>
          </w:p>
        </w:tc>
        <w:tc>
          <w:tcPr>
            <w:tcW w:w="109" w:type="pct"/>
            <w:shd w:val="clear" w:color="auto" w:fill="FFFFFF" w:themeFill="background1"/>
            <w:vAlign w:val="center"/>
          </w:tcPr>
          <w:p w14:paraId="187A5F80"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29AE7696"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25081E1A"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43779B78"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5E942422"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743B0883" w14:textId="77777777" w:rsidR="00F318A9" w:rsidRPr="00E123C3" w:rsidRDefault="00F318A9" w:rsidP="00F318A9">
            <w:pPr>
              <w:jc w:val="center"/>
              <w:rPr>
                <w:rFonts w:ascii="Arial" w:hAnsi="Arial"/>
                <w:sz w:val="14"/>
              </w:rPr>
            </w:pPr>
          </w:p>
        </w:tc>
      </w:tr>
      <w:tr w:rsidR="00F318A9" w:rsidRPr="00E123C3" w14:paraId="2563AD0F" w14:textId="77777777" w:rsidTr="00F318A9">
        <w:tblPrEx>
          <w:jc w:val="left"/>
        </w:tblPrEx>
        <w:trPr>
          <w:trHeight w:val="184"/>
        </w:trPr>
        <w:tc>
          <w:tcPr>
            <w:tcW w:w="408" w:type="pct"/>
            <w:vMerge/>
          </w:tcPr>
          <w:p w14:paraId="19D46909" w14:textId="77777777" w:rsidR="00F318A9" w:rsidRPr="00E123C3" w:rsidRDefault="00F318A9" w:rsidP="00F318A9">
            <w:pPr>
              <w:rPr>
                <w:rFonts w:ascii="Arial" w:hAnsi="Arial"/>
                <w:sz w:val="14"/>
              </w:rPr>
            </w:pPr>
          </w:p>
        </w:tc>
        <w:tc>
          <w:tcPr>
            <w:tcW w:w="408" w:type="pct"/>
            <w:vMerge/>
          </w:tcPr>
          <w:p w14:paraId="04CE38B8" w14:textId="77777777" w:rsidR="00F318A9" w:rsidRPr="00E123C3" w:rsidRDefault="00F318A9" w:rsidP="00F318A9">
            <w:pPr>
              <w:rPr>
                <w:rFonts w:ascii="Arial" w:hAnsi="Arial"/>
                <w:sz w:val="14"/>
              </w:rPr>
            </w:pPr>
          </w:p>
        </w:tc>
        <w:tc>
          <w:tcPr>
            <w:tcW w:w="459" w:type="pct"/>
            <w:vMerge/>
          </w:tcPr>
          <w:p w14:paraId="76629207" w14:textId="77777777" w:rsidR="00F318A9" w:rsidRPr="00E123C3" w:rsidRDefault="00F318A9" w:rsidP="00F318A9">
            <w:pPr>
              <w:rPr>
                <w:rFonts w:ascii="Arial" w:hAnsi="Arial"/>
                <w:sz w:val="14"/>
              </w:rPr>
            </w:pPr>
          </w:p>
        </w:tc>
        <w:tc>
          <w:tcPr>
            <w:tcW w:w="557" w:type="pct"/>
            <w:vMerge/>
          </w:tcPr>
          <w:p w14:paraId="3E8916AC" w14:textId="77777777" w:rsidR="00F318A9" w:rsidRPr="00E123C3" w:rsidRDefault="00F318A9" w:rsidP="00F318A9">
            <w:pPr>
              <w:rPr>
                <w:rFonts w:ascii="Arial" w:hAnsi="Arial"/>
                <w:sz w:val="14"/>
              </w:rPr>
            </w:pPr>
          </w:p>
        </w:tc>
        <w:tc>
          <w:tcPr>
            <w:tcW w:w="1090" w:type="pct"/>
            <w:shd w:val="clear" w:color="auto" w:fill="FFFFFF" w:themeFill="background1"/>
          </w:tcPr>
          <w:p w14:paraId="2C378F57" w14:textId="77777777" w:rsidR="00F318A9" w:rsidRPr="00E123C3" w:rsidRDefault="00F318A9" w:rsidP="00F318A9">
            <w:pPr>
              <w:rPr>
                <w:rFonts w:ascii="Arial" w:hAnsi="Arial"/>
                <w:sz w:val="14"/>
              </w:rPr>
            </w:pPr>
            <w:r w:rsidRPr="00E123C3">
              <w:rPr>
                <w:rFonts w:ascii="Arial" w:hAnsi="Arial"/>
                <w:sz w:val="14"/>
              </w:rPr>
              <w:t xml:space="preserve">Activity 4.3.2: Develop training program and conduct feasibility study for technology improvement. The international expert will then develop a training program to build the </w:t>
            </w:r>
            <w:r w:rsidRPr="00E123C3">
              <w:rPr>
                <w:rFonts w:ascii="Arial" w:hAnsi="Arial"/>
                <w:sz w:val="14"/>
              </w:rPr>
              <w:lastRenderedPageBreak/>
              <w:t>capacity of engineers and designers to improve the design and manufacturing of DTs in line with international best practices. Based on the outcomes of the site visit, the international expert will prepare a feasibility study for investment in new technology (manufacturing, recycling).</w:t>
            </w:r>
          </w:p>
          <w:p w14:paraId="6A82C1B0" w14:textId="77777777" w:rsidR="00F318A9" w:rsidRPr="00E123C3" w:rsidRDefault="00F318A9" w:rsidP="00F318A9">
            <w:pPr>
              <w:rPr>
                <w:rFonts w:ascii="Arial" w:hAnsi="Arial"/>
                <w:sz w:val="14"/>
              </w:rPr>
            </w:pPr>
          </w:p>
          <w:p w14:paraId="354D68E9" w14:textId="77777777" w:rsidR="00F318A9" w:rsidRPr="00E123C3" w:rsidRDefault="00F318A9" w:rsidP="00F318A9">
            <w:pPr>
              <w:rPr>
                <w:rFonts w:ascii="Arial" w:hAnsi="Arial"/>
                <w:sz w:val="14"/>
              </w:rPr>
            </w:pPr>
            <w:r w:rsidRPr="00E123C3">
              <w:rPr>
                <w:rFonts w:ascii="Arial" w:hAnsi="Arial"/>
                <w:sz w:val="14"/>
              </w:rPr>
              <w:t>Deliverable 4.3.2: Training program, training materials; feasibility study for DT technology upgrade</w:t>
            </w:r>
          </w:p>
        </w:tc>
        <w:tc>
          <w:tcPr>
            <w:tcW w:w="97" w:type="pct"/>
            <w:shd w:val="clear" w:color="auto" w:fill="FFFFFF" w:themeFill="background1"/>
            <w:vAlign w:val="center"/>
          </w:tcPr>
          <w:p w14:paraId="75BE82AA" w14:textId="77777777" w:rsidR="00F318A9" w:rsidRPr="00E123C3" w:rsidRDefault="00F318A9" w:rsidP="00F318A9">
            <w:pPr>
              <w:jc w:val="center"/>
              <w:rPr>
                <w:rFonts w:ascii="Arial" w:hAnsi="Arial"/>
                <w:sz w:val="14"/>
              </w:rPr>
            </w:pPr>
          </w:p>
        </w:tc>
        <w:tc>
          <w:tcPr>
            <w:tcW w:w="97" w:type="pct"/>
            <w:shd w:val="clear" w:color="auto" w:fill="FFFFFF" w:themeFill="background1"/>
            <w:vAlign w:val="center"/>
          </w:tcPr>
          <w:p w14:paraId="28A7B3AA"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44A436A2" w14:textId="77777777" w:rsidR="00F318A9" w:rsidRPr="00E123C3" w:rsidRDefault="00F318A9" w:rsidP="00F318A9">
            <w:pPr>
              <w:jc w:val="center"/>
              <w:rPr>
                <w:rFonts w:ascii="Arial" w:hAnsi="Arial"/>
                <w:sz w:val="14"/>
              </w:rPr>
            </w:pPr>
          </w:p>
        </w:tc>
        <w:tc>
          <w:tcPr>
            <w:tcW w:w="97" w:type="pct"/>
            <w:shd w:val="clear" w:color="auto" w:fill="FFFFFF" w:themeFill="background1"/>
            <w:vAlign w:val="center"/>
          </w:tcPr>
          <w:p w14:paraId="6AD0AF54"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62E3187C"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3D2F2756"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5504E35C"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37932773"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235D3741"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4A1D6F3C"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66413A98"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6F71C556" w14:textId="77777777" w:rsidR="00F318A9" w:rsidRPr="00E123C3" w:rsidRDefault="00F318A9" w:rsidP="00F318A9">
            <w:pPr>
              <w:jc w:val="center"/>
              <w:rPr>
                <w:rFonts w:ascii="Arial" w:hAnsi="Arial"/>
                <w:sz w:val="14"/>
              </w:rPr>
            </w:pPr>
            <w:r w:rsidRPr="00E123C3">
              <w:rPr>
                <w:rFonts w:ascii="Arial" w:hAnsi="Arial"/>
                <w:sz w:val="14"/>
              </w:rPr>
              <w:t>X</w:t>
            </w:r>
          </w:p>
        </w:tc>
        <w:tc>
          <w:tcPr>
            <w:tcW w:w="109" w:type="pct"/>
            <w:shd w:val="clear" w:color="auto" w:fill="FFFFFF" w:themeFill="background1"/>
            <w:vAlign w:val="center"/>
          </w:tcPr>
          <w:p w14:paraId="7AAC7890"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459A241F"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4568A42F"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5A6F80A1"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02A68D5D"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4A89D957" w14:textId="77777777" w:rsidR="00F318A9" w:rsidRPr="00E123C3" w:rsidRDefault="00F318A9" w:rsidP="00F318A9">
            <w:pPr>
              <w:jc w:val="center"/>
              <w:rPr>
                <w:rFonts w:ascii="Arial" w:hAnsi="Arial"/>
                <w:sz w:val="14"/>
              </w:rPr>
            </w:pPr>
          </w:p>
        </w:tc>
      </w:tr>
      <w:tr w:rsidR="00F318A9" w:rsidRPr="00E123C3" w14:paraId="464172EF" w14:textId="77777777" w:rsidTr="00F318A9">
        <w:tblPrEx>
          <w:jc w:val="left"/>
        </w:tblPrEx>
        <w:trPr>
          <w:trHeight w:val="184"/>
        </w:trPr>
        <w:tc>
          <w:tcPr>
            <w:tcW w:w="408" w:type="pct"/>
            <w:vMerge/>
          </w:tcPr>
          <w:p w14:paraId="7BF2E9BE" w14:textId="77777777" w:rsidR="00F318A9" w:rsidRPr="00E123C3" w:rsidRDefault="00F318A9" w:rsidP="00F318A9">
            <w:pPr>
              <w:rPr>
                <w:rFonts w:ascii="Arial" w:hAnsi="Arial"/>
                <w:sz w:val="14"/>
              </w:rPr>
            </w:pPr>
          </w:p>
        </w:tc>
        <w:tc>
          <w:tcPr>
            <w:tcW w:w="408" w:type="pct"/>
            <w:vMerge/>
          </w:tcPr>
          <w:p w14:paraId="30FE214D" w14:textId="77777777" w:rsidR="00F318A9" w:rsidRPr="00E123C3" w:rsidRDefault="00F318A9" w:rsidP="00F318A9">
            <w:pPr>
              <w:rPr>
                <w:rFonts w:ascii="Arial" w:hAnsi="Arial"/>
                <w:sz w:val="14"/>
              </w:rPr>
            </w:pPr>
          </w:p>
        </w:tc>
        <w:tc>
          <w:tcPr>
            <w:tcW w:w="459" w:type="pct"/>
            <w:vMerge/>
          </w:tcPr>
          <w:p w14:paraId="20504371" w14:textId="77777777" w:rsidR="00F318A9" w:rsidRPr="00E123C3" w:rsidRDefault="00F318A9" w:rsidP="00F318A9">
            <w:pPr>
              <w:rPr>
                <w:rFonts w:ascii="Arial" w:hAnsi="Arial"/>
                <w:sz w:val="14"/>
              </w:rPr>
            </w:pPr>
          </w:p>
        </w:tc>
        <w:tc>
          <w:tcPr>
            <w:tcW w:w="557" w:type="pct"/>
            <w:vMerge/>
          </w:tcPr>
          <w:p w14:paraId="42380FEE" w14:textId="77777777" w:rsidR="00F318A9" w:rsidRPr="00E123C3" w:rsidRDefault="00F318A9" w:rsidP="00F318A9">
            <w:pPr>
              <w:rPr>
                <w:rFonts w:ascii="Arial" w:hAnsi="Arial"/>
                <w:sz w:val="14"/>
              </w:rPr>
            </w:pPr>
          </w:p>
        </w:tc>
        <w:tc>
          <w:tcPr>
            <w:tcW w:w="1090" w:type="pct"/>
            <w:shd w:val="clear" w:color="auto" w:fill="FFFFFF" w:themeFill="background1"/>
          </w:tcPr>
          <w:p w14:paraId="7BC7FB0B" w14:textId="77777777" w:rsidR="00F318A9" w:rsidRPr="00E123C3" w:rsidRDefault="00F318A9" w:rsidP="00F318A9">
            <w:pPr>
              <w:rPr>
                <w:rFonts w:ascii="Arial" w:hAnsi="Arial"/>
                <w:sz w:val="14"/>
              </w:rPr>
            </w:pPr>
            <w:r w:rsidRPr="00E123C3">
              <w:rPr>
                <w:rFonts w:ascii="Arial" w:hAnsi="Arial"/>
                <w:sz w:val="14"/>
              </w:rPr>
              <w:t>Activity 4.3.3: Conduct capacity building training workshop for local DT manufacturers. A training workshop will then be organized for local DT manufacturers (on-site). The feasibility study report will also be presented to and discuss with DT manufacturer’s management.</w:t>
            </w:r>
          </w:p>
          <w:p w14:paraId="41F6D02E" w14:textId="77777777" w:rsidR="00F318A9" w:rsidRPr="00E123C3" w:rsidRDefault="00F318A9" w:rsidP="00F318A9">
            <w:pPr>
              <w:rPr>
                <w:rFonts w:ascii="Arial" w:hAnsi="Arial"/>
                <w:sz w:val="14"/>
              </w:rPr>
            </w:pPr>
          </w:p>
          <w:p w14:paraId="349D3FDD" w14:textId="77777777" w:rsidR="00F318A9" w:rsidRPr="00E123C3" w:rsidRDefault="00F318A9" w:rsidP="00F318A9">
            <w:pPr>
              <w:rPr>
                <w:rFonts w:ascii="Arial" w:hAnsi="Arial"/>
                <w:sz w:val="14"/>
              </w:rPr>
            </w:pPr>
            <w:r w:rsidRPr="00E123C3">
              <w:rPr>
                <w:rFonts w:ascii="Arial" w:hAnsi="Arial"/>
                <w:sz w:val="14"/>
              </w:rPr>
              <w:t>Deliverable 4.3.3: Training (on-site) for engineers and designers of DT manufacturers on technology upgrade</w:t>
            </w:r>
          </w:p>
        </w:tc>
        <w:tc>
          <w:tcPr>
            <w:tcW w:w="97" w:type="pct"/>
            <w:shd w:val="clear" w:color="auto" w:fill="FFFFFF" w:themeFill="background1"/>
            <w:vAlign w:val="center"/>
          </w:tcPr>
          <w:p w14:paraId="0FA7E23F" w14:textId="77777777" w:rsidR="00F318A9" w:rsidRPr="00E123C3" w:rsidRDefault="00F318A9" w:rsidP="00F318A9">
            <w:pPr>
              <w:jc w:val="center"/>
              <w:rPr>
                <w:rFonts w:ascii="Arial" w:hAnsi="Arial"/>
                <w:sz w:val="14"/>
              </w:rPr>
            </w:pPr>
          </w:p>
        </w:tc>
        <w:tc>
          <w:tcPr>
            <w:tcW w:w="97" w:type="pct"/>
            <w:shd w:val="clear" w:color="auto" w:fill="FFFFFF" w:themeFill="background1"/>
            <w:vAlign w:val="center"/>
          </w:tcPr>
          <w:p w14:paraId="369F4003"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1667849D" w14:textId="77777777" w:rsidR="00F318A9" w:rsidRPr="00E123C3" w:rsidRDefault="00F318A9" w:rsidP="00F318A9">
            <w:pPr>
              <w:jc w:val="center"/>
              <w:rPr>
                <w:rFonts w:ascii="Arial" w:hAnsi="Arial"/>
                <w:sz w:val="14"/>
              </w:rPr>
            </w:pPr>
          </w:p>
        </w:tc>
        <w:tc>
          <w:tcPr>
            <w:tcW w:w="97" w:type="pct"/>
            <w:shd w:val="clear" w:color="auto" w:fill="FFFFFF" w:themeFill="background1"/>
            <w:vAlign w:val="center"/>
          </w:tcPr>
          <w:p w14:paraId="1C57467E"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5B37FFE0"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0E6025BF"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1994BD0C"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7A2532B9"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0017DA59"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2E20349E"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248F524A"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2954AD89" w14:textId="77777777" w:rsidR="00F318A9" w:rsidRPr="00E123C3" w:rsidRDefault="00F318A9" w:rsidP="00F318A9">
            <w:pPr>
              <w:jc w:val="center"/>
              <w:rPr>
                <w:rFonts w:ascii="Arial" w:hAnsi="Arial"/>
                <w:sz w:val="14"/>
              </w:rPr>
            </w:pPr>
          </w:p>
        </w:tc>
        <w:tc>
          <w:tcPr>
            <w:tcW w:w="109" w:type="pct"/>
            <w:shd w:val="clear" w:color="auto" w:fill="C5E0B3" w:themeFill="accent6" w:themeFillTint="66"/>
            <w:vAlign w:val="center"/>
          </w:tcPr>
          <w:p w14:paraId="309233A4"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73D3F05E"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24B94587"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shd w:val="clear" w:color="auto" w:fill="FFFFFF" w:themeFill="background1"/>
            <w:vAlign w:val="center"/>
          </w:tcPr>
          <w:p w14:paraId="72AD1DC9"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765CAEBD" w14:textId="77777777" w:rsidR="00F318A9" w:rsidRPr="00E123C3" w:rsidRDefault="00F318A9" w:rsidP="00F318A9">
            <w:pPr>
              <w:jc w:val="center"/>
              <w:rPr>
                <w:rFonts w:ascii="Arial" w:hAnsi="Arial"/>
                <w:sz w:val="14"/>
              </w:rPr>
            </w:pPr>
          </w:p>
        </w:tc>
        <w:tc>
          <w:tcPr>
            <w:tcW w:w="120" w:type="pct"/>
            <w:shd w:val="clear" w:color="auto" w:fill="FFFFFF" w:themeFill="background1"/>
            <w:vAlign w:val="center"/>
          </w:tcPr>
          <w:p w14:paraId="5CA87947" w14:textId="77777777" w:rsidR="00F318A9" w:rsidRPr="00E123C3" w:rsidRDefault="00F318A9" w:rsidP="00F318A9">
            <w:pPr>
              <w:jc w:val="center"/>
              <w:rPr>
                <w:rFonts w:ascii="Arial" w:hAnsi="Arial"/>
                <w:sz w:val="14"/>
              </w:rPr>
            </w:pPr>
          </w:p>
        </w:tc>
      </w:tr>
      <w:tr w:rsidR="00F318A9" w:rsidRPr="00E123C3" w14:paraId="3ACE82B1" w14:textId="77777777" w:rsidTr="00F318A9">
        <w:tblPrEx>
          <w:jc w:val="left"/>
        </w:tblPrEx>
        <w:trPr>
          <w:trHeight w:val="184"/>
        </w:trPr>
        <w:tc>
          <w:tcPr>
            <w:tcW w:w="408" w:type="pct"/>
            <w:vMerge w:val="restart"/>
          </w:tcPr>
          <w:p w14:paraId="57E30201" w14:textId="77777777" w:rsidR="00F318A9" w:rsidRPr="00E123C3" w:rsidRDefault="00F318A9" w:rsidP="00F318A9">
            <w:pPr>
              <w:rPr>
                <w:rFonts w:ascii="Arial" w:hAnsi="Arial"/>
                <w:sz w:val="14"/>
              </w:rPr>
            </w:pPr>
          </w:p>
        </w:tc>
        <w:tc>
          <w:tcPr>
            <w:tcW w:w="408" w:type="pct"/>
            <w:vMerge w:val="restart"/>
          </w:tcPr>
          <w:p w14:paraId="3AD0CFA2" w14:textId="77777777" w:rsidR="00F318A9" w:rsidRPr="00E123C3" w:rsidRDefault="00F318A9" w:rsidP="00F318A9">
            <w:pPr>
              <w:rPr>
                <w:rFonts w:ascii="Arial" w:hAnsi="Arial"/>
                <w:sz w:val="14"/>
              </w:rPr>
            </w:pPr>
            <w:r w:rsidRPr="00E123C3">
              <w:rPr>
                <w:rFonts w:ascii="Arial" w:hAnsi="Arial"/>
                <w:sz w:val="14"/>
              </w:rPr>
              <w:t>Sub Outcome 5:</w:t>
            </w:r>
          </w:p>
          <w:p w14:paraId="77BA4992" w14:textId="77777777" w:rsidR="00F318A9" w:rsidRPr="00E123C3" w:rsidRDefault="00F318A9" w:rsidP="00F318A9">
            <w:pPr>
              <w:rPr>
                <w:rFonts w:ascii="Arial" w:hAnsi="Arial"/>
                <w:sz w:val="14"/>
              </w:rPr>
            </w:pPr>
            <w:r w:rsidRPr="00E123C3">
              <w:rPr>
                <w:rFonts w:ascii="Arial" w:hAnsi="Arial"/>
                <w:sz w:val="14"/>
              </w:rPr>
              <w:t>Climate finance strategy defines the potential use of a combination</w:t>
            </w:r>
          </w:p>
          <w:p w14:paraId="40A5706F" w14:textId="77777777" w:rsidR="00F318A9" w:rsidRPr="00E123C3" w:rsidRDefault="00F318A9" w:rsidP="00F318A9">
            <w:pPr>
              <w:rPr>
                <w:rFonts w:ascii="Arial" w:hAnsi="Arial"/>
                <w:sz w:val="14"/>
              </w:rPr>
            </w:pPr>
            <w:r w:rsidRPr="00E123C3">
              <w:rPr>
                <w:rFonts w:ascii="Arial" w:hAnsi="Arial"/>
                <w:sz w:val="14"/>
              </w:rPr>
              <w:t>of funding options from public resources; tariffs, and international cooperation; financing instruments such as loans, bonds, equity and</w:t>
            </w:r>
          </w:p>
          <w:p w14:paraId="25D718AF" w14:textId="77777777" w:rsidR="00F318A9" w:rsidRPr="00E123C3" w:rsidRDefault="00F318A9" w:rsidP="00F318A9">
            <w:pPr>
              <w:rPr>
                <w:rFonts w:ascii="Arial" w:hAnsi="Arial"/>
                <w:sz w:val="14"/>
              </w:rPr>
            </w:pPr>
            <w:r w:rsidRPr="00E123C3">
              <w:rPr>
                <w:rFonts w:ascii="Arial" w:hAnsi="Arial"/>
                <w:sz w:val="14"/>
              </w:rPr>
              <w:t>others; private investment; and or the blending of financial instruments</w:t>
            </w:r>
          </w:p>
        </w:tc>
        <w:tc>
          <w:tcPr>
            <w:tcW w:w="459" w:type="pct"/>
            <w:vMerge w:val="restart"/>
          </w:tcPr>
          <w:p w14:paraId="47DABA8E" w14:textId="77777777" w:rsidR="00F318A9" w:rsidRPr="00E123C3" w:rsidRDefault="00F318A9" w:rsidP="00F318A9">
            <w:pPr>
              <w:rPr>
                <w:rFonts w:ascii="Arial" w:hAnsi="Arial"/>
                <w:sz w:val="14"/>
              </w:rPr>
            </w:pPr>
            <w:r w:rsidRPr="00E123C3">
              <w:rPr>
                <w:rFonts w:ascii="Arial" w:hAnsi="Arial"/>
                <w:sz w:val="14"/>
              </w:rPr>
              <w:t>0</w:t>
            </w:r>
          </w:p>
          <w:p w14:paraId="2D33B048" w14:textId="77777777" w:rsidR="00F318A9" w:rsidRPr="00E123C3" w:rsidRDefault="00F318A9" w:rsidP="00F318A9">
            <w:pPr>
              <w:rPr>
                <w:rFonts w:ascii="Arial" w:hAnsi="Arial"/>
                <w:sz w:val="14"/>
              </w:rPr>
            </w:pPr>
            <w:r w:rsidRPr="00E123C3">
              <w:rPr>
                <w:rFonts w:ascii="Arial" w:hAnsi="Arial"/>
                <w:sz w:val="14"/>
              </w:rPr>
              <w:t>No climate finance strategy exists.</w:t>
            </w:r>
          </w:p>
        </w:tc>
        <w:tc>
          <w:tcPr>
            <w:tcW w:w="557" w:type="pct"/>
            <w:vMerge w:val="restart"/>
          </w:tcPr>
          <w:p w14:paraId="32FE73B4" w14:textId="77777777" w:rsidR="00F318A9" w:rsidRPr="00E123C3" w:rsidRDefault="00F318A9" w:rsidP="00F318A9">
            <w:pPr>
              <w:rPr>
                <w:rFonts w:ascii="Arial" w:hAnsi="Arial"/>
                <w:sz w:val="14"/>
              </w:rPr>
            </w:pPr>
            <w:r w:rsidRPr="00E123C3">
              <w:rPr>
                <w:rFonts w:ascii="Arial" w:hAnsi="Arial"/>
                <w:sz w:val="14"/>
              </w:rPr>
              <w:t>2</w:t>
            </w:r>
          </w:p>
          <w:p w14:paraId="66A9870C" w14:textId="77777777" w:rsidR="00F318A9" w:rsidRPr="00E123C3" w:rsidRDefault="00F318A9" w:rsidP="00F318A9">
            <w:pPr>
              <w:autoSpaceDE w:val="0"/>
              <w:autoSpaceDN w:val="0"/>
              <w:adjustRightInd w:val="0"/>
              <w:rPr>
                <w:rFonts w:ascii="Arial" w:hAnsi="Arial"/>
                <w:sz w:val="14"/>
              </w:rPr>
            </w:pPr>
            <w:r w:rsidRPr="00E123C3">
              <w:rPr>
                <w:rFonts w:ascii="Arial" w:hAnsi="Arial"/>
                <w:sz w:val="14"/>
              </w:rPr>
              <w:t>A climate finance strategy has been developed and is being used to define</w:t>
            </w:r>
          </w:p>
          <w:p w14:paraId="10AEBC37" w14:textId="77777777" w:rsidR="00F318A9" w:rsidRPr="00E123C3" w:rsidRDefault="00F318A9" w:rsidP="00F318A9">
            <w:pPr>
              <w:autoSpaceDE w:val="0"/>
              <w:autoSpaceDN w:val="0"/>
              <w:adjustRightInd w:val="0"/>
              <w:rPr>
                <w:rFonts w:ascii="Arial" w:hAnsi="Arial"/>
                <w:sz w:val="14"/>
              </w:rPr>
            </w:pPr>
            <w:r w:rsidRPr="00E123C3">
              <w:rPr>
                <w:rFonts w:ascii="Arial" w:hAnsi="Arial"/>
                <w:sz w:val="14"/>
              </w:rPr>
              <w:t xml:space="preserve">efforts to access a range of financing instruments for </w:t>
            </w:r>
            <w:proofErr w:type="spellStart"/>
            <w:r w:rsidRPr="00E123C3">
              <w:rPr>
                <w:rFonts w:ascii="Arial" w:hAnsi="Arial"/>
                <w:sz w:val="14"/>
              </w:rPr>
              <w:t>prioritised</w:t>
            </w:r>
            <w:proofErr w:type="spellEnd"/>
            <w:r w:rsidRPr="00E123C3">
              <w:rPr>
                <w:rFonts w:ascii="Arial" w:hAnsi="Arial"/>
                <w:sz w:val="14"/>
              </w:rPr>
              <w:t xml:space="preserve"> climate</w:t>
            </w:r>
          </w:p>
          <w:p w14:paraId="1A775031" w14:textId="77777777" w:rsidR="00F318A9" w:rsidRPr="00E123C3" w:rsidRDefault="00F318A9" w:rsidP="00F318A9">
            <w:pPr>
              <w:rPr>
                <w:rFonts w:ascii="Arial" w:hAnsi="Arial"/>
                <w:sz w:val="14"/>
              </w:rPr>
            </w:pPr>
            <w:r w:rsidRPr="00E123C3">
              <w:rPr>
                <w:rFonts w:ascii="Arial" w:hAnsi="Arial"/>
                <w:sz w:val="14"/>
              </w:rPr>
              <w:t>action.</w:t>
            </w:r>
          </w:p>
        </w:tc>
        <w:tc>
          <w:tcPr>
            <w:tcW w:w="1090" w:type="pct"/>
          </w:tcPr>
          <w:p w14:paraId="6E4C22D7" w14:textId="77777777" w:rsidR="00F318A9" w:rsidRPr="00D554F6" w:rsidRDefault="00F318A9" w:rsidP="00F318A9">
            <w:pPr>
              <w:rPr>
                <w:rFonts w:ascii="Arial" w:hAnsi="Arial"/>
                <w:b/>
                <w:sz w:val="14"/>
              </w:rPr>
            </w:pPr>
            <w:r w:rsidRPr="00D554F6">
              <w:rPr>
                <w:rFonts w:ascii="Arial" w:hAnsi="Arial"/>
                <w:b/>
                <w:sz w:val="14"/>
              </w:rPr>
              <w:t>Output 5.1: Financing mechanisms and options identified and developed for the promotion of higher efficiency refrigerators</w:t>
            </w:r>
          </w:p>
          <w:p w14:paraId="79E19766" w14:textId="77777777" w:rsidR="00F318A9" w:rsidRDefault="00F318A9" w:rsidP="00F318A9">
            <w:pPr>
              <w:rPr>
                <w:rFonts w:ascii="Arial" w:hAnsi="Arial"/>
                <w:sz w:val="14"/>
              </w:rPr>
            </w:pPr>
          </w:p>
          <w:p w14:paraId="5E7A29A6" w14:textId="77777777" w:rsidR="00F318A9" w:rsidRPr="00E123C3" w:rsidRDefault="00F318A9" w:rsidP="00F318A9">
            <w:pPr>
              <w:rPr>
                <w:rFonts w:ascii="Arial" w:hAnsi="Arial"/>
                <w:sz w:val="14"/>
              </w:rPr>
            </w:pPr>
            <w:r w:rsidRPr="00E123C3">
              <w:rPr>
                <w:rFonts w:ascii="Arial" w:hAnsi="Arial"/>
                <w:sz w:val="14"/>
              </w:rPr>
              <w:t xml:space="preserve">Activity 5.1.1: review international experience, analyze national conditions and prepare recommendations in terms of finance mechanisms, including fiscal incentives, utility take-back options, </w:t>
            </w:r>
            <w:r w:rsidRPr="00E123C3">
              <w:rPr>
                <w:rFonts w:ascii="Arial" w:hAnsi="Arial" w:cs="Arial"/>
                <w:sz w:val="14"/>
                <w:szCs w:val="16"/>
              </w:rPr>
              <w:t>and utility</w:t>
            </w:r>
            <w:r w:rsidRPr="00E123C3">
              <w:rPr>
                <w:rFonts w:ascii="Arial" w:hAnsi="Arial"/>
                <w:sz w:val="14"/>
              </w:rPr>
              <w:t xml:space="preserve"> financing schemes for refrigerators. This review will be conducted by the policy and finance experts.</w:t>
            </w:r>
          </w:p>
          <w:p w14:paraId="0F9CC06A" w14:textId="77777777" w:rsidR="00F318A9" w:rsidRPr="00E123C3" w:rsidRDefault="00F318A9" w:rsidP="00F318A9">
            <w:pPr>
              <w:rPr>
                <w:rFonts w:ascii="Arial" w:hAnsi="Arial"/>
                <w:sz w:val="14"/>
              </w:rPr>
            </w:pPr>
          </w:p>
          <w:p w14:paraId="0B8E66B2" w14:textId="77777777" w:rsidR="00F318A9" w:rsidRPr="00E123C3" w:rsidRDefault="00F318A9" w:rsidP="00F318A9">
            <w:pPr>
              <w:rPr>
                <w:rFonts w:ascii="Arial" w:hAnsi="Arial"/>
                <w:sz w:val="14"/>
              </w:rPr>
            </w:pPr>
            <w:r w:rsidRPr="00E123C3">
              <w:rPr>
                <w:rFonts w:ascii="Arial" w:hAnsi="Arial"/>
                <w:sz w:val="14"/>
              </w:rPr>
              <w:t>Deliverable 5.1.1: report on finance mechanisms</w:t>
            </w:r>
          </w:p>
        </w:tc>
        <w:tc>
          <w:tcPr>
            <w:tcW w:w="97" w:type="pct"/>
            <w:vAlign w:val="center"/>
          </w:tcPr>
          <w:p w14:paraId="71067960" w14:textId="77777777" w:rsidR="00F318A9" w:rsidRPr="00E123C3" w:rsidRDefault="00F318A9" w:rsidP="00F318A9">
            <w:pPr>
              <w:jc w:val="center"/>
              <w:rPr>
                <w:rFonts w:ascii="Arial" w:hAnsi="Arial"/>
                <w:sz w:val="14"/>
              </w:rPr>
            </w:pPr>
          </w:p>
        </w:tc>
        <w:tc>
          <w:tcPr>
            <w:tcW w:w="97" w:type="pct"/>
            <w:vAlign w:val="center"/>
          </w:tcPr>
          <w:p w14:paraId="206B595A" w14:textId="77777777" w:rsidR="00F318A9" w:rsidRPr="00E123C3" w:rsidRDefault="00F318A9" w:rsidP="00F318A9">
            <w:pPr>
              <w:jc w:val="center"/>
              <w:rPr>
                <w:rFonts w:ascii="Arial" w:hAnsi="Arial"/>
                <w:sz w:val="14"/>
              </w:rPr>
            </w:pPr>
          </w:p>
        </w:tc>
        <w:tc>
          <w:tcPr>
            <w:tcW w:w="120" w:type="pct"/>
            <w:vAlign w:val="center"/>
          </w:tcPr>
          <w:p w14:paraId="514FA6BD" w14:textId="77777777" w:rsidR="00F318A9" w:rsidRPr="00E123C3" w:rsidRDefault="00F318A9" w:rsidP="00F318A9">
            <w:pPr>
              <w:jc w:val="center"/>
              <w:rPr>
                <w:rFonts w:ascii="Arial" w:hAnsi="Arial"/>
                <w:sz w:val="14"/>
              </w:rPr>
            </w:pPr>
          </w:p>
        </w:tc>
        <w:tc>
          <w:tcPr>
            <w:tcW w:w="97" w:type="pct"/>
            <w:shd w:val="clear" w:color="auto" w:fill="C5E0B3" w:themeFill="accent6" w:themeFillTint="66"/>
            <w:vAlign w:val="center"/>
          </w:tcPr>
          <w:p w14:paraId="77BC80B7"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15A2E771"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25959060"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75D080CC"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vAlign w:val="center"/>
          </w:tcPr>
          <w:p w14:paraId="5AEA0EB7" w14:textId="77777777" w:rsidR="00F318A9" w:rsidRPr="00E123C3" w:rsidRDefault="00F318A9" w:rsidP="00F318A9">
            <w:pPr>
              <w:jc w:val="center"/>
              <w:rPr>
                <w:rFonts w:ascii="Arial" w:hAnsi="Arial"/>
                <w:sz w:val="14"/>
              </w:rPr>
            </w:pPr>
          </w:p>
        </w:tc>
        <w:tc>
          <w:tcPr>
            <w:tcW w:w="120" w:type="pct"/>
            <w:vAlign w:val="center"/>
          </w:tcPr>
          <w:p w14:paraId="60435F04" w14:textId="77777777" w:rsidR="00F318A9" w:rsidRPr="00E123C3" w:rsidRDefault="00F318A9" w:rsidP="00F318A9">
            <w:pPr>
              <w:jc w:val="center"/>
              <w:rPr>
                <w:rFonts w:ascii="Arial" w:hAnsi="Arial"/>
                <w:sz w:val="14"/>
              </w:rPr>
            </w:pPr>
          </w:p>
        </w:tc>
        <w:tc>
          <w:tcPr>
            <w:tcW w:w="120" w:type="pct"/>
            <w:vAlign w:val="center"/>
          </w:tcPr>
          <w:p w14:paraId="13A102CF" w14:textId="77777777" w:rsidR="00F318A9" w:rsidRPr="00E123C3" w:rsidRDefault="00F318A9" w:rsidP="00F318A9">
            <w:pPr>
              <w:jc w:val="center"/>
              <w:rPr>
                <w:rFonts w:ascii="Arial" w:hAnsi="Arial"/>
                <w:sz w:val="14"/>
              </w:rPr>
            </w:pPr>
          </w:p>
        </w:tc>
        <w:tc>
          <w:tcPr>
            <w:tcW w:w="120" w:type="pct"/>
            <w:vAlign w:val="center"/>
          </w:tcPr>
          <w:p w14:paraId="22F57753" w14:textId="77777777" w:rsidR="00F318A9" w:rsidRPr="00E123C3" w:rsidRDefault="00F318A9" w:rsidP="00F318A9">
            <w:pPr>
              <w:jc w:val="center"/>
              <w:rPr>
                <w:rFonts w:ascii="Arial" w:hAnsi="Arial"/>
                <w:sz w:val="14"/>
              </w:rPr>
            </w:pPr>
          </w:p>
        </w:tc>
        <w:tc>
          <w:tcPr>
            <w:tcW w:w="120" w:type="pct"/>
            <w:vAlign w:val="center"/>
          </w:tcPr>
          <w:p w14:paraId="3DEF6080" w14:textId="77777777" w:rsidR="00F318A9" w:rsidRPr="00E123C3" w:rsidRDefault="00F318A9" w:rsidP="00F318A9">
            <w:pPr>
              <w:jc w:val="center"/>
              <w:rPr>
                <w:rFonts w:ascii="Arial" w:hAnsi="Arial"/>
                <w:sz w:val="14"/>
              </w:rPr>
            </w:pPr>
          </w:p>
        </w:tc>
        <w:tc>
          <w:tcPr>
            <w:tcW w:w="109" w:type="pct"/>
            <w:vAlign w:val="center"/>
          </w:tcPr>
          <w:p w14:paraId="2355F4EE" w14:textId="77777777" w:rsidR="00F318A9" w:rsidRPr="00E123C3" w:rsidRDefault="00F318A9" w:rsidP="00F318A9">
            <w:pPr>
              <w:jc w:val="center"/>
              <w:rPr>
                <w:rFonts w:ascii="Arial" w:hAnsi="Arial"/>
                <w:sz w:val="14"/>
              </w:rPr>
            </w:pPr>
          </w:p>
        </w:tc>
        <w:tc>
          <w:tcPr>
            <w:tcW w:w="120" w:type="pct"/>
            <w:vAlign w:val="center"/>
          </w:tcPr>
          <w:p w14:paraId="33A20D8D" w14:textId="77777777" w:rsidR="00F318A9" w:rsidRPr="00E123C3" w:rsidRDefault="00F318A9" w:rsidP="00F318A9">
            <w:pPr>
              <w:jc w:val="center"/>
              <w:rPr>
                <w:rFonts w:ascii="Arial" w:hAnsi="Arial"/>
                <w:sz w:val="14"/>
              </w:rPr>
            </w:pPr>
          </w:p>
        </w:tc>
        <w:tc>
          <w:tcPr>
            <w:tcW w:w="120" w:type="pct"/>
            <w:vAlign w:val="center"/>
          </w:tcPr>
          <w:p w14:paraId="6AEEB1D0" w14:textId="77777777" w:rsidR="00F318A9" w:rsidRPr="00E123C3" w:rsidRDefault="00F318A9" w:rsidP="00F318A9">
            <w:pPr>
              <w:jc w:val="center"/>
              <w:rPr>
                <w:rFonts w:ascii="Arial" w:hAnsi="Arial"/>
                <w:sz w:val="14"/>
              </w:rPr>
            </w:pPr>
          </w:p>
        </w:tc>
        <w:tc>
          <w:tcPr>
            <w:tcW w:w="120" w:type="pct"/>
            <w:vAlign w:val="center"/>
          </w:tcPr>
          <w:p w14:paraId="62285F5D" w14:textId="77777777" w:rsidR="00F318A9" w:rsidRPr="00E123C3" w:rsidRDefault="00F318A9" w:rsidP="00F318A9">
            <w:pPr>
              <w:jc w:val="center"/>
              <w:rPr>
                <w:rFonts w:ascii="Arial" w:hAnsi="Arial"/>
                <w:sz w:val="14"/>
              </w:rPr>
            </w:pPr>
          </w:p>
        </w:tc>
        <w:tc>
          <w:tcPr>
            <w:tcW w:w="120" w:type="pct"/>
            <w:vAlign w:val="center"/>
          </w:tcPr>
          <w:p w14:paraId="41DF54B7" w14:textId="77777777" w:rsidR="00F318A9" w:rsidRPr="00E123C3" w:rsidRDefault="00F318A9" w:rsidP="00F318A9">
            <w:pPr>
              <w:jc w:val="center"/>
              <w:rPr>
                <w:rFonts w:ascii="Arial" w:hAnsi="Arial"/>
                <w:sz w:val="14"/>
              </w:rPr>
            </w:pPr>
          </w:p>
        </w:tc>
        <w:tc>
          <w:tcPr>
            <w:tcW w:w="120" w:type="pct"/>
            <w:vAlign w:val="center"/>
          </w:tcPr>
          <w:p w14:paraId="2FC1D9D5" w14:textId="77777777" w:rsidR="00F318A9" w:rsidRPr="00E123C3" w:rsidRDefault="00F318A9" w:rsidP="00F318A9">
            <w:pPr>
              <w:jc w:val="center"/>
              <w:rPr>
                <w:rFonts w:ascii="Arial" w:hAnsi="Arial"/>
                <w:sz w:val="14"/>
              </w:rPr>
            </w:pPr>
          </w:p>
        </w:tc>
      </w:tr>
      <w:tr w:rsidR="00F318A9" w:rsidRPr="00E123C3" w14:paraId="16D4DE32" w14:textId="77777777" w:rsidTr="00F318A9">
        <w:tblPrEx>
          <w:jc w:val="left"/>
        </w:tblPrEx>
        <w:trPr>
          <w:trHeight w:val="184"/>
        </w:trPr>
        <w:tc>
          <w:tcPr>
            <w:tcW w:w="408" w:type="pct"/>
            <w:vMerge/>
          </w:tcPr>
          <w:p w14:paraId="1F7890A0" w14:textId="77777777" w:rsidR="00F318A9" w:rsidRPr="00E123C3" w:rsidRDefault="00F318A9" w:rsidP="00F318A9">
            <w:pPr>
              <w:rPr>
                <w:rFonts w:ascii="Arial" w:hAnsi="Arial"/>
                <w:sz w:val="14"/>
              </w:rPr>
            </w:pPr>
          </w:p>
        </w:tc>
        <w:tc>
          <w:tcPr>
            <w:tcW w:w="408" w:type="pct"/>
            <w:vMerge/>
          </w:tcPr>
          <w:p w14:paraId="6F51192C" w14:textId="77777777" w:rsidR="00F318A9" w:rsidRPr="00E123C3" w:rsidRDefault="00F318A9" w:rsidP="00F318A9">
            <w:pPr>
              <w:rPr>
                <w:rFonts w:ascii="Arial" w:hAnsi="Arial"/>
                <w:sz w:val="14"/>
              </w:rPr>
            </w:pPr>
          </w:p>
        </w:tc>
        <w:tc>
          <w:tcPr>
            <w:tcW w:w="459" w:type="pct"/>
            <w:vMerge/>
          </w:tcPr>
          <w:p w14:paraId="153F9F07" w14:textId="77777777" w:rsidR="00F318A9" w:rsidRPr="00E123C3" w:rsidRDefault="00F318A9" w:rsidP="00F318A9">
            <w:pPr>
              <w:rPr>
                <w:rFonts w:ascii="Arial" w:hAnsi="Arial"/>
                <w:sz w:val="14"/>
              </w:rPr>
            </w:pPr>
          </w:p>
        </w:tc>
        <w:tc>
          <w:tcPr>
            <w:tcW w:w="557" w:type="pct"/>
            <w:vMerge/>
          </w:tcPr>
          <w:p w14:paraId="44C494B4" w14:textId="77777777" w:rsidR="00F318A9" w:rsidRPr="00E123C3" w:rsidRDefault="00F318A9" w:rsidP="00F318A9">
            <w:pPr>
              <w:rPr>
                <w:rFonts w:ascii="Arial" w:hAnsi="Arial"/>
                <w:sz w:val="14"/>
              </w:rPr>
            </w:pPr>
          </w:p>
        </w:tc>
        <w:tc>
          <w:tcPr>
            <w:tcW w:w="1090" w:type="pct"/>
          </w:tcPr>
          <w:p w14:paraId="448989F8" w14:textId="77777777" w:rsidR="00F318A9" w:rsidRPr="00E123C3" w:rsidRDefault="00F318A9" w:rsidP="00F318A9">
            <w:pPr>
              <w:rPr>
                <w:rFonts w:ascii="Arial" w:hAnsi="Arial"/>
                <w:sz w:val="14"/>
              </w:rPr>
            </w:pPr>
            <w:r w:rsidRPr="00E123C3">
              <w:rPr>
                <w:rFonts w:ascii="Arial" w:hAnsi="Arial"/>
                <w:sz w:val="14"/>
              </w:rPr>
              <w:t>Activity 5.1.2: organize capacity building workshop on finance mechanisms and options for refrigerators. Based on the outcomes of the PWG meeting on finance mechanisms, a training workshop will be organized on the selected options. A capacity building needs analysis will be conducted and a training workshop organized to build the capacity of relevant stakeholders to equip them with the necessary skills and tools for the future design of finance mechanisms</w:t>
            </w:r>
          </w:p>
          <w:p w14:paraId="6B7EBAFE" w14:textId="77777777" w:rsidR="00F318A9" w:rsidRPr="00E123C3" w:rsidRDefault="00F318A9" w:rsidP="00F318A9">
            <w:pPr>
              <w:rPr>
                <w:rFonts w:ascii="Arial" w:hAnsi="Arial"/>
                <w:sz w:val="14"/>
              </w:rPr>
            </w:pPr>
          </w:p>
          <w:p w14:paraId="77D8A28C" w14:textId="77777777" w:rsidR="00F318A9" w:rsidRPr="00E123C3" w:rsidRDefault="00F318A9" w:rsidP="00F318A9">
            <w:pPr>
              <w:rPr>
                <w:rFonts w:ascii="Arial" w:hAnsi="Arial"/>
                <w:sz w:val="14"/>
              </w:rPr>
            </w:pPr>
            <w:r w:rsidRPr="00E123C3">
              <w:rPr>
                <w:rFonts w:ascii="Arial" w:hAnsi="Arial"/>
                <w:sz w:val="14"/>
              </w:rPr>
              <w:t>Deliverable 5.1.2: training workshop on finance mechanisms and options for refrigerators</w:t>
            </w:r>
          </w:p>
        </w:tc>
        <w:tc>
          <w:tcPr>
            <w:tcW w:w="97" w:type="pct"/>
            <w:vAlign w:val="center"/>
          </w:tcPr>
          <w:p w14:paraId="4CE0D3DD" w14:textId="77777777" w:rsidR="00F318A9" w:rsidRPr="00E123C3" w:rsidRDefault="00F318A9" w:rsidP="00F318A9">
            <w:pPr>
              <w:jc w:val="center"/>
              <w:rPr>
                <w:rFonts w:ascii="Arial" w:hAnsi="Arial"/>
                <w:sz w:val="14"/>
              </w:rPr>
            </w:pPr>
          </w:p>
        </w:tc>
        <w:tc>
          <w:tcPr>
            <w:tcW w:w="97" w:type="pct"/>
            <w:vAlign w:val="center"/>
          </w:tcPr>
          <w:p w14:paraId="682C9AA0" w14:textId="77777777" w:rsidR="00F318A9" w:rsidRPr="00E123C3" w:rsidRDefault="00F318A9" w:rsidP="00F318A9">
            <w:pPr>
              <w:jc w:val="center"/>
              <w:rPr>
                <w:rFonts w:ascii="Arial" w:hAnsi="Arial"/>
                <w:sz w:val="14"/>
              </w:rPr>
            </w:pPr>
          </w:p>
        </w:tc>
        <w:tc>
          <w:tcPr>
            <w:tcW w:w="120" w:type="pct"/>
            <w:vAlign w:val="center"/>
          </w:tcPr>
          <w:p w14:paraId="1234E80F" w14:textId="77777777" w:rsidR="00F318A9" w:rsidRPr="00E123C3" w:rsidRDefault="00F318A9" w:rsidP="00F318A9">
            <w:pPr>
              <w:jc w:val="center"/>
              <w:rPr>
                <w:rFonts w:ascii="Arial" w:hAnsi="Arial"/>
                <w:sz w:val="14"/>
              </w:rPr>
            </w:pPr>
          </w:p>
        </w:tc>
        <w:tc>
          <w:tcPr>
            <w:tcW w:w="97" w:type="pct"/>
            <w:vAlign w:val="center"/>
          </w:tcPr>
          <w:p w14:paraId="12B74B90" w14:textId="77777777" w:rsidR="00F318A9" w:rsidRPr="00E123C3" w:rsidRDefault="00F318A9" w:rsidP="00F318A9">
            <w:pPr>
              <w:jc w:val="center"/>
              <w:rPr>
                <w:rFonts w:ascii="Arial" w:hAnsi="Arial"/>
                <w:sz w:val="14"/>
              </w:rPr>
            </w:pPr>
          </w:p>
        </w:tc>
        <w:tc>
          <w:tcPr>
            <w:tcW w:w="120" w:type="pct"/>
            <w:vAlign w:val="center"/>
          </w:tcPr>
          <w:p w14:paraId="1CDA8B10" w14:textId="77777777" w:rsidR="00F318A9" w:rsidRPr="00E123C3" w:rsidRDefault="00F318A9" w:rsidP="00F318A9">
            <w:pPr>
              <w:jc w:val="center"/>
              <w:rPr>
                <w:rFonts w:ascii="Arial" w:hAnsi="Arial"/>
                <w:sz w:val="14"/>
              </w:rPr>
            </w:pPr>
          </w:p>
        </w:tc>
        <w:tc>
          <w:tcPr>
            <w:tcW w:w="120" w:type="pct"/>
            <w:vAlign w:val="center"/>
          </w:tcPr>
          <w:p w14:paraId="07159DB0" w14:textId="77777777" w:rsidR="00F318A9" w:rsidRPr="00E123C3" w:rsidRDefault="00F318A9" w:rsidP="00F318A9">
            <w:pPr>
              <w:jc w:val="center"/>
              <w:rPr>
                <w:rFonts w:ascii="Arial" w:hAnsi="Arial"/>
                <w:sz w:val="14"/>
              </w:rPr>
            </w:pPr>
          </w:p>
        </w:tc>
        <w:tc>
          <w:tcPr>
            <w:tcW w:w="120" w:type="pct"/>
            <w:vAlign w:val="center"/>
          </w:tcPr>
          <w:p w14:paraId="634F173E"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6C3B891A"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430793A5"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14B7FBAF"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vAlign w:val="center"/>
          </w:tcPr>
          <w:p w14:paraId="713F1AC6" w14:textId="77777777" w:rsidR="00F318A9" w:rsidRPr="00E123C3" w:rsidRDefault="00F318A9" w:rsidP="00F318A9">
            <w:pPr>
              <w:jc w:val="center"/>
              <w:rPr>
                <w:rFonts w:ascii="Arial" w:hAnsi="Arial"/>
                <w:sz w:val="14"/>
              </w:rPr>
            </w:pPr>
          </w:p>
        </w:tc>
        <w:tc>
          <w:tcPr>
            <w:tcW w:w="120" w:type="pct"/>
            <w:vAlign w:val="center"/>
          </w:tcPr>
          <w:p w14:paraId="1CF31298" w14:textId="77777777" w:rsidR="00F318A9" w:rsidRPr="00E123C3" w:rsidRDefault="00F318A9" w:rsidP="00F318A9">
            <w:pPr>
              <w:jc w:val="center"/>
              <w:rPr>
                <w:rFonts w:ascii="Arial" w:hAnsi="Arial"/>
                <w:sz w:val="14"/>
              </w:rPr>
            </w:pPr>
          </w:p>
        </w:tc>
        <w:tc>
          <w:tcPr>
            <w:tcW w:w="109" w:type="pct"/>
            <w:vAlign w:val="center"/>
          </w:tcPr>
          <w:p w14:paraId="341D2404" w14:textId="77777777" w:rsidR="00F318A9" w:rsidRPr="00E123C3" w:rsidRDefault="00F318A9" w:rsidP="00F318A9">
            <w:pPr>
              <w:jc w:val="center"/>
              <w:rPr>
                <w:rFonts w:ascii="Arial" w:hAnsi="Arial"/>
                <w:sz w:val="14"/>
              </w:rPr>
            </w:pPr>
          </w:p>
        </w:tc>
        <w:tc>
          <w:tcPr>
            <w:tcW w:w="120" w:type="pct"/>
            <w:vAlign w:val="center"/>
          </w:tcPr>
          <w:p w14:paraId="5CFB7C47" w14:textId="77777777" w:rsidR="00F318A9" w:rsidRPr="00E123C3" w:rsidRDefault="00F318A9" w:rsidP="00F318A9">
            <w:pPr>
              <w:jc w:val="center"/>
              <w:rPr>
                <w:rFonts w:ascii="Arial" w:hAnsi="Arial"/>
                <w:sz w:val="14"/>
              </w:rPr>
            </w:pPr>
          </w:p>
        </w:tc>
        <w:tc>
          <w:tcPr>
            <w:tcW w:w="120" w:type="pct"/>
            <w:vAlign w:val="center"/>
          </w:tcPr>
          <w:p w14:paraId="36DB8CEE" w14:textId="77777777" w:rsidR="00F318A9" w:rsidRPr="00E123C3" w:rsidRDefault="00F318A9" w:rsidP="00F318A9">
            <w:pPr>
              <w:jc w:val="center"/>
              <w:rPr>
                <w:rFonts w:ascii="Arial" w:hAnsi="Arial"/>
                <w:sz w:val="14"/>
              </w:rPr>
            </w:pPr>
          </w:p>
        </w:tc>
        <w:tc>
          <w:tcPr>
            <w:tcW w:w="120" w:type="pct"/>
            <w:vAlign w:val="center"/>
          </w:tcPr>
          <w:p w14:paraId="1FBA57D6" w14:textId="77777777" w:rsidR="00F318A9" w:rsidRPr="00E123C3" w:rsidRDefault="00F318A9" w:rsidP="00F318A9">
            <w:pPr>
              <w:jc w:val="center"/>
              <w:rPr>
                <w:rFonts w:ascii="Arial" w:hAnsi="Arial"/>
                <w:sz w:val="14"/>
              </w:rPr>
            </w:pPr>
          </w:p>
        </w:tc>
        <w:tc>
          <w:tcPr>
            <w:tcW w:w="120" w:type="pct"/>
            <w:vAlign w:val="center"/>
          </w:tcPr>
          <w:p w14:paraId="4AC86A42" w14:textId="77777777" w:rsidR="00F318A9" w:rsidRPr="00E123C3" w:rsidRDefault="00F318A9" w:rsidP="00F318A9">
            <w:pPr>
              <w:jc w:val="center"/>
              <w:rPr>
                <w:rFonts w:ascii="Arial" w:hAnsi="Arial"/>
                <w:sz w:val="14"/>
              </w:rPr>
            </w:pPr>
          </w:p>
        </w:tc>
        <w:tc>
          <w:tcPr>
            <w:tcW w:w="120" w:type="pct"/>
            <w:vAlign w:val="center"/>
          </w:tcPr>
          <w:p w14:paraId="05A144B1" w14:textId="77777777" w:rsidR="00F318A9" w:rsidRPr="00E123C3" w:rsidRDefault="00F318A9" w:rsidP="00F318A9">
            <w:pPr>
              <w:jc w:val="center"/>
              <w:rPr>
                <w:rFonts w:ascii="Arial" w:hAnsi="Arial"/>
                <w:sz w:val="14"/>
              </w:rPr>
            </w:pPr>
          </w:p>
        </w:tc>
      </w:tr>
      <w:tr w:rsidR="00F318A9" w:rsidRPr="00E123C3" w14:paraId="4E4CFDEC" w14:textId="77777777" w:rsidTr="00F318A9">
        <w:tblPrEx>
          <w:jc w:val="left"/>
        </w:tblPrEx>
        <w:trPr>
          <w:trHeight w:val="184"/>
        </w:trPr>
        <w:tc>
          <w:tcPr>
            <w:tcW w:w="408" w:type="pct"/>
            <w:vMerge/>
          </w:tcPr>
          <w:p w14:paraId="7F5CD7DC" w14:textId="77777777" w:rsidR="00F318A9" w:rsidRPr="00E123C3" w:rsidRDefault="00F318A9" w:rsidP="00F318A9">
            <w:pPr>
              <w:rPr>
                <w:rFonts w:ascii="Arial" w:hAnsi="Arial"/>
                <w:sz w:val="14"/>
              </w:rPr>
            </w:pPr>
          </w:p>
        </w:tc>
        <w:tc>
          <w:tcPr>
            <w:tcW w:w="408" w:type="pct"/>
            <w:vMerge/>
          </w:tcPr>
          <w:p w14:paraId="27D21FDD" w14:textId="77777777" w:rsidR="00F318A9" w:rsidRPr="00E123C3" w:rsidRDefault="00F318A9" w:rsidP="00F318A9">
            <w:pPr>
              <w:rPr>
                <w:rFonts w:ascii="Arial" w:hAnsi="Arial"/>
                <w:sz w:val="14"/>
              </w:rPr>
            </w:pPr>
          </w:p>
        </w:tc>
        <w:tc>
          <w:tcPr>
            <w:tcW w:w="459" w:type="pct"/>
            <w:vMerge/>
          </w:tcPr>
          <w:p w14:paraId="431D2E63" w14:textId="77777777" w:rsidR="00F318A9" w:rsidRPr="00E123C3" w:rsidRDefault="00F318A9" w:rsidP="00F318A9">
            <w:pPr>
              <w:rPr>
                <w:rFonts w:ascii="Arial" w:hAnsi="Arial"/>
                <w:sz w:val="14"/>
              </w:rPr>
            </w:pPr>
          </w:p>
        </w:tc>
        <w:tc>
          <w:tcPr>
            <w:tcW w:w="557" w:type="pct"/>
            <w:vMerge/>
          </w:tcPr>
          <w:p w14:paraId="51896248" w14:textId="77777777" w:rsidR="00F318A9" w:rsidRPr="00E123C3" w:rsidRDefault="00F318A9" w:rsidP="00F318A9">
            <w:pPr>
              <w:rPr>
                <w:rFonts w:ascii="Arial" w:hAnsi="Arial"/>
                <w:sz w:val="14"/>
              </w:rPr>
            </w:pPr>
          </w:p>
        </w:tc>
        <w:tc>
          <w:tcPr>
            <w:tcW w:w="1090" w:type="pct"/>
          </w:tcPr>
          <w:p w14:paraId="1E8C4797" w14:textId="77777777" w:rsidR="00F318A9" w:rsidRPr="00E123C3" w:rsidRDefault="00F318A9" w:rsidP="00F318A9">
            <w:pPr>
              <w:rPr>
                <w:rFonts w:ascii="Arial" w:hAnsi="Arial"/>
                <w:sz w:val="14"/>
              </w:rPr>
            </w:pPr>
            <w:r w:rsidRPr="00E123C3">
              <w:rPr>
                <w:rFonts w:ascii="Arial" w:hAnsi="Arial"/>
                <w:sz w:val="14"/>
              </w:rPr>
              <w:t>Activity 5.1.3: preparation of recommendations for finance mechanisms and options for refrigerators. These recommendations will be based on the outcomes of activities 5.1.1 and 5.1.2 and prepared by policy and finance expert. These recommendations will include detailed implementation plans and be forwarded to the relevant authorities (</w:t>
            </w:r>
            <w:r w:rsidRPr="00E123C3">
              <w:rPr>
                <w:rFonts w:ascii="Arial" w:hAnsi="Arial" w:cs="Arial"/>
                <w:sz w:val="14"/>
                <w:szCs w:val="16"/>
              </w:rPr>
              <w:t>M</w:t>
            </w:r>
            <w:r w:rsidRPr="00E123C3">
              <w:rPr>
                <w:rFonts w:ascii="Arial" w:hAnsi="Arial"/>
                <w:sz w:val="14"/>
              </w:rPr>
              <w:t xml:space="preserve">inistry of </w:t>
            </w:r>
            <w:r w:rsidRPr="00E123C3">
              <w:rPr>
                <w:rFonts w:ascii="Arial" w:hAnsi="Arial" w:cs="Arial"/>
                <w:sz w:val="14"/>
                <w:szCs w:val="16"/>
              </w:rPr>
              <w:t>Energy, M</w:t>
            </w:r>
            <w:r w:rsidRPr="00E123C3">
              <w:rPr>
                <w:rFonts w:ascii="Arial" w:hAnsi="Arial"/>
                <w:sz w:val="14"/>
              </w:rPr>
              <w:t xml:space="preserve">inistry of </w:t>
            </w:r>
            <w:r w:rsidRPr="00E123C3">
              <w:rPr>
                <w:rFonts w:ascii="Arial" w:hAnsi="Arial" w:cs="Arial"/>
                <w:sz w:val="14"/>
                <w:szCs w:val="16"/>
              </w:rPr>
              <w:t>F</w:t>
            </w:r>
            <w:r w:rsidRPr="00E123C3">
              <w:rPr>
                <w:rFonts w:ascii="Arial" w:hAnsi="Arial"/>
                <w:sz w:val="14"/>
              </w:rPr>
              <w:t>inance, etc.).</w:t>
            </w:r>
          </w:p>
          <w:p w14:paraId="06A320C2" w14:textId="77777777" w:rsidR="00F318A9" w:rsidRPr="00E123C3" w:rsidRDefault="00F318A9" w:rsidP="00F318A9">
            <w:pPr>
              <w:rPr>
                <w:rFonts w:ascii="Arial" w:hAnsi="Arial"/>
                <w:sz w:val="14"/>
              </w:rPr>
            </w:pPr>
          </w:p>
          <w:p w14:paraId="3B2C6F18" w14:textId="77777777" w:rsidR="00F318A9" w:rsidRPr="00E123C3" w:rsidRDefault="00F318A9" w:rsidP="00F318A9">
            <w:pPr>
              <w:rPr>
                <w:rFonts w:ascii="Arial" w:hAnsi="Arial"/>
                <w:sz w:val="14"/>
              </w:rPr>
            </w:pPr>
            <w:r w:rsidRPr="00E123C3">
              <w:rPr>
                <w:rFonts w:ascii="Arial" w:hAnsi="Arial"/>
                <w:sz w:val="14"/>
              </w:rPr>
              <w:t>Deliverable 5.1.3: detailed implementation plan for selected finance mechanisms and options for refrigerators</w:t>
            </w:r>
          </w:p>
        </w:tc>
        <w:tc>
          <w:tcPr>
            <w:tcW w:w="97" w:type="pct"/>
            <w:vAlign w:val="center"/>
          </w:tcPr>
          <w:p w14:paraId="32AEC389" w14:textId="77777777" w:rsidR="00F318A9" w:rsidRPr="00E123C3" w:rsidRDefault="00F318A9" w:rsidP="00F318A9">
            <w:pPr>
              <w:jc w:val="center"/>
              <w:rPr>
                <w:rFonts w:ascii="Arial" w:hAnsi="Arial"/>
                <w:sz w:val="14"/>
              </w:rPr>
            </w:pPr>
          </w:p>
        </w:tc>
        <w:tc>
          <w:tcPr>
            <w:tcW w:w="97" w:type="pct"/>
            <w:vAlign w:val="center"/>
          </w:tcPr>
          <w:p w14:paraId="7590341C" w14:textId="77777777" w:rsidR="00F318A9" w:rsidRPr="00E123C3" w:rsidRDefault="00F318A9" w:rsidP="00F318A9">
            <w:pPr>
              <w:jc w:val="center"/>
              <w:rPr>
                <w:rFonts w:ascii="Arial" w:hAnsi="Arial"/>
                <w:sz w:val="14"/>
              </w:rPr>
            </w:pPr>
          </w:p>
        </w:tc>
        <w:tc>
          <w:tcPr>
            <w:tcW w:w="120" w:type="pct"/>
            <w:vAlign w:val="center"/>
          </w:tcPr>
          <w:p w14:paraId="382C121B" w14:textId="77777777" w:rsidR="00F318A9" w:rsidRPr="00E123C3" w:rsidRDefault="00F318A9" w:rsidP="00F318A9">
            <w:pPr>
              <w:jc w:val="center"/>
              <w:rPr>
                <w:rFonts w:ascii="Arial" w:hAnsi="Arial"/>
                <w:sz w:val="14"/>
              </w:rPr>
            </w:pPr>
          </w:p>
        </w:tc>
        <w:tc>
          <w:tcPr>
            <w:tcW w:w="97" w:type="pct"/>
            <w:vAlign w:val="center"/>
          </w:tcPr>
          <w:p w14:paraId="0DBF5A12" w14:textId="77777777" w:rsidR="00F318A9" w:rsidRPr="00E123C3" w:rsidRDefault="00F318A9" w:rsidP="00F318A9">
            <w:pPr>
              <w:jc w:val="center"/>
              <w:rPr>
                <w:rFonts w:ascii="Arial" w:hAnsi="Arial"/>
                <w:sz w:val="14"/>
              </w:rPr>
            </w:pPr>
          </w:p>
        </w:tc>
        <w:tc>
          <w:tcPr>
            <w:tcW w:w="120" w:type="pct"/>
            <w:vAlign w:val="center"/>
          </w:tcPr>
          <w:p w14:paraId="00EF2A3A" w14:textId="77777777" w:rsidR="00F318A9" w:rsidRPr="00E123C3" w:rsidRDefault="00F318A9" w:rsidP="00F318A9">
            <w:pPr>
              <w:jc w:val="center"/>
              <w:rPr>
                <w:rFonts w:ascii="Arial" w:hAnsi="Arial"/>
                <w:sz w:val="14"/>
              </w:rPr>
            </w:pPr>
          </w:p>
        </w:tc>
        <w:tc>
          <w:tcPr>
            <w:tcW w:w="120" w:type="pct"/>
            <w:vAlign w:val="center"/>
          </w:tcPr>
          <w:p w14:paraId="7233A3B2" w14:textId="77777777" w:rsidR="00F318A9" w:rsidRPr="00E123C3" w:rsidRDefault="00F318A9" w:rsidP="00F318A9">
            <w:pPr>
              <w:jc w:val="center"/>
              <w:rPr>
                <w:rFonts w:ascii="Arial" w:hAnsi="Arial"/>
                <w:sz w:val="14"/>
              </w:rPr>
            </w:pPr>
          </w:p>
        </w:tc>
        <w:tc>
          <w:tcPr>
            <w:tcW w:w="120" w:type="pct"/>
            <w:vAlign w:val="center"/>
          </w:tcPr>
          <w:p w14:paraId="421BDF72" w14:textId="77777777" w:rsidR="00F318A9" w:rsidRPr="00E123C3" w:rsidRDefault="00F318A9" w:rsidP="00F318A9">
            <w:pPr>
              <w:jc w:val="center"/>
              <w:rPr>
                <w:rFonts w:ascii="Arial" w:hAnsi="Arial"/>
                <w:sz w:val="14"/>
              </w:rPr>
            </w:pPr>
          </w:p>
        </w:tc>
        <w:tc>
          <w:tcPr>
            <w:tcW w:w="120" w:type="pct"/>
            <w:vAlign w:val="center"/>
          </w:tcPr>
          <w:p w14:paraId="4258007D" w14:textId="77777777" w:rsidR="00F318A9" w:rsidRPr="00E123C3" w:rsidRDefault="00F318A9" w:rsidP="00F318A9">
            <w:pPr>
              <w:jc w:val="center"/>
              <w:rPr>
                <w:rFonts w:ascii="Arial" w:hAnsi="Arial"/>
                <w:sz w:val="14"/>
              </w:rPr>
            </w:pPr>
          </w:p>
        </w:tc>
        <w:tc>
          <w:tcPr>
            <w:tcW w:w="120" w:type="pct"/>
            <w:vAlign w:val="center"/>
          </w:tcPr>
          <w:p w14:paraId="4517A0B7"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367D5623"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015E4566"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189914E0" w14:textId="77777777" w:rsidR="00F318A9" w:rsidRPr="00E123C3" w:rsidRDefault="00F318A9" w:rsidP="00F318A9">
            <w:pPr>
              <w:jc w:val="center"/>
              <w:rPr>
                <w:rFonts w:ascii="Arial" w:hAnsi="Arial"/>
                <w:sz w:val="14"/>
              </w:rPr>
            </w:pPr>
            <w:r w:rsidRPr="00E123C3">
              <w:rPr>
                <w:rFonts w:ascii="Arial" w:hAnsi="Arial"/>
                <w:sz w:val="14"/>
              </w:rPr>
              <w:t>X</w:t>
            </w:r>
          </w:p>
        </w:tc>
        <w:tc>
          <w:tcPr>
            <w:tcW w:w="109" w:type="pct"/>
            <w:vAlign w:val="center"/>
          </w:tcPr>
          <w:p w14:paraId="43C29F68" w14:textId="77777777" w:rsidR="00F318A9" w:rsidRPr="00E123C3" w:rsidRDefault="00F318A9" w:rsidP="00F318A9">
            <w:pPr>
              <w:jc w:val="center"/>
              <w:rPr>
                <w:rFonts w:ascii="Arial" w:hAnsi="Arial"/>
                <w:sz w:val="14"/>
              </w:rPr>
            </w:pPr>
          </w:p>
        </w:tc>
        <w:tc>
          <w:tcPr>
            <w:tcW w:w="120" w:type="pct"/>
            <w:vAlign w:val="center"/>
          </w:tcPr>
          <w:p w14:paraId="1C6A2972" w14:textId="77777777" w:rsidR="00F318A9" w:rsidRPr="00E123C3" w:rsidRDefault="00F318A9" w:rsidP="00F318A9">
            <w:pPr>
              <w:jc w:val="center"/>
              <w:rPr>
                <w:rFonts w:ascii="Arial" w:hAnsi="Arial"/>
                <w:sz w:val="14"/>
              </w:rPr>
            </w:pPr>
          </w:p>
        </w:tc>
        <w:tc>
          <w:tcPr>
            <w:tcW w:w="120" w:type="pct"/>
            <w:vAlign w:val="center"/>
          </w:tcPr>
          <w:p w14:paraId="2FC4AF51" w14:textId="77777777" w:rsidR="00F318A9" w:rsidRPr="00E123C3" w:rsidRDefault="00F318A9" w:rsidP="00F318A9">
            <w:pPr>
              <w:jc w:val="center"/>
              <w:rPr>
                <w:rFonts w:ascii="Arial" w:hAnsi="Arial"/>
                <w:sz w:val="14"/>
              </w:rPr>
            </w:pPr>
          </w:p>
        </w:tc>
        <w:tc>
          <w:tcPr>
            <w:tcW w:w="120" w:type="pct"/>
            <w:vAlign w:val="center"/>
          </w:tcPr>
          <w:p w14:paraId="2786730B" w14:textId="77777777" w:rsidR="00F318A9" w:rsidRPr="00E123C3" w:rsidRDefault="00F318A9" w:rsidP="00F318A9">
            <w:pPr>
              <w:jc w:val="center"/>
              <w:rPr>
                <w:rFonts w:ascii="Arial" w:hAnsi="Arial"/>
                <w:sz w:val="14"/>
              </w:rPr>
            </w:pPr>
          </w:p>
        </w:tc>
        <w:tc>
          <w:tcPr>
            <w:tcW w:w="120" w:type="pct"/>
            <w:vAlign w:val="center"/>
          </w:tcPr>
          <w:p w14:paraId="6BF844CF" w14:textId="77777777" w:rsidR="00F318A9" w:rsidRPr="00E123C3" w:rsidRDefault="00F318A9" w:rsidP="00F318A9">
            <w:pPr>
              <w:jc w:val="center"/>
              <w:rPr>
                <w:rFonts w:ascii="Arial" w:hAnsi="Arial"/>
                <w:sz w:val="14"/>
              </w:rPr>
            </w:pPr>
          </w:p>
        </w:tc>
        <w:tc>
          <w:tcPr>
            <w:tcW w:w="120" w:type="pct"/>
            <w:vAlign w:val="center"/>
          </w:tcPr>
          <w:p w14:paraId="2E74B4E8" w14:textId="77777777" w:rsidR="00F318A9" w:rsidRPr="00E123C3" w:rsidRDefault="00F318A9" w:rsidP="00F318A9">
            <w:pPr>
              <w:jc w:val="center"/>
              <w:rPr>
                <w:rFonts w:ascii="Arial" w:hAnsi="Arial"/>
                <w:sz w:val="14"/>
              </w:rPr>
            </w:pPr>
          </w:p>
        </w:tc>
      </w:tr>
      <w:tr w:rsidR="00F318A9" w:rsidRPr="00E123C3" w14:paraId="4FC44404" w14:textId="77777777" w:rsidTr="00F318A9">
        <w:trPr>
          <w:trHeight w:val="54"/>
          <w:jc w:val="center"/>
        </w:trPr>
        <w:tc>
          <w:tcPr>
            <w:tcW w:w="408" w:type="pct"/>
            <w:vMerge/>
            <w:shd w:val="clear" w:color="auto" w:fill="FFFFFF" w:themeFill="background1"/>
          </w:tcPr>
          <w:p w14:paraId="7AB6382C" w14:textId="77777777" w:rsidR="00F318A9" w:rsidRPr="00E123C3" w:rsidRDefault="00F318A9" w:rsidP="00F318A9">
            <w:pPr>
              <w:rPr>
                <w:rFonts w:ascii="Arial" w:hAnsi="Arial"/>
                <w:sz w:val="14"/>
              </w:rPr>
            </w:pPr>
          </w:p>
        </w:tc>
        <w:tc>
          <w:tcPr>
            <w:tcW w:w="408" w:type="pct"/>
            <w:vMerge/>
            <w:shd w:val="clear" w:color="auto" w:fill="FFFFFF" w:themeFill="background1"/>
          </w:tcPr>
          <w:p w14:paraId="3B95F056" w14:textId="77777777" w:rsidR="00F318A9" w:rsidRPr="00E123C3" w:rsidRDefault="00F318A9" w:rsidP="00F318A9">
            <w:pPr>
              <w:rPr>
                <w:rFonts w:ascii="Arial" w:hAnsi="Arial"/>
                <w:sz w:val="14"/>
              </w:rPr>
            </w:pPr>
          </w:p>
        </w:tc>
        <w:tc>
          <w:tcPr>
            <w:tcW w:w="459" w:type="pct"/>
            <w:vMerge/>
          </w:tcPr>
          <w:p w14:paraId="0231F2EE" w14:textId="77777777" w:rsidR="00F318A9" w:rsidRPr="00E123C3" w:rsidRDefault="00F318A9" w:rsidP="00F318A9">
            <w:pPr>
              <w:rPr>
                <w:rFonts w:ascii="Arial" w:hAnsi="Arial"/>
                <w:sz w:val="14"/>
              </w:rPr>
            </w:pPr>
          </w:p>
        </w:tc>
        <w:tc>
          <w:tcPr>
            <w:tcW w:w="557" w:type="pct"/>
            <w:vMerge/>
          </w:tcPr>
          <w:p w14:paraId="51414636" w14:textId="77777777" w:rsidR="00F318A9" w:rsidRPr="00E123C3" w:rsidRDefault="00F318A9" w:rsidP="00F318A9">
            <w:pPr>
              <w:rPr>
                <w:rFonts w:ascii="Arial" w:hAnsi="Arial"/>
                <w:sz w:val="14"/>
              </w:rPr>
            </w:pPr>
          </w:p>
        </w:tc>
        <w:tc>
          <w:tcPr>
            <w:tcW w:w="1090" w:type="pct"/>
            <w:tcBorders>
              <w:top w:val="nil"/>
            </w:tcBorders>
          </w:tcPr>
          <w:p w14:paraId="502F76D6" w14:textId="77777777" w:rsidR="00F318A9" w:rsidRPr="00D554F6" w:rsidRDefault="00F318A9" w:rsidP="00F318A9">
            <w:pPr>
              <w:rPr>
                <w:rFonts w:ascii="Arial" w:hAnsi="Arial"/>
                <w:b/>
                <w:sz w:val="14"/>
              </w:rPr>
            </w:pPr>
            <w:r w:rsidRPr="00D554F6">
              <w:rPr>
                <w:rFonts w:ascii="Arial" w:hAnsi="Arial"/>
                <w:b/>
                <w:sz w:val="14"/>
              </w:rPr>
              <w:t>Output 5.</w:t>
            </w:r>
            <w:r>
              <w:rPr>
                <w:rFonts w:ascii="Arial" w:hAnsi="Arial"/>
                <w:b/>
                <w:sz w:val="14"/>
              </w:rPr>
              <w:t>2</w:t>
            </w:r>
            <w:r w:rsidRPr="00D554F6">
              <w:rPr>
                <w:rFonts w:ascii="Arial" w:hAnsi="Arial"/>
                <w:b/>
                <w:sz w:val="14"/>
              </w:rPr>
              <w:t xml:space="preserve">: Financing mechanisms and options identified and developed for the promotion of higher efficiency </w:t>
            </w:r>
            <w:r>
              <w:rPr>
                <w:rFonts w:ascii="Arial" w:hAnsi="Arial"/>
                <w:b/>
                <w:sz w:val="14"/>
              </w:rPr>
              <w:t>DTs</w:t>
            </w:r>
          </w:p>
          <w:p w14:paraId="47EECBD4" w14:textId="77777777" w:rsidR="00F318A9" w:rsidRDefault="00F318A9" w:rsidP="00F318A9">
            <w:pPr>
              <w:rPr>
                <w:rFonts w:ascii="Arial" w:hAnsi="Arial"/>
                <w:sz w:val="14"/>
              </w:rPr>
            </w:pPr>
          </w:p>
          <w:p w14:paraId="2F0E66EC" w14:textId="77777777" w:rsidR="00F318A9" w:rsidRPr="00E123C3" w:rsidRDefault="00F318A9" w:rsidP="00F318A9">
            <w:pPr>
              <w:rPr>
                <w:rFonts w:ascii="Arial" w:hAnsi="Arial"/>
                <w:sz w:val="14"/>
              </w:rPr>
            </w:pPr>
            <w:r w:rsidRPr="00E123C3">
              <w:rPr>
                <w:rFonts w:ascii="Arial" w:hAnsi="Arial"/>
                <w:sz w:val="14"/>
              </w:rPr>
              <w:t xml:space="preserve">Activity 5.2.1: review international experience, analyze national conditions and prepare recommendations in terms of finance mechanisms, including fiscal incentives, bulk procurement programs, </w:t>
            </w:r>
            <w:r w:rsidRPr="00E123C3">
              <w:rPr>
                <w:rFonts w:ascii="Arial" w:hAnsi="Arial" w:cs="Arial"/>
                <w:sz w:val="14"/>
                <w:szCs w:val="16"/>
              </w:rPr>
              <w:t>and international</w:t>
            </w:r>
            <w:r w:rsidRPr="00E123C3">
              <w:rPr>
                <w:rFonts w:ascii="Arial" w:hAnsi="Arial"/>
                <w:sz w:val="14"/>
              </w:rPr>
              <w:t xml:space="preserve"> finance for DTs. This review will be conducted by the policy expert.</w:t>
            </w:r>
          </w:p>
          <w:p w14:paraId="568F3C95" w14:textId="77777777" w:rsidR="00F318A9" w:rsidRPr="00E123C3" w:rsidRDefault="00F318A9" w:rsidP="00F318A9">
            <w:pPr>
              <w:rPr>
                <w:rFonts w:ascii="Arial" w:hAnsi="Arial"/>
                <w:sz w:val="14"/>
              </w:rPr>
            </w:pPr>
          </w:p>
          <w:p w14:paraId="5013F998" w14:textId="77777777" w:rsidR="00F318A9" w:rsidRPr="00E123C3" w:rsidRDefault="00F318A9" w:rsidP="00F318A9">
            <w:pPr>
              <w:rPr>
                <w:rFonts w:ascii="Arial" w:hAnsi="Arial"/>
                <w:sz w:val="14"/>
              </w:rPr>
            </w:pPr>
            <w:r w:rsidRPr="00E123C3">
              <w:rPr>
                <w:rFonts w:ascii="Arial" w:hAnsi="Arial"/>
                <w:sz w:val="14"/>
              </w:rPr>
              <w:t>Deliverable 5.2.1: report on finance mechanisms and options for DTs</w:t>
            </w:r>
          </w:p>
        </w:tc>
        <w:tc>
          <w:tcPr>
            <w:tcW w:w="97" w:type="pct"/>
            <w:tcBorders>
              <w:top w:val="single" w:sz="4" w:space="0" w:color="auto"/>
            </w:tcBorders>
            <w:vAlign w:val="center"/>
          </w:tcPr>
          <w:p w14:paraId="295B116A" w14:textId="77777777" w:rsidR="00F318A9" w:rsidRPr="00E123C3" w:rsidRDefault="00F318A9" w:rsidP="00F318A9">
            <w:pPr>
              <w:jc w:val="center"/>
              <w:rPr>
                <w:rFonts w:ascii="Arial" w:hAnsi="Arial"/>
                <w:sz w:val="14"/>
              </w:rPr>
            </w:pPr>
          </w:p>
        </w:tc>
        <w:tc>
          <w:tcPr>
            <w:tcW w:w="97" w:type="pct"/>
            <w:tcBorders>
              <w:top w:val="single" w:sz="4" w:space="0" w:color="auto"/>
            </w:tcBorders>
            <w:shd w:val="clear" w:color="auto" w:fill="FFFFFF" w:themeFill="background1"/>
            <w:vAlign w:val="center"/>
          </w:tcPr>
          <w:p w14:paraId="25B7D724" w14:textId="77777777" w:rsidR="00F318A9" w:rsidRPr="00E123C3" w:rsidRDefault="00F318A9" w:rsidP="00F318A9">
            <w:pPr>
              <w:jc w:val="center"/>
              <w:rPr>
                <w:rFonts w:ascii="Arial" w:hAnsi="Arial"/>
                <w:sz w:val="14"/>
              </w:rPr>
            </w:pPr>
          </w:p>
        </w:tc>
        <w:tc>
          <w:tcPr>
            <w:tcW w:w="120" w:type="pct"/>
            <w:tcBorders>
              <w:top w:val="single" w:sz="4" w:space="0" w:color="auto"/>
            </w:tcBorders>
            <w:shd w:val="clear" w:color="auto" w:fill="FFFFFF" w:themeFill="background1"/>
            <w:vAlign w:val="center"/>
          </w:tcPr>
          <w:p w14:paraId="18C54C6F" w14:textId="77777777" w:rsidR="00F318A9" w:rsidRPr="00E123C3" w:rsidRDefault="00F318A9" w:rsidP="00F318A9">
            <w:pPr>
              <w:jc w:val="center"/>
              <w:rPr>
                <w:rFonts w:ascii="Arial" w:hAnsi="Arial"/>
                <w:sz w:val="14"/>
              </w:rPr>
            </w:pPr>
          </w:p>
        </w:tc>
        <w:tc>
          <w:tcPr>
            <w:tcW w:w="97" w:type="pct"/>
            <w:tcBorders>
              <w:top w:val="single" w:sz="4" w:space="0" w:color="auto"/>
            </w:tcBorders>
            <w:shd w:val="clear" w:color="auto" w:fill="C5E0B3" w:themeFill="accent6" w:themeFillTint="66"/>
            <w:vAlign w:val="center"/>
          </w:tcPr>
          <w:p w14:paraId="6411F552" w14:textId="77777777" w:rsidR="00F318A9" w:rsidRPr="00E123C3" w:rsidRDefault="00F318A9" w:rsidP="00F318A9">
            <w:pPr>
              <w:jc w:val="center"/>
              <w:rPr>
                <w:rFonts w:ascii="Arial" w:hAnsi="Arial"/>
                <w:sz w:val="14"/>
              </w:rPr>
            </w:pPr>
          </w:p>
        </w:tc>
        <w:tc>
          <w:tcPr>
            <w:tcW w:w="120" w:type="pct"/>
            <w:tcBorders>
              <w:top w:val="single" w:sz="4" w:space="0" w:color="auto"/>
            </w:tcBorders>
            <w:shd w:val="clear" w:color="auto" w:fill="C5E0B3" w:themeFill="accent6" w:themeFillTint="66"/>
            <w:vAlign w:val="center"/>
          </w:tcPr>
          <w:p w14:paraId="1FFD3112" w14:textId="77777777" w:rsidR="00F318A9" w:rsidRPr="00E123C3" w:rsidRDefault="00F318A9" w:rsidP="00F318A9">
            <w:pPr>
              <w:jc w:val="center"/>
              <w:rPr>
                <w:rFonts w:ascii="Arial" w:hAnsi="Arial"/>
                <w:sz w:val="14"/>
              </w:rPr>
            </w:pPr>
          </w:p>
        </w:tc>
        <w:tc>
          <w:tcPr>
            <w:tcW w:w="120" w:type="pct"/>
            <w:tcBorders>
              <w:top w:val="single" w:sz="4" w:space="0" w:color="auto"/>
            </w:tcBorders>
            <w:shd w:val="clear" w:color="auto" w:fill="C5E0B3" w:themeFill="accent6" w:themeFillTint="66"/>
            <w:vAlign w:val="center"/>
          </w:tcPr>
          <w:p w14:paraId="4F5030B1"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5268D622"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vAlign w:val="center"/>
          </w:tcPr>
          <w:p w14:paraId="1AEBBC68" w14:textId="77777777" w:rsidR="00F318A9" w:rsidRPr="00E123C3" w:rsidRDefault="00F318A9" w:rsidP="00F318A9">
            <w:pPr>
              <w:jc w:val="center"/>
              <w:rPr>
                <w:rFonts w:ascii="Arial" w:hAnsi="Arial"/>
                <w:sz w:val="14"/>
              </w:rPr>
            </w:pPr>
          </w:p>
        </w:tc>
        <w:tc>
          <w:tcPr>
            <w:tcW w:w="120" w:type="pct"/>
            <w:vAlign w:val="center"/>
          </w:tcPr>
          <w:p w14:paraId="60A7A464" w14:textId="77777777" w:rsidR="00F318A9" w:rsidRPr="00E123C3" w:rsidRDefault="00F318A9" w:rsidP="00F318A9">
            <w:pPr>
              <w:jc w:val="center"/>
              <w:rPr>
                <w:rFonts w:ascii="Arial" w:hAnsi="Arial"/>
                <w:sz w:val="14"/>
              </w:rPr>
            </w:pPr>
          </w:p>
        </w:tc>
        <w:tc>
          <w:tcPr>
            <w:tcW w:w="120" w:type="pct"/>
            <w:vAlign w:val="center"/>
          </w:tcPr>
          <w:p w14:paraId="1A5A7C87" w14:textId="77777777" w:rsidR="00F318A9" w:rsidRPr="00E123C3" w:rsidRDefault="00F318A9" w:rsidP="00F318A9">
            <w:pPr>
              <w:jc w:val="center"/>
              <w:rPr>
                <w:rFonts w:ascii="Arial" w:hAnsi="Arial"/>
                <w:sz w:val="14"/>
              </w:rPr>
            </w:pPr>
          </w:p>
        </w:tc>
        <w:tc>
          <w:tcPr>
            <w:tcW w:w="120" w:type="pct"/>
            <w:vAlign w:val="center"/>
          </w:tcPr>
          <w:p w14:paraId="1C68059C" w14:textId="77777777" w:rsidR="00F318A9" w:rsidRPr="00E123C3" w:rsidRDefault="00F318A9" w:rsidP="00F318A9">
            <w:pPr>
              <w:jc w:val="center"/>
              <w:rPr>
                <w:rFonts w:ascii="Arial" w:hAnsi="Arial"/>
                <w:sz w:val="14"/>
              </w:rPr>
            </w:pPr>
          </w:p>
        </w:tc>
        <w:tc>
          <w:tcPr>
            <w:tcW w:w="120" w:type="pct"/>
            <w:vAlign w:val="center"/>
          </w:tcPr>
          <w:p w14:paraId="5DABFED9" w14:textId="77777777" w:rsidR="00F318A9" w:rsidRPr="00E123C3" w:rsidRDefault="00F318A9" w:rsidP="00F318A9">
            <w:pPr>
              <w:jc w:val="center"/>
              <w:rPr>
                <w:rFonts w:ascii="Arial" w:hAnsi="Arial"/>
                <w:sz w:val="14"/>
              </w:rPr>
            </w:pPr>
          </w:p>
        </w:tc>
        <w:tc>
          <w:tcPr>
            <w:tcW w:w="109" w:type="pct"/>
            <w:vAlign w:val="center"/>
          </w:tcPr>
          <w:p w14:paraId="2A5CA81F" w14:textId="77777777" w:rsidR="00F318A9" w:rsidRPr="00E123C3" w:rsidRDefault="00F318A9" w:rsidP="00F318A9">
            <w:pPr>
              <w:jc w:val="center"/>
              <w:rPr>
                <w:rFonts w:ascii="Arial" w:hAnsi="Arial"/>
                <w:sz w:val="14"/>
              </w:rPr>
            </w:pPr>
          </w:p>
        </w:tc>
        <w:tc>
          <w:tcPr>
            <w:tcW w:w="120" w:type="pct"/>
            <w:vAlign w:val="center"/>
          </w:tcPr>
          <w:p w14:paraId="3FAA6635" w14:textId="77777777" w:rsidR="00F318A9" w:rsidRPr="00E123C3" w:rsidRDefault="00F318A9" w:rsidP="00F318A9">
            <w:pPr>
              <w:jc w:val="center"/>
              <w:rPr>
                <w:rFonts w:ascii="Arial" w:hAnsi="Arial"/>
                <w:sz w:val="14"/>
              </w:rPr>
            </w:pPr>
          </w:p>
        </w:tc>
        <w:tc>
          <w:tcPr>
            <w:tcW w:w="120" w:type="pct"/>
            <w:vAlign w:val="center"/>
          </w:tcPr>
          <w:p w14:paraId="071FDAE5" w14:textId="77777777" w:rsidR="00F318A9" w:rsidRPr="00E123C3" w:rsidRDefault="00F318A9" w:rsidP="00F318A9">
            <w:pPr>
              <w:jc w:val="center"/>
              <w:rPr>
                <w:rFonts w:ascii="Arial" w:hAnsi="Arial"/>
                <w:sz w:val="14"/>
              </w:rPr>
            </w:pPr>
          </w:p>
        </w:tc>
        <w:tc>
          <w:tcPr>
            <w:tcW w:w="120" w:type="pct"/>
            <w:vAlign w:val="center"/>
          </w:tcPr>
          <w:p w14:paraId="6C1D3C49" w14:textId="77777777" w:rsidR="00F318A9" w:rsidRPr="00E123C3" w:rsidRDefault="00F318A9" w:rsidP="00F318A9">
            <w:pPr>
              <w:jc w:val="center"/>
              <w:rPr>
                <w:rFonts w:ascii="Arial" w:hAnsi="Arial"/>
                <w:sz w:val="14"/>
              </w:rPr>
            </w:pPr>
          </w:p>
        </w:tc>
        <w:tc>
          <w:tcPr>
            <w:tcW w:w="120" w:type="pct"/>
            <w:vAlign w:val="center"/>
          </w:tcPr>
          <w:p w14:paraId="389EA618" w14:textId="77777777" w:rsidR="00F318A9" w:rsidRPr="00E123C3" w:rsidRDefault="00F318A9" w:rsidP="00F318A9">
            <w:pPr>
              <w:jc w:val="center"/>
              <w:rPr>
                <w:rFonts w:ascii="Arial" w:hAnsi="Arial"/>
                <w:sz w:val="14"/>
              </w:rPr>
            </w:pPr>
          </w:p>
        </w:tc>
        <w:tc>
          <w:tcPr>
            <w:tcW w:w="120" w:type="pct"/>
            <w:vAlign w:val="center"/>
          </w:tcPr>
          <w:p w14:paraId="3956BE03" w14:textId="77777777" w:rsidR="00F318A9" w:rsidRPr="00E123C3" w:rsidRDefault="00F318A9" w:rsidP="00F318A9">
            <w:pPr>
              <w:jc w:val="center"/>
              <w:rPr>
                <w:rFonts w:ascii="Arial" w:hAnsi="Arial"/>
                <w:sz w:val="14"/>
              </w:rPr>
            </w:pPr>
          </w:p>
        </w:tc>
      </w:tr>
      <w:tr w:rsidR="00F318A9" w:rsidRPr="00E123C3" w14:paraId="7EA332DD" w14:textId="77777777" w:rsidTr="00F318A9">
        <w:trPr>
          <w:trHeight w:val="54"/>
          <w:jc w:val="center"/>
        </w:trPr>
        <w:tc>
          <w:tcPr>
            <w:tcW w:w="408" w:type="pct"/>
            <w:vMerge/>
            <w:shd w:val="clear" w:color="auto" w:fill="FFFFFF" w:themeFill="background1"/>
          </w:tcPr>
          <w:p w14:paraId="37723FDF" w14:textId="77777777" w:rsidR="00F318A9" w:rsidRPr="00E123C3" w:rsidRDefault="00F318A9" w:rsidP="00F318A9">
            <w:pPr>
              <w:rPr>
                <w:rFonts w:ascii="Arial" w:hAnsi="Arial"/>
                <w:sz w:val="14"/>
              </w:rPr>
            </w:pPr>
          </w:p>
        </w:tc>
        <w:tc>
          <w:tcPr>
            <w:tcW w:w="408" w:type="pct"/>
            <w:vMerge/>
            <w:shd w:val="clear" w:color="auto" w:fill="FFFFFF" w:themeFill="background1"/>
          </w:tcPr>
          <w:p w14:paraId="35090F80" w14:textId="77777777" w:rsidR="00F318A9" w:rsidRPr="00E123C3" w:rsidRDefault="00F318A9" w:rsidP="00F318A9">
            <w:pPr>
              <w:rPr>
                <w:rFonts w:ascii="Arial" w:hAnsi="Arial"/>
                <w:sz w:val="14"/>
              </w:rPr>
            </w:pPr>
          </w:p>
        </w:tc>
        <w:tc>
          <w:tcPr>
            <w:tcW w:w="459" w:type="pct"/>
            <w:vMerge/>
          </w:tcPr>
          <w:p w14:paraId="37A471E6" w14:textId="77777777" w:rsidR="00F318A9" w:rsidRPr="00E123C3" w:rsidRDefault="00F318A9" w:rsidP="00F318A9">
            <w:pPr>
              <w:rPr>
                <w:rFonts w:ascii="Arial" w:hAnsi="Arial"/>
                <w:sz w:val="14"/>
              </w:rPr>
            </w:pPr>
          </w:p>
        </w:tc>
        <w:tc>
          <w:tcPr>
            <w:tcW w:w="557" w:type="pct"/>
            <w:vMerge/>
          </w:tcPr>
          <w:p w14:paraId="3AB25A93" w14:textId="77777777" w:rsidR="00F318A9" w:rsidRPr="00E123C3" w:rsidRDefault="00F318A9" w:rsidP="00F318A9">
            <w:pPr>
              <w:rPr>
                <w:rFonts w:ascii="Arial" w:hAnsi="Arial"/>
                <w:sz w:val="14"/>
              </w:rPr>
            </w:pPr>
          </w:p>
        </w:tc>
        <w:tc>
          <w:tcPr>
            <w:tcW w:w="1090" w:type="pct"/>
            <w:tcBorders>
              <w:top w:val="nil"/>
            </w:tcBorders>
          </w:tcPr>
          <w:p w14:paraId="674980F5" w14:textId="77777777" w:rsidR="00F318A9" w:rsidRPr="00E123C3" w:rsidRDefault="00F318A9" w:rsidP="00F318A9">
            <w:pPr>
              <w:rPr>
                <w:rFonts w:ascii="Arial" w:hAnsi="Arial"/>
                <w:sz w:val="14"/>
              </w:rPr>
            </w:pPr>
            <w:r w:rsidRPr="00E123C3">
              <w:rPr>
                <w:rFonts w:ascii="Arial" w:hAnsi="Arial"/>
                <w:sz w:val="14"/>
              </w:rPr>
              <w:t>Activity 5.2.2: organize capacity building workshop on finance mechanisms and options for DTs. Based on the outcomes of the PWG meeting on finance mechanisms, a training workshop will be organized on the selected options. A capacity building needs analysis will be conducted and a training workshop organized to build the capacity of relevant stakeholders to equip them with the necessary skills and tools for the future design of finance mechanisms</w:t>
            </w:r>
          </w:p>
          <w:p w14:paraId="09E522C1" w14:textId="77777777" w:rsidR="00F318A9" w:rsidRPr="00E123C3" w:rsidRDefault="00F318A9" w:rsidP="00F318A9">
            <w:pPr>
              <w:rPr>
                <w:rFonts w:ascii="Arial" w:hAnsi="Arial"/>
                <w:sz w:val="14"/>
              </w:rPr>
            </w:pPr>
          </w:p>
          <w:p w14:paraId="3673013C" w14:textId="77777777" w:rsidR="00F318A9" w:rsidRPr="00E123C3" w:rsidRDefault="00F318A9" w:rsidP="00F318A9">
            <w:pPr>
              <w:rPr>
                <w:rFonts w:ascii="Arial" w:hAnsi="Arial"/>
                <w:sz w:val="14"/>
              </w:rPr>
            </w:pPr>
            <w:r w:rsidRPr="00E123C3">
              <w:rPr>
                <w:rFonts w:ascii="Arial" w:hAnsi="Arial"/>
                <w:sz w:val="14"/>
              </w:rPr>
              <w:t>Deliverable 5.2.2: training workshop on finance mechanisms and options for DTs</w:t>
            </w:r>
          </w:p>
        </w:tc>
        <w:tc>
          <w:tcPr>
            <w:tcW w:w="97" w:type="pct"/>
            <w:tcBorders>
              <w:top w:val="single" w:sz="4" w:space="0" w:color="auto"/>
            </w:tcBorders>
            <w:vAlign w:val="center"/>
          </w:tcPr>
          <w:p w14:paraId="75031A55" w14:textId="77777777" w:rsidR="00F318A9" w:rsidRPr="00E123C3" w:rsidRDefault="00F318A9" w:rsidP="00F318A9">
            <w:pPr>
              <w:jc w:val="center"/>
              <w:rPr>
                <w:rFonts w:ascii="Arial" w:hAnsi="Arial"/>
                <w:sz w:val="14"/>
              </w:rPr>
            </w:pPr>
          </w:p>
        </w:tc>
        <w:tc>
          <w:tcPr>
            <w:tcW w:w="97" w:type="pct"/>
            <w:tcBorders>
              <w:top w:val="single" w:sz="4" w:space="0" w:color="auto"/>
            </w:tcBorders>
            <w:shd w:val="clear" w:color="auto" w:fill="FFFFFF" w:themeFill="background1"/>
            <w:vAlign w:val="center"/>
          </w:tcPr>
          <w:p w14:paraId="13163048" w14:textId="77777777" w:rsidR="00F318A9" w:rsidRPr="00E123C3" w:rsidRDefault="00F318A9" w:rsidP="00F318A9">
            <w:pPr>
              <w:jc w:val="center"/>
              <w:rPr>
                <w:rFonts w:ascii="Arial" w:hAnsi="Arial"/>
                <w:sz w:val="14"/>
              </w:rPr>
            </w:pPr>
          </w:p>
        </w:tc>
        <w:tc>
          <w:tcPr>
            <w:tcW w:w="120" w:type="pct"/>
            <w:tcBorders>
              <w:top w:val="single" w:sz="4" w:space="0" w:color="auto"/>
            </w:tcBorders>
            <w:shd w:val="clear" w:color="auto" w:fill="FFFFFF" w:themeFill="background1"/>
            <w:vAlign w:val="center"/>
          </w:tcPr>
          <w:p w14:paraId="5547084E" w14:textId="77777777" w:rsidR="00F318A9" w:rsidRPr="00E123C3" w:rsidRDefault="00F318A9" w:rsidP="00F318A9">
            <w:pPr>
              <w:jc w:val="center"/>
              <w:rPr>
                <w:rFonts w:ascii="Arial" w:hAnsi="Arial"/>
                <w:sz w:val="14"/>
              </w:rPr>
            </w:pPr>
          </w:p>
        </w:tc>
        <w:tc>
          <w:tcPr>
            <w:tcW w:w="97" w:type="pct"/>
            <w:tcBorders>
              <w:top w:val="single" w:sz="4" w:space="0" w:color="auto"/>
            </w:tcBorders>
            <w:shd w:val="clear" w:color="auto" w:fill="FFFFFF" w:themeFill="background1"/>
            <w:vAlign w:val="center"/>
          </w:tcPr>
          <w:p w14:paraId="2116837C" w14:textId="77777777" w:rsidR="00F318A9" w:rsidRPr="00E123C3" w:rsidRDefault="00F318A9" w:rsidP="00F318A9">
            <w:pPr>
              <w:jc w:val="center"/>
              <w:rPr>
                <w:rFonts w:ascii="Arial" w:hAnsi="Arial"/>
                <w:sz w:val="14"/>
              </w:rPr>
            </w:pPr>
          </w:p>
        </w:tc>
        <w:tc>
          <w:tcPr>
            <w:tcW w:w="120" w:type="pct"/>
            <w:tcBorders>
              <w:top w:val="single" w:sz="4" w:space="0" w:color="auto"/>
            </w:tcBorders>
            <w:shd w:val="clear" w:color="auto" w:fill="FFFFFF" w:themeFill="background1"/>
            <w:vAlign w:val="center"/>
          </w:tcPr>
          <w:p w14:paraId="77BEFC24" w14:textId="77777777" w:rsidR="00F318A9" w:rsidRPr="00E123C3" w:rsidRDefault="00F318A9" w:rsidP="00F318A9">
            <w:pPr>
              <w:jc w:val="center"/>
              <w:rPr>
                <w:rFonts w:ascii="Arial" w:hAnsi="Arial"/>
                <w:sz w:val="14"/>
              </w:rPr>
            </w:pPr>
          </w:p>
        </w:tc>
        <w:tc>
          <w:tcPr>
            <w:tcW w:w="120" w:type="pct"/>
            <w:tcBorders>
              <w:top w:val="single" w:sz="4" w:space="0" w:color="auto"/>
            </w:tcBorders>
            <w:vAlign w:val="center"/>
          </w:tcPr>
          <w:p w14:paraId="74DBF7F2" w14:textId="77777777" w:rsidR="00F318A9" w:rsidRPr="00E123C3" w:rsidRDefault="00F318A9" w:rsidP="00F318A9">
            <w:pPr>
              <w:jc w:val="center"/>
              <w:rPr>
                <w:rFonts w:ascii="Arial" w:hAnsi="Arial"/>
                <w:sz w:val="14"/>
              </w:rPr>
            </w:pPr>
          </w:p>
        </w:tc>
        <w:tc>
          <w:tcPr>
            <w:tcW w:w="120" w:type="pct"/>
            <w:vAlign w:val="center"/>
          </w:tcPr>
          <w:p w14:paraId="35C3FD52"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3AD9F6C0"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56DBF3EC"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4F298C36"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vAlign w:val="center"/>
          </w:tcPr>
          <w:p w14:paraId="07F4C78A" w14:textId="77777777" w:rsidR="00F318A9" w:rsidRPr="00E123C3" w:rsidRDefault="00F318A9" w:rsidP="00F318A9">
            <w:pPr>
              <w:jc w:val="center"/>
              <w:rPr>
                <w:rFonts w:ascii="Arial" w:hAnsi="Arial"/>
                <w:sz w:val="14"/>
              </w:rPr>
            </w:pPr>
          </w:p>
        </w:tc>
        <w:tc>
          <w:tcPr>
            <w:tcW w:w="120" w:type="pct"/>
            <w:vAlign w:val="center"/>
          </w:tcPr>
          <w:p w14:paraId="5497BD64" w14:textId="77777777" w:rsidR="00F318A9" w:rsidRPr="00E123C3" w:rsidRDefault="00F318A9" w:rsidP="00F318A9">
            <w:pPr>
              <w:jc w:val="center"/>
              <w:rPr>
                <w:rFonts w:ascii="Arial" w:hAnsi="Arial"/>
                <w:sz w:val="14"/>
              </w:rPr>
            </w:pPr>
          </w:p>
        </w:tc>
        <w:tc>
          <w:tcPr>
            <w:tcW w:w="109" w:type="pct"/>
            <w:vAlign w:val="center"/>
          </w:tcPr>
          <w:p w14:paraId="5C499160" w14:textId="77777777" w:rsidR="00F318A9" w:rsidRPr="00E123C3" w:rsidRDefault="00F318A9" w:rsidP="00F318A9">
            <w:pPr>
              <w:jc w:val="center"/>
              <w:rPr>
                <w:rFonts w:ascii="Arial" w:hAnsi="Arial"/>
                <w:sz w:val="14"/>
              </w:rPr>
            </w:pPr>
          </w:p>
        </w:tc>
        <w:tc>
          <w:tcPr>
            <w:tcW w:w="120" w:type="pct"/>
            <w:vAlign w:val="center"/>
          </w:tcPr>
          <w:p w14:paraId="0D5AE6DF" w14:textId="77777777" w:rsidR="00F318A9" w:rsidRPr="00E123C3" w:rsidRDefault="00F318A9" w:rsidP="00F318A9">
            <w:pPr>
              <w:jc w:val="center"/>
              <w:rPr>
                <w:rFonts w:ascii="Arial" w:hAnsi="Arial"/>
                <w:sz w:val="14"/>
              </w:rPr>
            </w:pPr>
          </w:p>
        </w:tc>
        <w:tc>
          <w:tcPr>
            <w:tcW w:w="120" w:type="pct"/>
            <w:vAlign w:val="center"/>
          </w:tcPr>
          <w:p w14:paraId="7357A810" w14:textId="77777777" w:rsidR="00F318A9" w:rsidRPr="00E123C3" w:rsidRDefault="00F318A9" w:rsidP="00F318A9">
            <w:pPr>
              <w:jc w:val="center"/>
              <w:rPr>
                <w:rFonts w:ascii="Arial" w:hAnsi="Arial"/>
                <w:sz w:val="14"/>
              </w:rPr>
            </w:pPr>
          </w:p>
        </w:tc>
        <w:tc>
          <w:tcPr>
            <w:tcW w:w="120" w:type="pct"/>
            <w:vAlign w:val="center"/>
          </w:tcPr>
          <w:p w14:paraId="04D770B7" w14:textId="77777777" w:rsidR="00F318A9" w:rsidRPr="00E123C3" w:rsidRDefault="00F318A9" w:rsidP="00F318A9">
            <w:pPr>
              <w:jc w:val="center"/>
              <w:rPr>
                <w:rFonts w:ascii="Arial" w:hAnsi="Arial"/>
                <w:sz w:val="14"/>
              </w:rPr>
            </w:pPr>
          </w:p>
        </w:tc>
        <w:tc>
          <w:tcPr>
            <w:tcW w:w="120" w:type="pct"/>
            <w:vAlign w:val="center"/>
          </w:tcPr>
          <w:p w14:paraId="580BDC8B" w14:textId="77777777" w:rsidR="00F318A9" w:rsidRPr="00E123C3" w:rsidRDefault="00F318A9" w:rsidP="00F318A9">
            <w:pPr>
              <w:jc w:val="center"/>
              <w:rPr>
                <w:rFonts w:ascii="Arial" w:hAnsi="Arial"/>
                <w:sz w:val="14"/>
              </w:rPr>
            </w:pPr>
          </w:p>
        </w:tc>
        <w:tc>
          <w:tcPr>
            <w:tcW w:w="120" w:type="pct"/>
            <w:vAlign w:val="center"/>
          </w:tcPr>
          <w:p w14:paraId="5A18A5F3" w14:textId="77777777" w:rsidR="00F318A9" w:rsidRPr="00E123C3" w:rsidRDefault="00F318A9" w:rsidP="00F318A9">
            <w:pPr>
              <w:jc w:val="center"/>
              <w:rPr>
                <w:rFonts w:ascii="Arial" w:hAnsi="Arial"/>
                <w:sz w:val="14"/>
              </w:rPr>
            </w:pPr>
          </w:p>
        </w:tc>
      </w:tr>
      <w:tr w:rsidR="00F318A9" w:rsidRPr="00E123C3" w14:paraId="4AEE836B" w14:textId="77777777" w:rsidTr="00F318A9">
        <w:trPr>
          <w:trHeight w:val="54"/>
          <w:jc w:val="center"/>
        </w:trPr>
        <w:tc>
          <w:tcPr>
            <w:tcW w:w="408" w:type="pct"/>
            <w:vMerge/>
            <w:shd w:val="clear" w:color="auto" w:fill="FFFFFF" w:themeFill="background1"/>
          </w:tcPr>
          <w:p w14:paraId="55E35573" w14:textId="77777777" w:rsidR="00F318A9" w:rsidRPr="00E123C3" w:rsidRDefault="00F318A9" w:rsidP="00F318A9">
            <w:pPr>
              <w:rPr>
                <w:rFonts w:ascii="Arial" w:hAnsi="Arial"/>
                <w:sz w:val="14"/>
              </w:rPr>
            </w:pPr>
          </w:p>
        </w:tc>
        <w:tc>
          <w:tcPr>
            <w:tcW w:w="408" w:type="pct"/>
            <w:vMerge/>
            <w:shd w:val="clear" w:color="auto" w:fill="FFFFFF" w:themeFill="background1"/>
          </w:tcPr>
          <w:p w14:paraId="0D51FEB6" w14:textId="77777777" w:rsidR="00F318A9" w:rsidRPr="00E123C3" w:rsidRDefault="00F318A9" w:rsidP="00F318A9">
            <w:pPr>
              <w:rPr>
                <w:rFonts w:ascii="Arial" w:hAnsi="Arial"/>
                <w:sz w:val="14"/>
              </w:rPr>
            </w:pPr>
          </w:p>
        </w:tc>
        <w:tc>
          <w:tcPr>
            <w:tcW w:w="459" w:type="pct"/>
            <w:vMerge/>
          </w:tcPr>
          <w:p w14:paraId="1DA54F1B" w14:textId="77777777" w:rsidR="00F318A9" w:rsidRPr="00E123C3" w:rsidRDefault="00F318A9" w:rsidP="00F318A9">
            <w:pPr>
              <w:rPr>
                <w:rFonts w:ascii="Arial" w:hAnsi="Arial"/>
                <w:sz w:val="14"/>
              </w:rPr>
            </w:pPr>
          </w:p>
        </w:tc>
        <w:tc>
          <w:tcPr>
            <w:tcW w:w="557" w:type="pct"/>
            <w:vMerge/>
          </w:tcPr>
          <w:p w14:paraId="69D8811E" w14:textId="77777777" w:rsidR="00F318A9" w:rsidRPr="00E123C3" w:rsidRDefault="00F318A9" w:rsidP="00F318A9">
            <w:pPr>
              <w:rPr>
                <w:rFonts w:ascii="Arial" w:hAnsi="Arial"/>
                <w:sz w:val="14"/>
              </w:rPr>
            </w:pPr>
          </w:p>
        </w:tc>
        <w:tc>
          <w:tcPr>
            <w:tcW w:w="1090" w:type="pct"/>
            <w:tcBorders>
              <w:top w:val="nil"/>
            </w:tcBorders>
          </w:tcPr>
          <w:p w14:paraId="31DE5296" w14:textId="77777777" w:rsidR="00F318A9" w:rsidRPr="00E123C3" w:rsidRDefault="00F318A9" w:rsidP="00F318A9">
            <w:pPr>
              <w:rPr>
                <w:rFonts w:ascii="Arial" w:hAnsi="Arial"/>
                <w:sz w:val="14"/>
              </w:rPr>
            </w:pPr>
            <w:r w:rsidRPr="00E123C3">
              <w:rPr>
                <w:rFonts w:ascii="Arial" w:hAnsi="Arial"/>
                <w:sz w:val="14"/>
              </w:rPr>
              <w:t>Activity 5.2.3: preparation of recommendations for finance mechanisms and options for DTs. These recommendations will be based on the outcomes of activities 5.2.1 and 5.2.2 and prepared by policy and finance expert. These recommendations will include detailed implementation plans and be forwarded to the relevant authorities (ministry of energy, ministry of finance, public electric utility, etc.).</w:t>
            </w:r>
          </w:p>
          <w:p w14:paraId="3913138B" w14:textId="77777777" w:rsidR="00F318A9" w:rsidRPr="00E123C3" w:rsidRDefault="00F318A9" w:rsidP="00F318A9">
            <w:pPr>
              <w:rPr>
                <w:rFonts w:ascii="Arial" w:hAnsi="Arial"/>
                <w:sz w:val="14"/>
              </w:rPr>
            </w:pPr>
          </w:p>
          <w:p w14:paraId="2BE1872D" w14:textId="77777777" w:rsidR="00F318A9" w:rsidRPr="00E123C3" w:rsidRDefault="00F318A9" w:rsidP="00F318A9">
            <w:pPr>
              <w:rPr>
                <w:rFonts w:ascii="Arial" w:hAnsi="Arial"/>
                <w:sz w:val="14"/>
              </w:rPr>
            </w:pPr>
            <w:r w:rsidRPr="00E123C3">
              <w:rPr>
                <w:rFonts w:ascii="Arial" w:hAnsi="Arial"/>
                <w:sz w:val="14"/>
              </w:rPr>
              <w:lastRenderedPageBreak/>
              <w:t>Deliverable 5.2.3: detailed implementation plan for selected finance mechanisms and options for DTs</w:t>
            </w:r>
          </w:p>
        </w:tc>
        <w:tc>
          <w:tcPr>
            <w:tcW w:w="97" w:type="pct"/>
            <w:tcBorders>
              <w:top w:val="single" w:sz="4" w:space="0" w:color="auto"/>
            </w:tcBorders>
            <w:vAlign w:val="center"/>
          </w:tcPr>
          <w:p w14:paraId="060B8E5C" w14:textId="77777777" w:rsidR="00F318A9" w:rsidRPr="00E123C3" w:rsidRDefault="00F318A9" w:rsidP="00F318A9">
            <w:pPr>
              <w:jc w:val="center"/>
              <w:rPr>
                <w:rFonts w:ascii="Arial" w:hAnsi="Arial"/>
                <w:sz w:val="14"/>
              </w:rPr>
            </w:pPr>
          </w:p>
        </w:tc>
        <w:tc>
          <w:tcPr>
            <w:tcW w:w="97" w:type="pct"/>
            <w:tcBorders>
              <w:top w:val="single" w:sz="4" w:space="0" w:color="auto"/>
            </w:tcBorders>
            <w:shd w:val="clear" w:color="auto" w:fill="FFFFFF" w:themeFill="background1"/>
            <w:vAlign w:val="center"/>
          </w:tcPr>
          <w:p w14:paraId="04611E11" w14:textId="77777777" w:rsidR="00F318A9" w:rsidRPr="00E123C3" w:rsidRDefault="00F318A9" w:rsidP="00F318A9">
            <w:pPr>
              <w:jc w:val="center"/>
              <w:rPr>
                <w:rFonts w:ascii="Arial" w:hAnsi="Arial"/>
                <w:sz w:val="14"/>
              </w:rPr>
            </w:pPr>
          </w:p>
        </w:tc>
        <w:tc>
          <w:tcPr>
            <w:tcW w:w="120" w:type="pct"/>
            <w:tcBorders>
              <w:top w:val="single" w:sz="4" w:space="0" w:color="auto"/>
            </w:tcBorders>
            <w:shd w:val="clear" w:color="auto" w:fill="FFFFFF" w:themeFill="background1"/>
            <w:vAlign w:val="center"/>
          </w:tcPr>
          <w:p w14:paraId="1CCB1FF6" w14:textId="77777777" w:rsidR="00F318A9" w:rsidRPr="00E123C3" w:rsidRDefault="00F318A9" w:rsidP="00F318A9">
            <w:pPr>
              <w:jc w:val="center"/>
              <w:rPr>
                <w:rFonts w:ascii="Arial" w:hAnsi="Arial"/>
                <w:sz w:val="14"/>
              </w:rPr>
            </w:pPr>
          </w:p>
        </w:tc>
        <w:tc>
          <w:tcPr>
            <w:tcW w:w="97" w:type="pct"/>
            <w:tcBorders>
              <w:top w:val="single" w:sz="4" w:space="0" w:color="auto"/>
            </w:tcBorders>
            <w:shd w:val="clear" w:color="auto" w:fill="FFFFFF" w:themeFill="background1"/>
            <w:vAlign w:val="center"/>
          </w:tcPr>
          <w:p w14:paraId="3795D32B" w14:textId="77777777" w:rsidR="00F318A9" w:rsidRPr="00E123C3" w:rsidRDefault="00F318A9" w:rsidP="00F318A9">
            <w:pPr>
              <w:jc w:val="center"/>
              <w:rPr>
                <w:rFonts w:ascii="Arial" w:hAnsi="Arial"/>
                <w:sz w:val="14"/>
              </w:rPr>
            </w:pPr>
          </w:p>
        </w:tc>
        <w:tc>
          <w:tcPr>
            <w:tcW w:w="120" w:type="pct"/>
            <w:tcBorders>
              <w:top w:val="single" w:sz="4" w:space="0" w:color="auto"/>
            </w:tcBorders>
            <w:shd w:val="clear" w:color="auto" w:fill="FFFFFF" w:themeFill="background1"/>
            <w:vAlign w:val="center"/>
          </w:tcPr>
          <w:p w14:paraId="09D2F84F" w14:textId="77777777" w:rsidR="00F318A9" w:rsidRPr="00E123C3" w:rsidRDefault="00F318A9" w:rsidP="00F318A9">
            <w:pPr>
              <w:jc w:val="center"/>
              <w:rPr>
                <w:rFonts w:ascii="Arial" w:hAnsi="Arial"/>
                <w:sz w:val="14"/>
              </w:rPr>
            </w:pPr>
          </w:p>
        </w:tc>
        <w:tc>
          <w:tcPr>
            <w:tcW w:w="120" w:type="pct"/>
            <w:tcBorders>
              <w:top w:val="single" w:sz="4" w:space="0" w:color="auto"/>
            </w:tcBorders>
            <w:vAlign w:val="center"/>
          </w:tcPr>
          <w:p w14:paraId="7D8CA073" w14:textId="77777777" w:rsidR="00F318A9" w:rsidRPr="00E123C3" w:rsidRDefault="00F318A9" w:rsidP="00F318A9">
            <w:pPr>
              <w:jc w:val="center"/>
              <w:rPr>
                <w:rFonts w:ascii="Arial" w:hAnsi="Arial"/>
                <w:sz w:val="14"/>
              </w:rPr>
            </w:pPr>
          </w:p>
        </w:tc>
        <w:tc>
          <w:tcPr>
            <w:tcW w:w="120" w:type="pct"/>
            <w:vAlign w:val="center"/>
          </w:tcPr>
          <w:p w14:paraId="16F44CFF" w14:textId="77777777" w:rsidR="00F318A9" w:rsidRPr="00E123C3" w:rsidRDefault="00F318A9" w:rsidP="00F318A9">
            <w:pPr>
              <w:jc w:val="center"/>
              <w:rPr>
                <w:rFonts w:ascii="Arial" w:hAnsi="Arial"/>
                <w:sz w:val="14"/>
              </w:rPr>
            </w:pPr>
          </w:p>
        </w:tc>
        <w:tc>
          <w:tcPr>
            <w:tcW w:w="120" w:type="pct"/>
            <w:vAlign w:val="center"/>
          </w:tcPr>
          <w:p w14:paraId="353A97CC" w14:textId="77777777" w:rsidR="00F318A9" w:rsidRPr="00E123C3" w:rsidRDefault="00F318A9" w:rsidP="00F318A9">
            <w:pPr>
              <w:jc w:val="center"/>
              <w:rPr>
                <w:rFonts w:ascii="Arial" w:hAnsi="Arial"/>
                <w:sz w:val="14"/>
              </w:rPr>
            </w:pPr>
          </w:p>
        </w:tc>
        <w:tc>
          <w:tcPr>
            <w:tcW w:w="120" w:type="pct"/>
            <w:vAlign w:val="center"/>
          </w:tcPr>
          <w:p w14:paraId="23DE39B0"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1F57E0D8"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09597206"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47780275" w14:textId="77777777" w:rsidR="00F318A9" w:rsidRPr="00E123C3" w:rsidRDefault="00F318A9" w:rsidP="00F318A9">
            <w:pPr>
              <w:jc w:val="center"/>
              <w:rPr>
                <w:rFonts w:ascii="Arial" w:hAnsi="Arial"/>
                <w:sz w:val="14"/>
              </w:rPr>
            </w:pPr>
            <w:r w:rsidRPr="00E123C3">
              <w:rPr>
                <w:rFonts w:ascii="Arial" w:hAnsi="Arial"/>
                <w:sz w:val="14"/>
              </w:rPr>
              <w:t>X</w:t>
            </w:r>
          </w:p>
        </w:tc>
        <w:tc>
          <w:tcPr>
            <w:tcW w:w="109" w:type="pct"/>
            <w:vAlign w:val="center"/>
          </w:tcPr>
          <w:p w14:paraId="620317C5" w14:textId="77777777" w:rsidR="00F318A9" w:rsidRPr="00E123C3" w:rsidRDefault="00F318A9" w:rsidP="00F318A9">
            <w:pPr>
              <w:jc w:val="center"/>
              <w:rPr>
                <w:rFonts w:ascii="Arial" w:hAnsi="Arial"/>
                <w:sz w:val="14"/>
              </w:rPr>
            </w:pPr>
          </w:p>
        </w:tc>
        <w:tc>
          <w:tcPr>
            <w:tcW w:w="120" w:type="pct"/>
            <w:vAlign w:val="center"/>
          </w:tcPr>
          <w:p w14:paraId="2BB3D588" w14:textId="77777777" w:rsidR="00F318A9" w:rsidRPr="00E123C3" w:rsidRDefault="00F318A9" w:rsidP="00F318A9">
            <w:pPr>
              <w:jc w:val="center"/>
              <w:rPr>
                <w:rFonts w:ascii="Arial" w:hAnsi="Arial"/>
                <w:sz w:val="14"/>
              </w:rPr>
            </w:pPr>
          </w:p>
        </w:tc>
        <w:tc>
          <w:tcPr>
            <w:tcW w:w="120" w:type="pct"/>
            <w:vAlign w:val="center"/>
          </w:tcPr>
          <w:p w14:paraId="2D138AA3" w14:textId="77777777" w:rsidR="00F318A9" w:rsidRPr="00E123C3" w:rsidRDefault="00F318A9" w:rsidP="00F318A9">
            <w:pPr>
              <w:jc w:val="center"/>
              <w:rPr>
                <w:rFonts w:ascii="Arial" w:hAnsi="Arial"/>
                <w:sz w:val="14"/>
              </w:rPr>
            </w:pPr>
          </w:p>
        </w:tc>
        <w:tc>
          <w:tcPr>
            <w:tcW w:w="120" w:type="pct"/>
            <w:vAlign w:val="center"/>
          </w:tcPr>
          <w:p w14:paraId="61BA6CF3" w14:textId="77777777" w:rsidR="00F318A9" w:rsidRPr="00E123C3" w:rsidRDefault="00F318A9" w:rsidP="00F318A9">
            <w:pPr>
              <w:jc w:val="center"/>
              <w:rPr>
                <w:rFonts w:ascii="Arial" w:hAnsi="Arial"/>
                <w:sz w:val="14"/>
              </w:rPr>
            </w:pPr>
          </w:p>
        </w:tc>
        <w:tc>
          <w:tcPr>
            <w:tcW w:w="120" w:type="pct"/>
            <w:vAlign w:val="center"/>
          </w:tcPr>
          <w:p w14:paraId="47F28908" w14:textId="77777777" w:rsidR="00F318A9" w:rsidRPr="00E123C3" w:rsidRDefault="00F318A9" w:rsidP="00F318A9">
            <w:pPr>
              <w:jc w:val="center"/>
              <w:rPr>
                <w:rFonts w:ascii="Arial" w:hAnsi="Arial"/>
                <w:sz w:val="14"/>
              </w:rPr>
            </w:pPr>
          </w:p>
        </w:tc>
        <w:tc>
          <w:tcPr>
            <w:tcW w:w="120" w:type="pct"/>
            <w:vAlign w:val="center"/>
          </w:tcPr>
          <w:p w14:paraId="3E7FE12E" w14:textId="77777777" w:rsidR="00F318A9" w:rsidRPr="00E123C3" w:rsidRDefault="00F318A9" w:rsidP="00F318A9">
            <w:pPr>
              <w:jc w:val="center"/>
              <w:rPr>
                <w:rFonts w:ascii="Arial" w:hAnsi="Arial"/>
                <w:sz w:val="14"/>
              </w:rPr>
            </w:pPr>
          </w:p>
        </w:tc>
      </w:tr>
      <w:tr w:rsidR="00F318A9" w:rsidRPr="00E123C3" w14:paraId="4E0F99E3" w14:textId="77777777" w:rsidTr="00F318A9">
        <w:trPr>
          <w:trHeight w:val="184"/>
          <w:jc w:val="center"/>
        </w:trPr>
        <w:tc>
          <w:tcPr>
            <w:tcW w:w="408" w:type="pct"/>
          </w:tcPr>
          <w:p w14:paraId="3B347451" w14:textId="77777777" w:rsidR="00F318A9" w:rsidRPr="00E123C3" w:rsidRDefault="00F318A9" w:rsidP="00F318A9">
            <w:pPr>
              <w:rPr>
                <w:rFonts w:ascii="Arial" w:hAnsi="Arial"/>
                <w:sz w:val="14"/>
              </w:rPr>
            </w:pPr>
            <w:r w:rsidRPr="00E123C3">
              <w:rPr>
                <w:rFonts w:ascii="Arial" w:hAnsi="Arial"/>
                <w:sz w:val="14"/>
              </w:rPr>
              <w:t xml:space="preserve">Outcome 3: </w:t>
            </w:r>
          </w:p>
          <w:p w14:paraId="665F1619" w14:textId="77777777" w:rsidR="00F318A9" w:rsidRPr="00E123C3" w:rsidRDefault="00F318A9" w:rsidP="00F318A9">
            <w:pPr>
              <w:rPr>
                <w:rFonts w:ascii="Arial" w:hAnsi="Arial"/>
                <w:sz w:val="14"/>
              </w:rPr>
            </w:pPr>
          </w:p>
          <w:p w14:paraId="68DFB2A4" w14:textId="77777777" w:rsidR="00F318A9" w:rsidRPr="00E123C3" w:rsidRDefault="00F318A9" w:rsidP="00F318A9">
            <w:pPr>
              <w:rPr>
                <w:rFonts w:ascii="Arial" w:hAnsi="Arial"/>
                <w:sz w:val="14"/>
              </w:rPr>
            </w:pPr>
            <w:r w:rsidRPr="00E123C3">
              <w:rPr>
                <w:rFonts w:ascii="Arial" w:hAnsi="Arial"/>
                <w:sz w:val="14"/>
              </w:rPr>
              <w:t>Institutional capacity and coordination mechanism in place to govern and coordinate climate actions and finance</w:t>
            </w:r>
          </w:p>
        </w:tc>
        <w:tc>
          <w:tcPr>
            <w:tcW w:w="408" w:type="pct"/>
          </w:tcPr>
          <w:p w14:paraId="68D53D8E" w14:textId="77777777" w:rsidR="00F318A9" w:rsidRPr="00E123C3" w:rsidRDefault="00F318A9" w:rsidP="00F318A9">
            <w:pPr>
              <w:rPr>
                <w:rFonts w:ascii="Arial" w:hAnsi="Arial"/>
                <w:sz w:val="14"/>
              </w:rPr>
            </w:pPr>
            <w:r w:rsidRPr="00E123C3">
              <w:rPr>
                <w:rFonts w:ascii="Arial" w:hAnsi="Arial"/>
                <w:sz w:val="14"/>
              </w:rPr>
              <w:t xml:space="preserve">Sub outcome 6 </w:t>
            </w:r>
          </w:p>
          <w:p w14:paraId="57A753B7" w14:textId="77777777" w:rsidR="00F318A9" w:rsidRPr="00E123C3" w:rsidRDefault="00F318A9" w:rsidP="00F318A9">
            <w:pPr>
              <w:rPr>
                <w:rFonts w:ascii="Arial" w:hAnsi="Arial"/>
                <w:sz w:val="14"/>
              </w:rPr>
            </w:pPr>
            <w:r w:rsidRPr="00E123C3">
              <w:rPr>
                <w:rFonts w:ascii="Arial" w:hAnsi="Arial"/>
                <w:sz w:val="14"/>
              </w:rPr>
              <w:t>Effective coordination mechanism between NDA and NDE for the UNFCCC Technology Mechanism and other climate focal points</w:t>
            </w:r>
          </w:p>
        </w:tc>
        <w:tc>
          <w:tcPr>
            <w:tcW w:w="459" w:type="pct"/>
          </w:tcPr>
          <w:p w14:paraId="4943793C" w14:textId="77777777" w:rsidR="00F318A9" w:rsidRPr="00E123C3" w:rsidRDefault="00F318A9" w:rsidP="00F318A9">
            <w:pPr>
              <w:rPr>
                <w:rFonts w:ascii="Arial" w:hAnsi="Arial"/>
                <w:sz w:val="14"/>
              </w:rPr>
            </w:pPr>
            <w:r w:rsidRPr="00E123C3">
              <w:rPr>
                <w:rFonts w:ascii="Arial" w:hAnsi="Arial"/>
                <w:sz w:val="14"/>
              </w:rPr>
              <w:t>1</w:t>
            </w:r>
          </w:p>
          <w:p w14:paraId="3C8EBFE6" w14:textId="77777777" w:rsidR="00F318A9" w:rsidRPr="00E123C3" w:rsidRDefault="00F318A9" w:rsidP="00F318A9">
            <w:pPr>
              <w:autoSpaceDE w:val="0"/>
              <w:autoSpaceDN w:val="0"/>
              <w:adjustRightInd w:val="0"/>
              <w:rPr>
                <w:rFonts w:ascii="Arial" w:hAnsi="Arial"/>
                <w:sz w:val="14"/>
              </w:rPr>
            </w:pPr>
            <w:r w:rsidRPr="00E123C3">
              <w:rPr>
                <w:rFonts w:ascii="Arial" w:hAnsi="Arial"/>
                <w:sz w:val="14"/>
              </w:rPr>
              <w:t xml:space="preserve">Communication initiated between NDA, NDE and </w:t>
            </w:r>
            <w:proofErr w:type="gramStart"/>
            <w:r w:rsidRPr="00E123C3">
              <w:rPr>
                <w:rFonts w:ascii="Arial" w:hAnsi="Arial"/>
                <w:sz w:val="14"/>
              </w:rPr>
              <w:t>other</w:t>
            </w:r>
            <w:proofErr w:type="gramEnd"/>
            <w:r w:rsidRPr="00E123C3">
              <w:rPr>
                <w:rFonts w:ascii="Arial" w:hAnsi="Arial"/>
                <w:sz w:val="14"/>
              </w:rPr>
              <w:t xml:space="preserve"> climate finance focal</w:t>
            </w:r>
          </w:p>
          <w:p w14:paraId="4B64B0DF" w14:textId="77777777" w:rsidR="00F318A9" w:rsidRPr="00E123C3" w:rsidRDefault="00F318A9" w:rsidP="00F318A9">
            <w:pPr>
              <w:rPr>
                <w:rFonts w:ascii="Arial" w:hAnsi="Arial"/>
                <w:sz w:val="14"/>
              </w:rPr>
            </w:pPr>
            <w:r w:rsidRPr="00E123C3">
              <w:rPr>
                <w:rFonts w:ascii="Arial" w:hAnsi="Arial"/>
                <w:sz w:val="14"/>
              </w:rPr>
              <w:t>points to identify points of coordination</w:t>
            </w:r>
          </w:p>
        </w:tc>
        <w:tc>
          <w:tcPr>
            <w:tcW w:w="557" w:type="pct"/>
          </w:tcPr>
          <w:p w14:paraId="70E23E70" w14:textId="77777777" w:rsidR="00F318A9" w:rsidRPr="00E123C3" w:rsidRDefault="00F318A9" w:rsidP="00F318A9">
            <w:pPr>
              <w:rPr>
                <w:rFonts w:ascii="Arial" w:hAnsi="Arial"/>
                <w:sz w:val="14"/>
              </w:rPr>
            </w:pPr>
            <w:r w:rsidRPr="00E123C3">
              <w:rPr>
                <w:rFonts w:ascii="Arial" w:hAnsi="Arial"/>
                <w:sz w:val="14"/>
              </w:rPr>
              <w:t>2</w:t>
            </w:r>
          </w:p>
          <w:p w14:paraId="32825051" w14:textId="77777777" w:rsidR="00F318A9" w:rsidRPr="00E123C3" w:rsidRDefault="00F318A9" w:rsidP="00F318A9">
            <w:pPr>
              <w:autoSpaceDE w:val="0"/>
              <w:autoSpaceDN w:val="0"/>
              <w:adjustRightInd w:val="0"/>
              <w:rPr>
                <w:rFonts w:ascii="Arial" w:hAnsi="Arial"/>
                <w:sz w:val="14"/>
              </w:rPr>
            </w:pPr>
            <w:r w:rsidRPr="00E123C3">
              <w:rPr>
                <w:rFonts w:ascii="Arial" w:hAnsi="Arial"/>
                <w:sz w:val="14"/>
              </w:rPr>
              <w:t xml:space="preserve">Agreements reached on coordination between NDA, NDE and </w:t>
            </w:r>
            <w:proofErr w:type="gramStart"/>
            <w:r w:rsidRPr="00E123C3">
              <w:rPr>
                <w:rFonts w:ascii="Arial" w:hAnsi="Arial"/>
                <w:sz w:val="14"/>
              </w:rPr>
              <w:t>other</w:t>
            </w:r>
            <w:proofErr w:type="gramEnd"/>
            <w:r w:rsidRPr="00E123C3">
              <w:rPr>
                <w:rFonts w:ascii="Arial" w:hAnsi="Arial"/>
                <w:sz w:val="14"/>
              </w:rPr>
              <w:t xml:space="preserve"> climate</w:t>
            </w:r>
          </w:p>
          <w:p w14:paraId="4C4FF031" w14:textId="77777777" w:rsidR="00F318A9" w:rsidRPr="00E123C3" w:rsidRDefault="00F318A9" w:rsidP="00F318A9">
            <w:pPr>
              <w:rPr>
                <w:rFonts w:ascii="Arial" w:hAnsi="Arial"/>
                <w:sz w:val="14"/>
              </w:rPr>
            </w:pPr>
            <w:r w:rsidRPr="00E123C3">
              <w:rPr>
                <w:rFonts w:ascii="Arial" w:hAnsi="Arial"/>
                <w:sz w:val="14"/>
              </w:rPr>
              <w:t>finance focal points.</w:t>
            </w:r>
          </w:p>
        </w:tc>
        <w:tc>
          <w:tcPr>
            <w:tcW w:w="1090" w:type="pct"/>
            <w:shd w:val="clear" w:color="auto" w:fill="FFFFFF" w:themeFill="background1"/>
          </w:tcPr>
          <w:p w14:paraId="31BE6D8E" w14:textId="77777777" w:rsidR="00F318A9" w:rsidRPr="005C22A9" w:rsidRDefault="00F318A9" w:rsidP="00F318A9">
            <w:pPr>
              <w:rPr>
                <w:rFonts w:ascii="Arial" w:hAnsi="Arial"/>
                <w:b/>
                <w:sz w:val="14"/>
              </w:rPr>
            </w:pPr>
            <w:r w:rsidRPr="005C22A9">
              <w:rPr>
                <w:rFonts w:ascii="Arial" w:hAnsi="Arial"/>
                <w:b/>
                <w:sz w:val="14"/>
              </w:rPr>
              <w:t>Output 6: Effective coordination between NDE and NDA for the implementation of the project and for future GCF projects</w:t>
            </w:r>
          </w:p>
          <w:p w14:paraId="717DADAF" w14:textId="77777777" w:rsidR="00F318A9" w:rsidRDefault="00F318A9" w:rsidP="00F318A9">
            <w:pPr>
              <w:rPr>
                <w:rFonts w:ascii="Arial" w:hAnsi="Arial"/>
                <w:sz w:val="14"/>
              </w:rPr>
            </w:pPr>
          </w:p>
          <w:p w14:paraId="7D7D0F40" w14:textId="77777777" w:rsidR="00F318A9" w:rsidRPr="00E123C3" w:rsidRDefault="00F318A9" w:rsidP="00F318A9">
            <w:pPr>
              <w:rPr>
                <w:rFonts w:ascii="Arial" w:hAnsi="Arial"/>
                <w:sz w:val="14"/>
              </w:rPr>
            </w:pPr>
            <w:r w:rsidRPr="00E123C3">
              <w:rPr>
                <w:rFonts w:ascii="Arial" w:hAnsi="Arial"/>
                <w:sz w:val="14"/>
              </w:rPr>
              <w:t>Activity 6.1: Coordination by the NDE. The NDE will be responsible for national level coordination for implementation of the activities. It will do so by calling meetings and following up on the schedule of activities.</w:t>
            </w:r>
          </w:p>
          <w:p w14:paraId="41BF140B" w14:textId="77777777" w:rsidR="00F318A9" w:rsidRPr="00E123C3" w:rsidRDefault="00F318A9" w:rsidP="00F318A9">
            <w:pPr>
              <w:rPr>
                <w:rFonts w:ascii="Arial" w:hAnsi="Arial"/>
                <w:sz w:val="14"/>
              </w:rPr>
            </w:pPr>
          </w:p>
          <w:p w14:paraId="5A70C555" w14:textId="77777777" w:rsidR="00F318A9" w:rsidRPr="00E123C3" w:rsidRDefault="00F318A9" w:rsidP="00F318A9">
            <w:pPr>
              <w:rPr>
                <w:rFonts w:ascii="Arial" w:hAnsi="Arial"/>
                <w:sz w:val="14"/>
              </w:rPr>
            </w:pPr>
            <w:r w:rsidRPr="00E123C3">
              <w:rPr>
                <w:rFonts w:ascii="Arial" w:hAnsi="Arial"/>
                <w:sz w:val="14"/>
              </w:rPr>
              <w:t xml:space="preserve">Deliverable 6.1: Monitoring plan, quarterly reports </w:t>
            </w:r>
          </w:p>
        </w:tc>
        <w:tc>
          <w:tcPr>
            <w:tcW w:w="97" w:type="pct"/>
            <w:shd w:val="clear" w:color="auto" w:fill="C5E0B3" w:themeFill="accent6" w:themeFillTint="66"/>
            <w:vAlign w:val="center"/>
          </w:tcPr>
          <w:p w14:paraId="334F37D4" w14:textId="77777777" w:rsidR="00F318A9" w:rsidRPr="00E123C3" w:rsidRDefault="00F318A9" w:rsidP="00F318A9">
            <w:pPr>
              <w:jc w:val="center"/>
              <w:rPr>
                <w:rFonts w:ascii="Arial" w:hAnsi="Arial"/>
                <w:sz w:val="14"/>
              </w:rPr>
            </w:pPr>
          </w:p>
        </w:tc>
        <w:tc>
          <w:tcPr>
            <w:tcW w:w="97" w:type="pct"/>
            <w:shd w:val="clear" w:color="auto" w:fill="C5E0B3" w:themeFill="accent6" w:themeFillTint="66"/>
            <w:vAlign w:val="center"/>
          </w:tcPr>
          <w:p w14:paraId="011D93B7"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66B882D5" w14:textId="77777777" w:rsidR="00F318A9" w:rsidRPr="00E123C3" w:rsidRDefault="00F318A9" w:rsidP="00F318A9">
            <w:pPr>
              <w:jc w:val="center"/>
              <w:rPr>
                <w:rFonts w:ascii="Arial" w:hAnsi="Arial"/>
                <w:sz w:val="14"/>
              </w:rPr>
            </w:pPr>
            <w:r w:rsidRPr="00E123C3">
              <w:rPr>
                <w:rFonts w:ascii="Arial" w:hAnsi="Arial"/>
                <w:sz w:val="14"/>
              </w:rPr>
              <w:t>X</w:t>
            </w:r>
          </w:p>
        </w:tc>
        <w:tc>
          <w:tcPr>
            <w:tcW w:w="97" w:type="pct"/>
            <w:shd w:val="clear" w:color="auto" w:fill="C5E0B3" w:themeFill="accent6" w:themeFillTint="66"/>
            <w:vAlign w:val="center"/>
          </w:tcPr>
          <w:p w14:paraId="4F801DCA"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0103AFB8"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0578D773"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shd w:val="clear" w:color="auto" w:fill="C5E0B3" w:themeFill="accent6" w:themeFillTint="66"/>
            <w:vAlign w:val="center"/>
          </w:tcPr>
          <w:p w14:paraId="07EE13B3"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53766C7C"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012CC34C"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shd w:val="clear" w:color="auto" w:fill="C5E0B3" w:themeFill="accent6" w:themeFillTint="66"/>
            <w:vAlign w:val="center"/>
          </w:tcPr>
          <w:p w14:paraId="2D4CF607"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7C8745F4"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6C939E0F" w14:textId="77777777" w:rsidR="00F318A9" w:rsidRPr="00E123C3" w:rsidRDefault="00F318A9" w:rsidP="00F318A9">
            <w:pPr>
              <w:jc w:val="center"/>
              <w:rPr>
                <w:rFonts w:ascii="Arial" w:hAnsi="Arial"/>
                <w:sz w:val="14"/>
              </w:rPr>
            </w:pPr>
            <w:r w:rsidRPr="00E123C3">
              <w:rPr>
                <w:rFonts w:ascii="Arial" w:hAnsi="Arial"/>
                <w:sz w:val="14"/>
              </w:rPr>
              <w:t>X</w:t>
            </w:r>
          </w:p>
        </w:tc>
        <w:tc>
          <w:tcPr>
            <w:tcW w:w="109" w:type="pct"/>
            <w:shd w:val="clear" w:color="auto" w:fill="C5E0B3" w:themeFill="accent6" w:themeFillTint="66"/>
            <w:vAlign w:val="center"/>
          </w:tcPr>
          <w:p w14:paraId="762383C8"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4B8383DF"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0F66D15D" w14:textId="77777777" w:rsidR="00F318A9" w:rsidRPr="00E123C3" w:rsidRDefault="00F318A9" w:rsidP="00F318A9">
            <w:pPr>
              <w:jc w:val="center"/>
              <w:rPr>
                <w:rFonts w:ascii="Arial" w:hAnsi="Arial"/>
                <w:sz w:val="14"/>
              </w:rPr>
            </w:pPr>
            <w:r w:rsidRPr="00E123C3">
              <w:rPr>
                <w:rFonts w:ascii="Arial" w:hAnsi="Arial"/>
                <w:sz w:val="14"/>
              </w:rPr>
              <w:t>X</w:t>
            </w:r>
          </w:p>
        </w:tc>
        <w:tc>
          <w:tcPr>
            <w:tcW w:w="120" w:type="pct"/>
            <w:shd w:val="clear" w:color="auto" w:fill="C5E0B3" w:themeFill="accent6" w:themeFillTint="66"/>
            <w:vAlign w:val="center"/>
          </w:tcPr>
          <w:p w14:paraId="767A9DF8"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590B3458" w14:textId="77777777" w:rsidR="00F318A9" w:rsidRPr="00E123C3" w:rsidRDefault="00F318A9" w:rsidP="00F318A9">
            <w:pPr>
              <w:jc w:val="center"/>
              <w:rPr>
                <w:rFonts w:ascii="Arial" w:hAnsi="Arial"/>
                <w:sz w:val="14"/>
              </w:rPr>
            </w:pPr>
          </w:p>
        </w:tc>
        <w:tc>
          <w:tcPr>
            <w:tcW w:w="120" w:type="pct"/>
            <w:shd w:val="clear" w:color="auto" w:fill="C5E0B3" w:themeFill="accent6" w:themeFillTint="66"/>
            <w:vAlign w:val="center"/>
          </w:tcPr>
          <w:p w14:paraId="1DE3FA8C" w14:textId="77777777" w:rsidR="00F318A9" w:rsidRPr="00E123C3" w:rsidRDefault="00F318A9" w:rsidP="00F318A9">
            <w:pPr>
              <w:jc w:val="center"/>
              <w:rPr>
                <w:rFonts w:ascii="Arial" w:hAnsi="Arial"/>
                <w:sz w:val="14"/>
              </w:rPr>
            </w:pPr>
            <w:r w:rsidRPr="00E123C3">
              <w:rPr>
                <w:rFonts w:ascii="Arial" w:hAnsi="Arial"/>
                <w:sz w:val="14"/>
              </w:rPr>
              <w:t>X</w:t>
            </w:r>
          </w:p>
        </w:tc>
      </w:tr>
    </w:tbl>
    <w:p w14:paraId="4419FBB1" w14:textId="77777777" w:rsidR="00F318A9" w:rsidRDefault="00F318A9"/>
    <w:p w14:paraId="36E8C519" w14:textId="77777777" w:rsidR="0082199A" w:rsidRDefault="0082199A" w:rsidP="00333326"/>
    <w:p w14:paraId="4B6CF321" w14:textId="70D50334" w:rsidR="0082199A" w:rsidRDefault="0082199A" w:rsidP="00333326">
      <w:pPr>
        <w:sectPr w:rsidR="0082199A" w:rsidSect="00B814AE">
          <w:headerReference w:type="first" r:id="rId26"/>
          <w:pgSz w:w="16838" w:h="11906" w:orient="landscape" w:code="9"/>
          <w:pgMar w:top="1440" w:right="1711" w:bottom="1440" w:left="1440" w:header="720" w:footer="407" w:gutter="0"/>
          <w:cols w:space="720"/>
          <w:titlePg/>
          <w:docGrid w:linePitch="360"/>
        </w:sectPr>
      </w:pPr>
    </w:p>
    <w:tbl>
      <w:tblPr>
        <w:tblW w:w="9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01"/>
      </w:tblGrid>
      <w:tr w:rsidR="00B81CCC" w:rsidRPr="007A7B9A" w14:paraId="575218BA" w14:textId="77777777" w:rsidTr="00035D76">
        <w:trPr>
          <w:trHeight w:val="497"/>
        </w:trPr>
        <w:tc>
          <w:tcPr>
            <w:tcW w:w="9101" w:type="dxa"/>
            <w:shd w:val="clear" w:color="auto" w:fill="24634F"/>
            <w:vAlign w:val="center"/>
          </w:tcPr>
          <w:p w14:paraId="7428ABC2" w14:textId="77777777" w:rsidR="00B81CCC" w:rsidRPr="007A7B9A" w:rsidRDefault="00B81CCC" w:rsidP="0082199A">
            <w:pPr>
              <w:pStyle w:val="ListParagraph"/>
              <w:keepNext/>
              <w:numPr>
                <w:ilvl w:val="0"/>
                <w:numId w:val="3"/>
              </w:numPr>
              <w:spacing w:after="0"/>
              <w:rPr>
                <w:rStyle w:val="IntenseReference"/>
                <w:rFonts w:ascii="Arial" w:hAnsi="Arial" w:cs="Arial"/>
                <w:smallCaps w:val="0"/>
                <w:color w:val="FFFFFF" w:themeColor="background1"/>
                <w:szCs w:val="24"/>
              </w:rPr>
            </w:pPr>
            <w:r w:rsidRPr="0001541A">
              <w:rPr>
                <w:rStyle w:val="IntenseReference"/>
                <w:rFonts w:ascii="Arial" w:hAnsi="Arial" w:cs="Arial"/>
                <w:color w:val="FFFFFF" w:themeColor="background1"/>
              </w:rPr>
              <w:lastRenderedPageBreak/>
              <w:t xml:space="preserve">ADDITIONAL INFORMATION </w:t>
            </w:r>
            <w:r>
              <w:rPr>
                <w:rStyle w:val="IntenseReference"/>
                <w:rFonts w:ascii="Arial" w:hAnsi="Arial" w:cs="Arial"/>
                <w:color w:val="FFFFFF" w:themeColor="background1"/>
              </w:rPr>
              <w:t>(</w:t>
            </w:r>
            <w:r w:rsidRPr="0001541A">
              <w:rPr>
                <w:rStyle w:val="IntenseReference"/>
                <w:rFonts w:ascii="Arial" w:hAnsi="Arial" w:cs="Arial"/>
                <w:color w:val="FFFFFF" w:themeColor="background1"/>
              </w:rPr>
              <w:t>ONLY FOR ADAPTATION PLANNING SUPPORT</w:t>
            </w:r>
            <w:r>
              <w:rPr>
                <w:rStyle w:val="IntenseReference"/>
                <w:rFonts w:ascii="Arial" w:hAnsi="Arial" w:cs="Arial"/>
                <w:color w:val="FFFFFF" w:themeColor="background1"/>
              </w:rPr>
              <w:t>)</w:t>
            </w:r>
          </w:p>
        </w:tc>
      </w:tr>
      <w:tr w:rsidR="00B81CCC" w:rsidRPr="000708BC" w14:paraId="194B06A5" w14:textId="77777777" w:rsidTr="00035D76">
        <w:trPr>
          <w:trHeight w:val="678"/>
        </w:trPr>
        <w:tc>
          <w:tcPr>
            <w:tcW w:w="9101" w:type="dxa"/>
            <w:vMerge w:val="restart"/>
            <w:tcBorders>
              <w:right w:val="single" w:sz="2" w:space="0" w:color="auto"/>
            </w:tcBorders>
            <w:shd w:val="clear" w:color="auto" w:fill="FFFFFF" w:themeFill="background1"/>
            <w:noWrap/>
          </w:tcPr>
          <w:p w14:paraId="038B7D1A" w14:textId="2EC4111F" w:rsidR="00B81CCC" w:rsidRPr="00967F8A" w:rsidRDefault="00B81CCC" w:rsidP="00035D76">
            <w:pPr>
              <w:spacing w:before="240" w:after="0" w:line="276" w:lineRule="auto"/>
              <w:ind w:right="-29"/>
              <w:rPr>
                <w:rFonts w:ascii="Arial" w:hAnsi="Arial" w:cs="Arial"/>
                <w:sz w:val="18"/>
                <w:szCs w:val="18"/>
              </w:rPr>
            </w:pPr>
            <w:r>
              <w:rPr>
                <w:rFonts w:ascii="Arial" w:hAnsi="Arial" w:cs="Arial"/>
                <w:sz w:val="18"/>
                <w:szCs w:val="18"/>
              </w:rPr>
              <w:t>Not applicable</w:t>
            </w:r>
          </w:p>
        </w:tc>
      </w:tr>
      <w:tr w:rsidR="00B81CCC" w:rsidRPr="009861A8" w14:paraId="408C5A48" w14:textId="77777777" w:rsidTr="00035D76">
        <w:trPr>
          <w:trHeight w:val="830"/>
        </w:trPr>
        <w:tc>
          <w:tcPr>
            <w:tcW w:w="9101" w:type="dxa"/>
            <w:vMerge/>
            <w:tcBorders>
              <w:right w:val="single" w:sz="2" w:space="0" w:color="auto"/>
            </w:tcBorders>
            <w:shd w:val="clear" w:color="auto" w:fill="FFFFFF" w:themeFill="background1"/>
            <w:noWrap/>
            <w:vAlign w:val="center"/>
          </w:tcPr>
          <w:p w14:paraId="6E4AA442" w14:textId="77777777" w:rsidR="00B81CCC" w:rsidRPr="009861A8" w:rsidRDefault="00B81CCC" w:rsidP="00035D76">
            <w:pPr>
              <w:keepNext/>
              <w:spacing w:before="60" w:after="60" w:line="240" w:lineRule="auto"/>
              <w:rPr>
                <w:rFonts w:ascii="Arial" w:eastAsia="Times New Roman" w:hAnsi="Arial" w:cs="Arial"/>
                <w:b/>
                <w:color w:val="24634F"/>
                <w:sz w:val="18"/>
                <w:szCs w:val="18"/>
                <w:lang w:eastAsia="ja-JP"/>
              </w:rPr>
            </w:pPr>
          </w:p>
        </w:tc>
      </w:tr>
      <w:tr w:rsidR="00B81CCC" w:rsidRPr="009861A8" w14:paraId="696BD49D" w14:textId="77777777" w:rsidTr="00035D76">
        <w:trPr>
          <w:trHeight w:val="830"/>
        </w:trPr>
        <w:tc>
          <w:tcPr>
            <w:tcW w:w="9101" w:type="dxa"/>
            <w:vMerge/>
            <w:tcBorders>
              <w:right w:val="single" w:sz="2" w:space="0" w:color="auto"/>
            </w:tcBorders>
            <w:shd w:val="clear" w:color="auto" w:fill="FFFFFF" w:themeFill="background1"/>
            <w:noWrap/>
            <w:vAlign w:val="center"/>
          </w:tcPr>
          <w:p w14:paraId="637061FB" w14:textId="77777777" w:rsidR="00B81CCC" w:rsidRPr="009861A8" w:rsidRDefault="00B81CCC" w:rsidP="00035D76">
            <w:pPr>
              <w:keepNext/>
              <w:spacing w:before="60" w:after="60" w:line="240" w:lineRule="auto"/>
              <w:rPr>
                <w:rFonts w:ascii="Arial" w:eastAsia="Times New Roman" w:hAnsi="Arial" w:cs="Arial"/>
                <w:b/>
                <w:color w:val="24634F"/>
                <w:sz w:val="18"/>
                <w:szCs w:val="18"/>
                <w:lang w:eastAsia="ja-JP"/>
              </w:rPr>
            </w:pPr>
          </w:p>
        </w:tc>
      </w:tr>
      <w:tr w:rsidR="00B81CCC" w:rsidRPr="009861A8" w14:paraId="6F6D4205" w14:textId="77777777" w:rsidTr="00035D76">
        <w:trPr>
          <w:trHeight w:val="830"/>
        </w:trPr>
        <w:tc>
          <w:tcPr>
            <w:tcW w:w="9101" w:type="dxa"/>
            <w:vMerge/>
            <w:tcBorders>
              <w:right w:val="single" w:sz="2" w:space="0" w:color="auto"/>
            </w:tcBorders>
            <w:shd w:val="clear" w:color="auto" w:fill="FFFFFF" w:themeFill="background1"/>
            <w:noWrap/>
            <w:vAlign w:val="center"/>
          </w:tcPr>
          <w:p w14:paraId="68C88398" w14:textId="77777777" w:rsidR="00B81CCC" w:rsidRPr="009861A8" w:rsidRDefault="00B81CCC" w:rsidP="00035D76">
            <w:pPr>
              <w:keepNext/>
              <w:spacing w:before="60" w:after="60" w:line="240" w:lineRule="auto"/>
              <w:rPr>
                <w:rFonts w:ascii="Arial" w:eastAsia="Times New Roman" w:hAnsi="Arial" w:cs="Arial"/>
                <w:b/>
                <w:color w:val="24634F"/>
                <w:sz w:val="18"/>
                <w:szCs w:val="18"/>
                <w:lang w:eastAsia="ja-JP"/>
              </w:rPr>
            </w:pPr>
          </w:p>
        </w:tc>
      </w:tr>
      <w:tr w:rsidR="00B81CCC" w:rsidRPr="009861A8" w14:paraId="5DBEA72F" w14:textId="77777777" w:rsidTr="00035D76">
        <w:trPr>
          <w:trHeight w:val="830"/>
        </w:trPr>
        <w:tc>
          <w:tcPr>
            <w:tcW w:w="9101" w:type="dxa"/>
            <w:vMerge/>
            <w:tcBorders>
              <w:right w:val="single" w:sz="2" w:space="0" w:color="auto"/>
            </w:tcBorders>
            <w:shd w:val="clear" w:color="auto" w:fill="FFFFFF" w:themeFill="background1"/>
            <w:noWrap/>
            <w:vAlign w:val="center"/>
          </w:tcPr>
          <w:p w14:paraId="4D8AB7EC" w14:textId="77777777" w:rsidR="00B81CCC" w:rsidRPr="009861A8" w:rsidRDefault="00B81CCC" w:rsidP="00035D76">
            <w:pPr>
              <w:keepNext/>
              <w:spacing w:before="60" w:after="60" w:line="240" w:lineRule="auto"/>
              <w:rPr>
                <w:rFonts w:ascii="Arial" w:eastAsia="Times New Roman" w:hAnsi="Arial" w:cs="Arial"/>
                <w:b/>
                <w:color w:val="24634F"/>
                <w:sz w:val="18"/>
                <w:szCs w:val="18"/>
                <w:lang w:eastAsia="ja-JP"/>
              </w:rPr>
            </w:pPr>
          </w:p>
        </w:tc>
      </w:tr>
      <w:tr w:rsidR="00B81CCC" w:rsidRPr="009861A8" w14:paraId="5B4369E9" w14:textId="77777777" w:rsidTr="00035D76">
        <w:trPr>
          <w:trHeight w:val="830"/>
        </w:trPr>
        <w:tc>
          <w:tcPr>
            <w:tcW w:w="9101" w:type="dxa"/>
            <w:vMerge/>
            <w:tcBorders>
              <w:right w:val="single" w:sz="2" w:space="0" w:color="auto"/>
            </w:tcBorders>
            <w:shd w:val="clear" w:color="auto" w:fill="FFFFFF" w:themeFill="background1"/>
            <w:noWrap/>
            <w:vAlign w:val="center"/>
          </w:tcPr>
          <w:p w14:paraId="762096BB" w14:textId="77777777" w:rsidR="00B81CCC" w:rsidRPr="009861A8" w:rsidRDefault="00B81CCC" w:rsidP="00035D76">
            <w:pPr>
              <w:keepNext/>
              <w:spacing w:before="60" w:after="60" w:line="240" w:lineRule="auto"/>
              <w:rPr>
                <w:rFonts w:ascii="Arial" w:eastAsia="Times New Roman" w:hAnsi="Arial" w:cs="Arial"/>
                <w:b/>
                <w:color w:val="24634F"/>
                <w:sz w:val="18"/>
                <w:szCs w:val="18"/>
                <w:lang w:eastAsia="ja-JP"/>
              </w:rPr>
            </w:pPr>
          </w:p>
        </w:tc>
      </w:tr>
      <w:tr w:rsidR="00B81CCC" w:rsidRPr="009861A8" w14:paraId="57403D7E" w14:textId="77777777" w:rsidTr="00035D76">
        <w:trPr>
          <w:trHeight w:val="830"/>
        </w:trPr>
        <w:tc>
          <w:tcPr>
            <w:tcW w:w="9101" w:type="dxa"/>
            <w:vMerge/>
            <w:tcBorders>
              <w:right w:val="single" w:sz="2" w:space="0" w:color="auto"/>
            </w:tcBorders>
            <w:shd w:val="clear" w:color="auto" w:fill="FFFFFF" w:themeFill="background1"/>
            <w:noWrap/>
            <w:vAlign w:val="center"/>
          </w:tcPr>
          <w:p w14:paraId="4442F1BA" w14:textId="77777777" w:rsidR="00B81CCC" w:rsidRPr="009861A8" w:rsidRDefault="00B81CCC" w:rsidP="00035D76">
            <w:pPr>
              <w:keepNext/>
              <w:spacing w:before="60" w:after="60" w:line="240" w:lineRule="auto"/>
              <w:rPr>
                <w:rFonts w:ascii="Arial" w:eastAsia="Times New Roman" w:hAnsi="Arial" w:cs="Arial"/>
                <w:b/>
                <w:color w:val="24634F"/>
                <w:sz w:val="18"/>
                <w:szCs w:val="18"/>
                <w:lang w:eastAsia="ja-JP"/>
              </w:rPr>
            </w:pPr>
          </w:p>
        </w:tc>
      </w:tr>
      <w:tr w:rsidR="00B81CCC" w:rsidRPr="009861A8" w14:paraId="1DE32154" w14:textId="77777777" w:rsidTr="00035D76">
        <w:trPr>
          <w:trHeight w:val="830"/>
        </w:trPr>
        <w:tc>
          <w:tcPr>
            <w:tcW w:w="9101" w:type="dxa"/>
            <w:vMerge/>
            <w:tcBorders>
              <w:right w:val="single" w:sz="2" w:space="0" w:color="auto"/>
            </w:tcBorders>
            <w:shd w:val="clear" w:color="auto" w:fill="FFFFFF" w:themeFill="background1"/>
            <w:noWrap/>
            <w:vAlign w:val="center"/>
          </w:tcPr>
          <w:p w14:paraId="5683EB35" w14:textId="77777777" w:rsidR="00B81CCC" w:rsidRPr="009861A8" w:rsidRDefault="00B81CCC" w:rsidP="00035D76">
            <w:pPr>
              <w:keepNext/>
              <w:spacing w:before="60" w:after="60" w:line="240" w:lineRule="auto"/>
              <w:rPr>
                <w:rFonts w:ascii="Arial" w:eastAsia="Times New Roman" w:hAnsi="Arial" w:cs="Arial"/>
                <w:b/>
                <w:color w:val="24634F"/>
                <w:sz w:val="18"/>
                <w:szCs w:val="18"/>
                <w:lang w:eastAsia="ja-JP"/>
              </w:rPr>
            </w:pPr>
          </w:p>
        </w:tc>
      </w:tr>
    </w:tbl>
    <w:p w14:paraId="2D825B86" w14:textId="77777777" w:rsidR="00B81CCC" w:rsidRDefault="00B81CCC" w:rsidP="00B81CCC"/>
    <w:p w14:paraId="7CFDEC82" w14:textId="77777777" w:rsidR="00B81CCC" w:rsidRDefault="00B81CCC" w:rsidP="00B81CCC">
      <w:pPr>
        <w:sectPr w:rsidR="00B81CCC" w:rsidSect="00E10DA9">
          <w:pgSz w:w="11906" w:h="16838" w:code="9"/>
          <w:pgMar w:top="1711" w:right="1440" w:bottom="1440" w:left="1440" w:header="720" w:footer="407" w:gutter="0"/>
          <w:cols w:space="720"/>
          <w:titlePg/>
          <w:docGrid w:linePitch="360"/>
        </w:sectPr>
      </w:pPr>
    </w:p>
    <w:tbl>
      <w:tblPr>
        <w:tblW w:w="9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01"/>
      </w:tblGrid>
      <w:tr w:rsidR="00B81CCC" w:rsidRPr="007A7B9A" w14:paraId="7436E631" w14:textId="77777777" w:rsidTr="00035D76">
        <w:trPr>
          <w:trHeight w:val="497"/>
        </w:trPr>
        <w:tc>
          <w:tcPr>
            <w:tcW w:w="9101" w:type="dxa"/>
            <w:shd w:val="clear" w:color="auto" w:fill="24634F"/>
            <w:vAlign w:val="center"/>
          </w:tcPr>
          <w:p w14:paraId="34672659" w14:textId="77777777" w:rsidR="00B81CCC" w:rsidRPr="007A7B9A" w:rsidRDefault="00B81CCC" w:rsidP="0082199A">
            <w:pPr>
              <w:pStyle w:val="ListParagraph"/>
              <w:keepNext/>
              <w:numPr>
                <w:ilvl w:val="0"/>
                <w:numId w:val="3"/>
              </w:numPr>
              <w:spacing w:after="0"/>
              <w:rPr>
                <w:rStyle w:val="IntenseReference"/>
                <w:rFonts w:ascii="Arial" w:hAnsi="Arial" w:cs="Arial"/>
                <w:smallCaps w:val="0"/>
                <w:color w:val="FFFFFF" w:themeColor="background1"/>
                <w:szCs w:val="24"/>
              </w:rPr>
            </w:pPr>
            <w:r w:rsidRPr="00406DBE">
              <w:rPr>
                <w:rStyle w:val="IntenseReference"/>
                <w:rFonts w:ascii="Arial" w:hAnsi="Arial" w:cs="Arial"/>
                <w:color w:val="FFFFFF" w:themeColor="background1"/>
              </w:rPr>
              <w:lastRenderedPageBreak/>
              <w:t>BUDGET, PROCUREMENT, IMPLEMENTATION, AND DISBURSEMENT</w:t>
            </w:r>
          </w:p>
        </w:tc>
      </w:tr>
    </w:tbl>
    <w:p w14:paraId="7929D90A" w14:textId="77777777" w:rsidR="00B81CCC" w:rsidRDefault="00B81CCC" w:rsidP="00B81CCC">
      <w:pPr>
        <w:spacing w:before="60" w:after="60" w:line="360" w:lineRule="auto"/>
        <w:contextualSpacing/>
      </w:pPr>
    </w:p>
    <w:p w14:paraId="55783C8F" w14:textId="77777777" w:rsidR="00B81CCC" w:rsidRPr="0021416B" w:rsidDel="00F67713" w:rsidRDefault="00B81CCC" w:rsidP="00B81CCC">
      <w:pPr>
        <w:spacing w:before="60" w:after="60" w:line="276" w:lineRule="auto"/>
        <w:contextualSpacing/>
        <w:rPr>
          <w:rFonts w:ascii="Arial" w:hAnsi="Arial" w:cs="Arial"/>
          <w:b/>
          <w:color w:val="24634F"/>
          <w:sz w:val="18"/>
          <w:szCs w:val="18"/>
        </w:rPr>
      </w:pPr>
      <w:r w:rsidRPr="0021416B" w:rsidDel="00F67713">
        <w:rPr>
          <w:rFonts w:ascii="Arial" w:hAnsi="Arial" w:cs="Arial"/>
          <w:b/>
          <w:color w:val="24634F"/>
          <w:sz w:val="18"/>
          <w:szCs w:val="18"/>
        </w:rPr>
        <w:t xml:space="preserve">5.1 Budget </w:t>
      </w:r>
      <w:r>
        <w:rPr>
          <w:rFonts w:ascii="Arial" w:hAnsi="Arial" w:cs="Arial"/>
          <w:b/>
          <w:color w:val="24634F"/>
          <w:sz w:val="18"/>
          <w:szCs w:val="18"/>
        </w:rPr>
        <w:t>p</w:t>
      </w:r>
      <w:r w:rsidRPr="0021416B" w:rsidDel="00F67713">
        <w:rPr>
          <w:rFonts w:ascii="Arial" w:hAnsi="Arial" w:cs="Arial"/>
          <w:b/>
          <w:color w:val="24634F"/>
          <w:sz w:val="18"/>
          <w:szCs w:val="18"/>
        </w:rPr>
        <w:t>lan</w:t>
      </w:r>
    </w:p>
    <w:p w14:paraId="2C68E54C" w14:textId="4F3161B6" w:rsidR="00B81CCC" w:rsidRDefault="00B81CCC" w:rsidP="00B81CCC">
      <w:pPr>
        <w:spacing w:before="60" w:after="60" w:line="276" w:lineRule="auto"/>
        <w:contextualSpacing/>
        <w:rPr>
          <w:rFonts w:ascii="Arial" w:hAnsi="Arial" w:cs="Arial"/>
          <w:sz w:val="18"/>
          <w:szCs w:val="18"/>
        </w:rPr>
      </w:pPr>
    </w:p>
    <w:p w14:paraId="347E5970" w14:textId="2AFD5043" w:rsidR="00B81CCC" w:rsidRDefault="00B81CCC" w:rsidP="00B81CCC">
      <w:pPr>
        <w:spacing w:before="60" w:after="60" w:line="276" w:lineRule="auto"/>
        <w:contextualSpacing/>
        <w:rPr>
          <w:rFonts w:ascii="Arial" w:hAnsi="Arial" w:cs="Arial"/>
          <w:sz w:val="18"/>
          <w:szCs w:val="18"/>
        </w:rPr>
      </w:pPr>
      <w:r>
        <w:rPr>
          <w:rFonts w:ascii="Arial" w:hAnsi="Arial" w:cs="Arial"/>
          <w:sz w:val="18"/>
          <w:szCs w:val="18"/>
        </w:rPr>
        <w:t>See Excel file attached</w:t>
      </w:r>
      <w:r w:rsidR="004D3F21">
        <w:rPr>
          <w:rFonts w:ascii="Arial" w:hAnsi="Arial" w:cs="Arial"/>
          <w:sz w:val="18"/>
          <w:szCs w:val="18"/>
        </w:rPr>
        <w:t>.</w:t>
      </w:r>
    </w:p>
    <w:p w14:paraId="52FCE125" w14:textId="797191A7" w:rsidR="004D3F21" w:rsidRDefault="00854A76" w:rsidP="00B81CCC">
      <w:pPr>
        <w:spacing w:before="60" w:after="60" w:line="276" w:lineRule="auto"/>
        <w:contextualSpacing/>
        <w:rPr>
          <w:rFonts w:ascii="Arial" w:hAnsi="Arial" w:cs="Arial"/>
          <w:sz w:val="18"/>
          <w:szCs w:val="18"/>
        </w:rPr>
      </w:pPr>
      <w:r w:rsidRPr="00854A76">
        <w:rPr>
          <w:rFonts w:ascii="Arial" w:hAnsi="Arial" w:cs="Arial"/>
          <w:noProof/>
          <w:sz w:val="18"/>
          <w:szCs w:val="18"/>
        </w:rPr>
        <w:lastRenderedPageBreak/>
        <w:drawing>
          <wp:inline distT="0" distB="0" distL="0" distR="0" wp14:anchorId="3FD85BF6" wp14:editId="611839E3">
            <wp:extent cx="4920615" cy="86912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20615" cy="8691245"/>
                    </a:xfrm>
                    <a:prstGeom prst="rect">
                      <a:avLst/>
                    </a:prstGeom>
                    <a:noFill/>
                    <a:ln>
                      <a:noFill/>
                    </a:ln>
                  </pic:spPr>
                </pic:pic>
              </a:graphicData>
            </a:graphic>
          </wp:inline>
        </w:drawing>
      </w:r>
    </w:p>
    <w:p w14:paraId="44A9695B" w14:textId="319D8FBD" w:rsidR="004D3F21" w:rsidRPr="00FA5F25" w:rsidRDefault="004D3F21" w:rsidP="004D3F21">
      <w:pPr>
        <w:tabs>
          <w:tab w:val="left" w:pos="9072"/>
        </w:tabs>
        <w:spacing w:line="240" w:lineRule="auto"/>
        <w:jc w:val="both"/>
        <w:rPr>
          <w:rFonts w:ascii="Arial" w:hAnsi="Arial" w:cs="Arial"/>
          <w:sz w:val="18"/>
          <w:szCs w:val="18"/>
          <w:lang w:eastAsia="en-GB"/>
        </w:rPr>
      </w:pPr>
      <w:r w:rsidRPr="00FA5F25">
        <w:rPr>
          <w:rFonts w:ascii="Arial" w:hAnsi="Arial" w:cs="Arial"/>
          <w:sz w:val="18"/>
          <w:szCs w:val="18"/>
          <w:lang w:eastAsia="en-GB"/>
        </w:rPr>
        <w:lastRenderedPageBreak/>
        <w:t>CTCN will be selecting the executing agency through a competitive tender process, evaluating complete technical and financial offers for the execution of the technical assistance. Due to the tendering process, the total budget might be different compared to the one approved by the GCF, being the latter the upper limit.</w:t>
      </w:r>
    </w:p>
    <w:p w14:paraId="323B9982" w14:textId="77777777" w:rsidR="004D3F21" w:rsidRPr="00FA5F25" w:rsidRDefault="004D3F21" w:rsidP="004D3F21">
      <w:pPr>
        <w:tabs>
          <w:tab w:val="left" w:pos="9072"/>
        </w:tabs>
        <w:spacing w:line="240" w:lineRule="auto"/>
        <w:jc w:val="both"/>
        <w:rPr>
          <w:rFonts w:ascii="Arial" w:hAnsi="Arial" w:cs="Arial"/>
          <w:sz w:val="18"/>
          <w:szCs w:val="18"/>
          <w:lang w:eastAsia="en-GB"/>
        </w:rPr>
      </w:pPr>
      <w:r w:rsidRPr="00FA5F25">
        <w:rPr>
          <w:rFonts w:ascii="Arial" w:hAnsi="Arial" w:cs="Arial"/>
          <w:sz w:val="18"/>
          <w:szCs w:val="18"/>
          <w:lang w:eastAsia="en-GB"/>
        </w:rPr>
        <w:t>Within CTCN technical assistance a minimum amount of 1% of total budget is dedicated to gender mainstreaming, assuring that the gender topic is properly embedded into the technical analysis.</w:t>
      </w:r>
    </w:p>
    <w:p w14:paraId="30800232" w14:textId="77777777" w:rsidR="00B81CCC" w:rsidRPr="00001D5D" w:rsidRDefault="00B81CCC" w:rsidP="00B81CCC">
      <w:pPr>
        <w:spacing w:before="60" w:after="60" w:line="276" w:lineRule="auto"/>
        <w:contextualSpacing/>
        <w:rPr>
          <w:rFonts w:ascii="Arial" w:hAnsi="Arial" w:cs="Arial"/>
          <w:sz w:val="18"/>
          <w:szCs w:val="18"/>
        </w:rPr>
      </w:pPr>
    </w:p>
    <w:p w14:paraId="39E0FBFA" w14:textId="77777777" w:rsidR="00B81CCC" w:rsidRPr="0021416B" w:rsidRDefault="00B81CCC" w:rsidP="00B81CCC">
      <w:pPr>
        <w:spacing w:before="60" w:after="60" w:line="276" w:lineRule="auto"/>
        <w:contextualSpacing/>
        <w:rPr>
          <w:rFonts w:ascii="Arial" w:hAnsi="Arial" w:cs="Arial"/>
          <w:b/>
          <w:color w:val="24634F"/>
          <w:sz w:val="18"/>
          <w:szCs w:val="18"/>
        </w:rPr>
      </w:pPr>
      <w:r w:rsidRPr="0021416B">
        <w:rPr>
          <w:rFonts w:ascii="Arial" w:hAnsi="Arial" w:cs="Arial"/>
          <w:b/>
          <w:color w:val="24634F"/>
          <w:sz w:val="18"/>
          <w:szCs w:val="18"/>
        </w:rPr>
        <w:t xml:space="preserve">5.2 Procurement </w:t>
      </w:r>
      <w:r>
        <w:rPr>
          <w:rFonts w:ascii="Arial" w:hAnsi="Arial" w:cs="Arial"/>
          <w:b/>
          <w:color w:val="24634F"/>
          <w:sz w:val="18"/>
          <w:szCs w:val="18"/>
        </w:rPr>
        <w:t>p</w:t>
      </w:r>
      <w:r w:rsidRPr="0021416B">
        <w:rPr>
          <w:rFonts w:ascii="Arial" w:hAnsi="Arial" w:cs="Arial"/>
          <w:b/>
          <w:color w:val="24634F"/>
          <w:sz w:val="18"/>
          <w:szCs w:val="18"/>
        </w:rPr>
        <w:t>lan</w:t>
      </w:r>
    </w:p>
    <w:p w14:paraId="4DA363F6" w14:textId="77777777" w:rsidR="00B81CCC" w:rsidRDefault="00B81CCC" w:rsidP="00B81CCC">
      <w:pPr>
        <w:spacing w:before="60" w:after="60" w:line="276" w:lineRule="auto"/>
        <w:contextualSpacing/>
        <w:rPr>
          <w:rFonts w:ascii="Arial" w:hAnsi="Arial" w:cs="Arial"/>
          <w:sz w:val="18"/>
          <w:szCs w:val="18"/>
        </w:rPr>
      </w:pPr>
    </w:p>
    <w:p w14:paraId="259F9227" w14:textId="73B42A47" w:rsidR="004D3F21" w:rsidRDefault="00B81CCC" w:rsidP="00B81CCC">
      <w:pPr>
        <w:spacing w:before="60" w:after="60" w:line="276" w:lineRule="auto"/>
        <w:contextualSpacing/>
        <w:rPr>
          <w:rFonts w:ascii="Arial" w:hAnsi="Arial" w:cs="Arial"/>
          <w:sz w:val="18"/>
          <w:szCs w:val="18"/>
        </w:rPr>
      </w:pPr>
      <w:r>
        <w:rPr>
          <w:rFonts w:ascii="Arial" w:hAnsi="Arial" w:cs="Arial"/>
          <w:sz w:val="18"/>
          <w:szCs w:val="18"/>
        </w:rPr>
        <w:t>Please see Excel file attached.</w:t>
      </w:r>
    </w:p>
    <w:p w14:paraId="349F63BC" w14:textId="4B1B9A01" w:rsidR="004D3F21" w:rsidRDefault="00854A76" w:rsidP="004D3F21">
      <w:pPr>
        <w:spacing w:after="0" w:line="240" w:lineRule="auto"/>
        <w:contextualSpacing/>
        <w:rPr>
          <w:rFonts w:ascii="Arial" w:hAnsi="Arial" w:cs="Arial"/>
          <w:sz w:val="18"/>
          <w:szCs w:val="18"/>
        </w:rPr>
      </w:pPr>
      <w:r w:rsidRPr="00854A76">
        <w:rPr>
          <w:rFonts w:ascii="Arial" w:hAnsi="Arial" w:cs="Arial"/>
          <w:noProof/>
          <w:sz w:val="18"/>
          <w:szCs w:val="18"/>
        </w:rPr>
        <w:drawing>
          <wp:inline distT="0" distB="0" distL="0" distR="0" wp14:anchorId="473F7169" wp14:editId="788069C8">
            <wp:extent cx="5731510" cy="246507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31510" cy="2465070"/>
                    </a:xfrm>
                    <a:prstGeom prst="rect">
                      <a:avLst/>
                    </a:prstGeom>
                    <a:noFill/>
                    <a:ln>
                      <a:noFill/>
                    </a:ln>
                  </pic:spPr>
                </pic:pic>
              </a:graphicData>
            </a:graphic>
          </wp:inline>
        </w:drawing>
      </w:r>
    </w:p>
    <w:p w14:paraId="76B1953C" w14:textId="7CC61E36" w:rsidR="00F318A9" w:rsidRDefault="00F318A9" w:rsidP="004D3F21">
      <w:pPr>
        <w:spacing w:after="0" w:line="240" w:lineRule="auto"/>
        <w:contextualSpacing/>
        <w:rPr>
          <w:rFonts w:ascii="Arial" w:hAnsi="Arial" w:cs="Arial"/>
          <w:sz w:val="18"/>
          <w:szCs w:val="18"/>
        </w:rPr>
      </w:pPr>
    </w:p>
    <w:p w14:paraId="2DDC6CC9" w14:textId="77777777" w:rsidR="00F318A9" w:rsidRPr="00FA5F25" w:rsidRDefault="00F318A9" w:rsidP="004D3F21">
      <w:pPr>
        <w:spacing w:after="0" w:line="240" w:lineRule="auto"/>
        <w:contextualSpacing/>
        <w:rPr>
          <w:rFonts w:ascii="Arial" w:hAnsi="Arial" w:cs="Arial"/>
          <w:sz w:val="18"/>
          <w:szCs w:val="18"/>
        </w:rPr>
      </w:pPr>
    </w:p>
    <w:p w14:paraId="5A91761F" w14:textId="77777777" w:rsidR="005B0EEA" w:rsidRDefault="005B0EEA" w:rsidP="005B0EEA">
      <w:pPr>
        <w:ind w:right="-28"/>
        <w:rPr>
          <w:rFonts w:ascii="Arial" w:hAnsi="Arial" w:cs="Arial"/>
          <w:sz w:val="18"/>
          <w:lang w:eastAsia="en-GB"/>
        </w:rPr>
      </w:pPr>
      <w:r w:rsidRPr="00B50601">
        <w:rPr>
          <w:rFonts w:ascii="Arial" w:hAnsi="Arial" w:cs="Arial"/>
          <w:sz w:val="18"/>
          <w:lang w:eastAsia="en-GB"/>
        </w:rPr>
        <w:t>Overall financial management and procurement of goods and services under this readiness and preparatory support proposal will</w:t>
      </w:r>
      <w:r>
        <w:rPr>
          <w:rFonts w:ascii="Arial" w:hAnsi="Arial" w:cs="Arial"/>
          <w:sz w:val="18"/>
          <w:lang w:eastAsia="en-GB"/>
        </w:rPr>
        <w:t xml:space="preserve"> </w:t>
      </w:r>
      <w:r w:rsidRPr="00B50601">
        <w:rPr>
          <w:rFonts w:ascii="Arial" w:hAnsi="Arial" w:cs="Arial"/>
          <w:sz w:val="18"/>
          <w:lang w:eastAsia="en-GB"/>
        </w:rPr>
        <w:t>be guided by UN regulations, rules, policies and procedures. Further, procurement of goods and services will follow the general</w:t>
      </w:r>
      <w:r>
        <w:rPr>
          <w:rFonts w:ascii="Arial" w:hAnsi="Arial" w:cs="Arial"/>
          <w:sz w:val="18"/>
          <w:lang w:eastAsia="en-GB"/>
        </w:rPr>
        <w:t xml:space="preserve"> </w:t>
      </w:r>
      <w:r w:rsidRPr="00B50601">
        <w:rPr>
          <w:rFonts w:ascii="Arial" w:hAnsi="Arial" w:cs="Arial"/>
          <w:sz w:val="18"/>
          <w:lang w:eastAsia="en-GB"/>
        </w:rPr>
        <w:t>principles stated under clause 7 of Framework Readiness and Preparatory Support Grant Agreement (Framework Agreement)</w:t>
      </w:r>
      <w:r>
        <w:rPr>
          <w:rFonts w:ascii="Arial" w:hAnsi="Arial" w:cs="Arial"/>
          <w:sz w:val="18"/>
          <w:lang w:eastAsia="en-GB"/>
        </w:rPr>
        <w:t xml:space="preserve"> </w:t>
      </w:r>
      <w:r w:rsidRPr="00B50601">
        <w:rPr>
          <w:rFonts w:ascii="Arial" w:hAnsi="Arial" w:cs="Arial"/>
          <w:sz w:val="18"/>
          <w:lang w:eastAsia="en-GB"/>
        </w:rPr>
        <w:t>between Green Climate Fund (GCF) and UN Environment. UN Environment will comply with its obligation under clause 7(a) of the</w:t>
      </w:r>
      <w:r>
        <w:rPr>
          <w:rFonts w:ascii="Arial" w:hAnsi="Arial" w:cs="Arial"/>
          <w:sz w:val="18"/>
          <w:lang w:eastAsia="en-GB"/>
        </w:rPr>
        <w:t xml:space="preserve"> </w:t>
      </w:r>
      <w:r w:rsidRPr="00B50601">
        <w:rPr>
          <w:rFonts w:ascii="Arial" w:hAnsi="Arial" w:cs="Arial"/>
          <w:sz w:val="18"/>
          <w:lang w:eastAsia="en-GB"/>
        </w:rPr>
        <w:t>Framework Agreement, which states “The procurement of Goods and Services for Approved Readiness Support Proposals,</w:t>
      </w:r>
      <w:r>
        <w:rPr>
          <w:rFonts w:ascii="Arial" w:hAnsi="Arial" w:cs="Arial"/>
          <w:sz w:val="18"/>
          <w:lang w:eastAsia="en-GB"/>
        </w:rPr>
        <w:t xml:space="preserve"> </w:t>
      </w:r>
      <w:r w:rsidRPr="00B50601">
        <w:rPr>
          <w:rFonts w:ascii="Arial" w:hAnsi="Arial" w:cs="Arial"/>
          <w:sz w:val="18"/>
          <w:lang w:eastAsia="en-GB"/>
        </w:rPr>
        <w:t>whether by the Delivery Partner or by a third party, shall be done in accordance with the rules, policies and procedures of the</w:t>
      </w:r>
      <w:r>
        <w:rPr>
          <w:rFonts w:ascii="Arial" w:hAnsi="Arial" w:cs="Arial"/>
          <w:sz w:val="18"/>
          <w:lang w:eastAsia="en-GB"/>
        </w:rPr>
        <w:t xml:space="preserve"> </w:t>
      </w:r>
      <w:r w:rsidRPr="00B50601">
        <w:rPr>
          <w:rFonts w:ascii="Arial" w:hAnsi="Arial" w:cs="Arial"/>
          <w:sz w:val="18"/>
          <w:lang w:eastAsia="en-GB"/>
        </w:rPr>
        <w:t>Delivery Partner.</w:t>
      </w:r>
    </w:p>
    <w:p w14:paraId="196D75D4" w14:textId="77777777" w:rsidR="005B0EEA" w:rsidRDefault="005B0EEA" w:rsidP="005B0EEA">
      <w:pPr>
        <w:ind w:right="-28"/>
        <w:rPr>
          <w:rFonts w:ascii="Arial" w:hAnsi="Arial" w:cs="Arial"/>
          <w:sz w:val="18"/>
          <w:lang w:eastAsia="en-GB"/>
        </w:rPr>
      </w:pPr>
      <w:r w:rsidRPr="00B50601">
        <w:rPr>
          <w:rFonts w:ascii="Arial" w:hAnsi="Arial" w:cs="Arial"/>
          <w:sz w:val="18"/>
          <w:lang w:eastAsia="en-GB"/>
        </w:rPr>
        <w:t>UN Environment will be responsible for the implementation of the readiness activities and for</w:t>
      </w:r>
      <w:r>
        <w:rPr>
          <w:rFonts w:ascii="Arial" w:hAnsi="Arial" w:cs="Arial"/>
          <w:sz w:val="18"/>
          <w:lang w:eastAsia="en-GB"/>
        </w:rPr>
        <w:t xml:space="preserve"> </w:t>
      </w:r>
      <w:r w:rsidRPr="00B50601">
        <w:rPr>
          <w:rFonts w:ascii="Arial" w:hAnsi="Arial" w:cs="Arial"/>
          <w:sz w:val="18"/>
          <w:lang w:eastAsia="en-GB"/>
        </w:rPr>
        <w:t>procurement and contractual services, as well as reporting on the progress of this implementation in close coordination and</w:t>
      </w:r>
      <w:r>
        <w:rPr>
          <w:rFonts w:ascii="Arial" w:hAnsi="Arial" w:cs="Arial"/>
          <w:sz w:val="18"/>
          <w:lang w:eastAsia="en-GB"/>
        </w:rPr>
        <w:t xml:space="preserve"> </w:t>
      </w:r>
      <w:r w:rsidRPr="00B50601">
        <w:rPr>
          <w:rFonts w:ascii="Arial" w:hAnsi="Arial" w:cs="Arial"/>
          <w:sz w:val="18"/>
          <w:lang w:eastAsia="en-GB"/>
        </w:rPr>
        <w:t>strategic guidance from the NDA/FP. The procurement actions and the operational services will be carried forward in accordance</w:t>
      </w:r>
      <w:r>
        <w:rPr>
          <w:rFonts w:ascii="Arial" w:hAnsi="Arial" w:cs="Arial"/>
          <w:sz w:val="18"/>
          <w:lang w:eastAsia="en-GB"/>
        </w:rPr>
        <w:t xml:space="preserve"> </w:t>
      </w:r>
      <w:r w:rsidRPr="00B50601">
        <w:rPr>
          <w:rFonts w:ascii="Arial" w:hAnsi="Arial" w:cs="Arial"/>
          <w:sz w:val="18"/>
          <w:lang w:eastAsia="en-GB"/>
        </w:rPr>
        <w:t>with UN Environment policies and procurement guidelines as agreed under the Framework Readiness and Preparatory Support</w:t>
      </w:r>
      <w:r>
        <w:rPr>
          <w:rFonts w:ascii="Arial" w:hAnsi="Arial" w:cs="Arial"/>
          <w:sz w:val="18"/>
          <w:lang w:eastAsia="en-GB"/>
        </w:rPr>
        <w:t xml:space="preserve"> </w:t>
      </w:r>
      <w:r w:rsidRPr="00B50601">
        <w:rPr>
          <w:rFonts w:ascii="Arial" w:hAnsi="Arial" w:cs="Arial"/>
          <w:sz w:val="18"/>
          <w:lang w:eastAsia="en-GB"/>
        </w:rPr>
        <w:t>Grant Agreement (Framework Agreement) between Green Climate Fund (GCF) and the UN Environment.</w:t>
      </w:r>
    </w:p>
    <w:p w14:paraId="174E1571" w14:textId="77777777" w:rsidR="005B0EEA" w:rsidRDefault="005B0EEA" w:rsidP="005B0EEA">
      <w:pPr>
        <w:ind w:right="-28"/>
        <w:rPr>
          <w:rFonts w:ascii="Arial" w:hAnsi="Arial" w:cs="Arial"/>
          <w:sz w:val="18"/>
          <w:lang w:eastAsia="en-GB"/>
        </w:rPr>
      </w:pPr>
      <w:r w:rsidRPr="00B50601">
        <w:rPr>
          <w:rFonts w:ascii="Arial" w:hAnsi="Arial" w:cs="Arial"/>
          <w:sz w:val="18"/>
          <w:lang w:eastAsia="en-GB"/>
        </w:rPr>
        <w:t>The specific procedures for procurement through the CTCN are as follows:</w:t>
      </w:r>
    </w:p>
    <w:p w14:paraId="29995835" w14:textId="77777777" w:rsidR="005B0EEA" w:rsidRPr="000F09E9" w:rsidRDefault="005B0EEA" w:rsidP="005B0EEA">
      <w:pPr>
        <w:ind w:right="-28"/>
        <w:rPr>
          <w:rFonts w:ascii="Arial" w:hAnsi="Arial" w:cs="Arial"/>
          <w:sz w:val="18"/>
          <w:lang w:eastAsia="en-GB"/>
        </w:rPr>
      </w:pPr>
      <w:r w:rsidRPr="000F09E9">
        <w:rPr>
          <w:rFonts w:ascii="Arial" w:hAnsi="Arial" w:cs="Arial"/>
          <w:sz w:val="18"/>
          <w:lang w:eastAsia="en-GB"/>
        </w:rPr>
        <w:t xml:space="preserve">For requests that are eligible and prioritized, the Climate Technology Managers in charge of the respective requests select one or several organizations from the CTCN Consortium to develop the Terms of Reference of the assistance (called ‘Response Plan’ as per CTCN procedures). The response plan provides specific information on the assistance to be conducted, including activities, outputs, expected outcomes and impacts, timeline, indicators or measuring assistance progress and success, stakeholders to be involved, etc. </w:t>
      </w:r>
    </w:p>
    <w:p w14:paraId="7AD9C005" w14:textId="77777777" w:rsidR="005B0EEA" w:rsidRPr="00B50601" w:rsidRDefault="005B0EEA" w:rsidP="005B0EEA">
      <w:pPr>
        <w:ind w:right="-28"/>
        <w:rPr>
          <w:rFonts w:ascii="Arial" w:hAnsi="Arial" w:cs="Arial"/>
          <w:sz w:val="18"/>
          <w:lang w:eastAsia="en-GB"/>
        </w:rPr>
      </w:pPr>
      <w:r w:rsidRPr="000F09E9">
        <w:rPr>
          <w:rFonts w:ascii="Arial" w:hAnsi="Arial" w:cs="Arial"/>
          <w:sz w:val="18"/>
          <w:lang w:eastAsia="en-GB"/>
        </w:rPr>
        <w:t xml:space="preserve">The response plan, once finalized, is signed by the national focal point of the CTCN in the concerned country (National Designated Entity), the requesting organization and the CTCN Director, and constitutes the basis of the assistance to be implemented and monitored. </w:t>
      </w:r>
      <w:r>
        <w:rPr>
          <w:rFonts w:ascii="Arial" w:hAnsi="Arial" w:cs="Arial"/>
          <w:sz w:val="18"/>
          <w:lang w:eastAsia="en-GB"/>
        </w:rPr>
        <w:t>B</w:t>
      </w:r>
      <w:r w:rsidRPr="001841B0">
        <w:rPr>
          <w:rFonts w:ascii="Arial" w:hAnsi="Arial" w:cs="Arial"/>
          <w:sz w:val="18"/>
          <w:lang w:eastAsia="en-GB"/>
        </w:rPr>
        <w:t>ased on the needs and expertise required in the response plan, a Network</w:t>
      </w:r>
      <w:r>
        <w:rPr>
          <w:rFonts w:ascii="Arial" w:hAnsi="Arial" w:cs="Arial"/>
          <w:sz w:val="18"/>
          <w:lang w:eastAsia="en-GB"/>
        </w:rPr>
        <w:t xml:space="preserve"> </w:t>
      </w:r>
      <w:r w:rsidRPr="001841B0">
        <w:rPr>
          <w:rFonts w:ascii="Arial" w:hAnsi="Arial" w:cs="Arial"/>
          <w:sz w:val="18"/>
          <w:lang w:eastAsia="en-GB"/>
        </w:rPr>
        <w:t xml:space="preserve">Member will be selected to implement it. </w:t>
      </w:r>
      <w:r w:rsidRPr="000F09E9">
        <w:rPr>
          <w:rFonts w:ascii="Arial" w:hAnsi="Arial" w:cs="Arial"/>
          <w:sz w:val="18"/>
          <w:lang w:eastAsia="en-GB"/>
        </w:rPr>
        <w:t>The selection of organizations from the Network is conducted through a procurement process, as per UN rules and regulations, in order to select the best proposals, based on expertise, experience and cost-effectiveness.</w:t>
      </w:r>
      <w:r>
        <w:rPr>
          <w:rFonts w:ascii="Arial" w:hAnsi="Arial" w:cs="Arial"/>
          <w:sz w:val="18"/>
          <w:lang w:eastAsia="en-GB"/>
        </w:rPr>
        <w:t xml:space="preserve"> </w:t>
      </w:r>
      <w:r w:rsidRPr="00B50601">
        <w:rPr>
          <w:rFonts w:ascii="Arial" w:hAnsi="Arial" w:cs="Arial"/>
          <w:sz w:val="18"/>
          <w:lang w:eastAsia="en-GB"/>
        </w:rPr>
        <w:t>For this, the following</w:t>
      </w:r>
      <w:r>
        <w:rPr>
          <w:rFonts w:ascii="Arial" w:hAnsi="Arial" w:cs="Arial"/>
          <w:sz w:val="18"/>
          <w:lang w:eastAsia="en-GB"/>
        </w:rPr>
        <w:t xml:space="preserve"> </w:t>
      </w:r>
      <w:r w:rsidRPr="00B50601">
        <w:rPr>
          <w:rFonts w:ascii="Arial" w:hAnsi="Arial" w:cs="Arial"/>
          <w:sz w:val="18"/>
          <w:lang w:eastAsia="en-GB"/>
        </w:rPr>
        <w:t>four principles shall be given due consideration when undertaking the procurement functions:</w:t>
      </w:r>
      <w:r>
        <w:rPr>
          <w:rFonts w:ascii="Arial" w:hAnsi="Arial" w:cs="Arial"/>
          <w:sz w:val="18"/>
          <w:lang w:eastAsia="en-GB"/>
        </w:rPr>
        <w:t xml:space="preserve"> </w:t>
      </w:r>
    </w:p>
    <w:p w14:paraId="0EA866B2" w14:textId="77777777" w:rsidR="005B0EEA" w:rsidRPr="00B50601" w:rsidRDefault="005B0EEA" w:rsidP="005B0EEA">
      <w:pPr>
        <w:pStyle w:val="ListParagraph"/>
        <w:numPr>
          <w:ilvl w:val="0"/>
          <w:numId w:val="12"/>
        </w:numPr>
        <w:spacing w:after="0" w:line="240" w:lineRule="auto"/>
        <w:rPr>
          <w:rFonts w:ascii="Arial" w:hAnsi="Arial" w:cs="Arial"/>
          <w:sz w:val="18"/>
          <w:lang w:eastAsia="en-GB"/>
        </w:rPr>
      </w:pPr>
      <w:r w:rsidRPr="00B50601">
        <w:rPr>
          <w:rFonts w:ascii="Arial" w:hAnsi="Arial" w:cs="Arial"/>
          <w:sz w:val="18"/>
          <w:lang w:eastAsia="en-GB"/>
        </w:rPr>
        <w:t>i. Best value for money principle;</w:t>
      </w:r>
    </w:p>
    <w:p w14:paraId="6D787D46" w14:textId="77777777" w:rsidR="005B0EEA" w:rsidRPr="00B50601" w:rsidRDefault="005B0EEA" w:rsidP="005B0EEA">
      <w:pPr>
        <w:pStyle w:val="ListParagraph"/>
        <w:numPr>
          <w:ilvl w:val="0"/>
          <w:numId w:val="12"/>
        </w:numPr>
        <w:spacing w:after="0" w:line="240" w:lineRule="auto"/>
        <w:rPr>
          <w:rFonts w:ascii="Arial" w:hAnsi="Arial" w:cs="Arial"/>
          <w:sz w:val="18"/>
          <w:lang w:eastAsia="en-GB"/>
        </w:rPr>
      </w:pPr>
      <w:r w:rsidRPr="00B50601">
        <w:rPr>
          <w:rFonts w:ascii="Arial" w:hAnsi="Arial" w:cs="Arial"/>
          <w:sz w:val="18"/>
          <w:lang w:eastAsia="en-GB"/>
        </w:rPr>
        <w:t>ii. Fairness, accountability, integrity and transparency of the procurement process;</w:t>
      </w:r>
    </w:p>
    <w:p w14:paraId="426AD2A0" w14:textId="77777777" w:rsidR="005B0EEA" w:rsidRPr="00B50601" w:rsidRDefault="005B0EEA" w:rsidP="005B0EEA">
      <w:pPr>
        <w:pStyle w:val="ListParagraph"/>
        <w:numPr>
          <w:ilvl w:val="0"/>
          <w:numId w:val="12"/>
        </w:numPr>
        <w:spacing w:after="0" w:line="240" w:lineRule="auto"/>
        <w:rPr>
          <w:rFonts w:ascii="Arial" w:hAnsi="Arial" w:cs="Arial"/>
          <w:sz w:val="18"/>
          <w:lang w:eastAsia="en-GB"/>
        </w:rPr>
      </w:pPr>
      <w:r w:rsidRPr="00B50601">
        <w:rPr>
          <w:rFonts w:ascii="Arial" w:hAnsi="Arial" w:cs="Arial"/>
          <w:sz w:val="18"/>
          <w:lang w:eastAsia="en-GB"/>
        </w:rPr>
        <w:lastRenderedPageBreak/>
        <w:t>iii. Effective competition;</w:t>
      </w:r>
    </w:p>
    <w:p w14:paraId="171F290E" w14:textId="77777777" w:rsidR="005B0EEA" w:rsidRPr="000F09E9" w:rsidRDefault="005B0EEA" w:rsidP="005B0EEA">
      <w:pPr>
        <w:pStyle w:val="ListParagraph"/>
        <w:numPr>
          <w:ilvl w:val="0"/>
          <w:numId w:val="12"/>
        </w:numPr>
        <w:spacing w:after="0" w:line="240" w:lineRule="auto"/>
        <w:contextualSpacing w:val="0"/>
        <w:rPr>
          <w:rFonts w:ascii="Arial" w:hAnsi="Arial" w:cs="Arial"/>
          <w:sz w:val="18"/>
          <w:lang w:eastAsia="en-GB"/>
        </w:rPr>
      </w:pPr>
      <w:r w:rsidRPr="00B50601">
        <w:rPr>
          <w:rFonts w:ascii="Arial" w:hAnsi="Arial" w:cs="Arial"/>
          <w:sz w:val="18"/>
          <w:lang w:eastAsia="en-GB"/>
        </w:rPr>
        <w:t>iv. The best interest of the CTCN.</w:t>
      </w:r>
    </w:p>
    <w:p w14:paraId="2176CB44" w14:textId="77777777" w:rsidR="005B0EEA" w:rsidRPr="000F09E9" w:rsidRDefault="005B0EEA" w:rsidP="005B0EEA">
      <w:pPr>
        <w:spacing w:before="60" w:after="60" w:line="276" w:lineRule="auto"/>
        <w:contextualSpacing/>
        <w:rPr>
          <w:rFonts w:ascii="Arial" w:hAnsi="Arial" w:cs="Arial"/>
          <w:sz w:val="18"/>
          <w:szCs w:val="18"/>
        </w:rPr>
      </w:pPr>
    </w:p>
    <w:p w14:paraId="072F7390" w14:textId="103EA19F" w:rsidR="00B81CCC" w:rsidRPr="000811B4" w:rsidRDefault="00B81CCC" w:rsidP="00B81CCC">
      <w:pPr>
        <w:spacing w:before="60" w:after="60" w:line="276" w:lineRule="auto"/>
        <w:contextualSpacing/>
        <w:rPr>
          <w:rFonts w:ascii="Arial" w:hAnsi="Arial" w:cs="Arial"/>
          <w:sz w:val="18"/>
          <w:szCs w:val="18"/>
        </w:rPr>
      </w:pP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p>
    <w:p w14:paraId="42710CEA" w14:textId="77777777" w:rsidR="00B81CCC" w:rsidRPr="0021416B" w:rsidRDefault="00B81CCC" w:rsidP="00B81CCC">
      <w:pPr>
        <w:spacing w:before="60" w:after="60" w:line="276" w:lineRule="auto"/>
        <w:contextualSpacing/>
        <w:rPr>
          <w:rFonts w:ascii="Arial" w:hAnsi="Arial" w:cs="Arial"/>
          <w:b/>
          <w:color w:val="24634F"/>
          <w:sz w:val="18"/>
          <w:szCs w:val="18"/>
        </w:rPr>
      </w:pPr>
      <w:r w:rsidRPr="0021416B">
        <w:rPr>
          <w:rFonts w:ascii="Arial" w:hAnsi="Arial" w:cs="Arial"/>
          <w:b/>
          <w:color w:val="24634F"/>
          <w:sz w:val="18"/>
          <w:szCs w:val="18"/>
        </w:rPr>
        <w:t xml:space="preserve">5.3 Disbursement </w:t>
      </w:r>
      <w:r>
        <w:rPr>
          <w:rFonts w:ascii="Arial" w:hAnsi="Arial" w:cs="Arial"/>
          <w:b/>
          <w:color w:val="24634F"/>
          <w:sz w:val="18"/>
          <w:szCs w:val="18"/>
        </w:rPr>
        <w:t>s</w:t>
      </w:r>
      <w:r w:rsidRPr="0021416B">
        <w:rPr>
          <w:rFonts w:ascii="Arial" w:hAnsi="Arial" w:cs="Arial"/>
          <w:b/>
          <w:color w:val="24634F"/>
          <w:sz w:val="18"/>
          <w:szCs w:val="18"/>
        </w:rPr>
        <w:t>chedule</w:t>
      </w:r>
    </w:p>
    <w:p w14:paraId="3420DC9D" w14:textId="77777777" w:rsidR="00F318A9" w:rsidRDefault="00F318A9" w:rsidP="00F318A9">
      <w:pPr>
        <w:spacing w:before="60" w:after="60" w:line="276" w:lineRule="auto"/>
        <w:ind w:right="-28"/>
        <w:rPr>
          <w:rFonts w:ascii="Arial" w:hAnsi="Arial" w:cs="Arial"/>
          <w:sz w:val="18"/>
          <w:szCs w:val="18"/>
          <w:lang w:val="en-GB" w:eastAsia="en-GB"/>
        </w:rPr>
      </w:pPr>
      <w:bookmarkStart w:id="9" w:name="_Hlk15384182"/>
      <w:bookmarkStart w:id="10" w:name="_Hlk15391589"/>
    </w:p>
    <w:p w14:paraId="494CD449" w14:textId="782572F4" w:rsidR="005B0EEA" w:rsidRPr="00F318A9" w:rsidRDefault="005B0EEA" w:rsidP="00F318A9">
      <w:pPr>
        <w:spacing w:before="60" w:after="60" w:line="276" w:lineRule="auto"/>
        <w:ind w:right="-28"/>
        <w:jc w:val="both"/>
        <w:rPr>
          <w:rFonts w:ascii="Arial" w:hAnsi="Arial" w:cs="Arial"/>
          <w:sz w:val="18"/>
          <w:szCs w:val="18"/>
          <w:lang w:val="en-GB" w:eastAsia="en-GB"/>
        </w:rPr>
      </w:pPr>
      <w:r w:rsidRPr="00F318A9">
        <w:rPr>
          <w:rFonts w:ascii="Arial" w:hAnsi="Arial" w:cs="Arial"/>
          <w:sz w:val="18"/>
          <w:szCs w:val="18"/>
          <w:lang w:val="en-GB" w:eastAsia="en-GB"/>
        </w:rPr>
        <w:t>UNEP as the Delivery Partner for this Readiness and Preparatory Support Proposal will submit requests for disbursement for approved proposals to the GCF in accordance with the Framework Readiness and Preparatory Support Grant Agreement between the GCF and U</w:t>
      </w:r>
      <w:r w:rsidR="00F318A9">
        <w:rPr>
          <w:rFonts w:ascii="Arial" w:hAnsi="Arial" w:cs="Arial"/>
          <w:sz w:val="18"/>
          <w:szCs w:val="18"/>
          <w:lang w:val="en-GB" w:eastAsia="en-GB"/>
        </w:rPr>
        <w:t>NEP</w:t>
      </w:r>
      <w:r w:rsidRPr="00F318A9">
        <w:rPr>
          <w:rFonts w:ascii="Arial" w:hAnsi="Arial" w:cs="Arial"/>
          <w:sz w:val="18"/>
          <w:szCs w:val="18"/>
          <w:lang w:val="en-GB" w:eastAsia="en-GB"/>
        </w:rPr>
        <w:t xml:space="preserve">. Disbursement requests will be signed by the authorised representative of the UNEP and will include details of the bank account into which the grant will be deposited. UNEP, the Delivery Partner for this R&amp;P Support Proposal for </w:t>
      </w:r>
      <w:r w:rsidR="009206E0">
        <w:rPr>
          <w:rFonts w:ascii="Arial" w:hAnsi="Arial" w:cs="Arial"/>
          <w:sz w:val="18"/>
          <w:szCs w:val="18"/>
          <w:lang w:val="en-GB" w:eastAsia="en-GB"/>
        </w:rPr>
        <w:t>Mozambique</w:t>
      </w:r>
      <w:r w:rsidRPr="00F318A9">
        <w:rPr>
          <w:rFonts w:ascii="Arial" w:hAnsi="Arial" w:cs="Arial"/>
          <w:sz w:val="18"/>
          <w:szCs w:val="18"/>
          <w:lang w:val="en-GB" w:eastAsia="en-GB"/>
        </w:rPr>
        <w:t xml:space="preserve">, will administer the grant disbursed by the GCF in accordance with UNEP’s regulations, rules, and procedures including maintenance of records of grant, disbursements and expenditure. </w:t>
      </w:r>
    </w:p>
    <w:p w14:paraId="2378DED8" w14:textId="77777777" w:rsidR="005B0EEA" w:rsidRPr="000F09E9" w:rsidRDefault="005B0EEA" w:rsidP="005B0EEA">
      <w:pPr>
        <w:pStyle w:val="ListParagraph"/>
        <w:spacing w:before="60" w:after="60" w:line="276" w:lineRule="auto"/>
        <w:ind w:left="360" w:right="-28"/>
        <w:rPr>
          <w:rFonts w:ascii="Arial" w:hAnsi="Arial" w:cs="Arial"/>
          <w:sz w:val="18"/>
          <w:szCs w:val="18"/>
          <w:lang w:val="en-GB" w:eastAsia="en-GB"/>
        </w:rPr>
      </w:pPr>
    </w:p>
    <w:p w14:paraId="6F09D4A4" w14:textId="77777777" w:rsidR="005B0EEA" w:rsidRPr="000F09E9" w:rsidRDefault="005B0EEA" w:rsidP="00F318A9">
      <w:pPr>
        <w:spacing w:before="60" w:after="60" w:line="276" w:lineRule="auto"/>
        <w:contextualSpacing/>
        <w:jc w:val="both"/>
        <w:rPr>
          <w:rFonts w:ascii="Arial" w:hAnsi="Arial" w:cs="Arial"/>
          <w:sz w:val="18"/>
          <w:szCs w:val="18"/>
        </w:rPr>
      </w:pPr>
      <w:r w:rsidRPr="000F09E9">
        <w:rPr>
          <w:rFonts w:ascii="Arial" w:hAnsi="Arial" w:cs="Arial"/>
          <w:sz w:val="18"/>
          <w:szCs w:val="18"/>
          <w:lang w:val="en-GB" w:eastAsia="en-GB"/>
        </w:rPr>
        <w:t>A single instalment will be requested for the Secretariat’s consideration (respecting the Framework Agreement) to expedite procurement process and facilitate contractual arrangements. After the selection of the network member to become executing partner, the CTCN will issue one single contract covering the entire activities. The opening of the contract for additional payment would make the administrative processes cumbersome, as it would imply signing several contracts with the same executing partner each covering one instalment</w:t>
      </w:r>
      <w:bookmarkEnd w:id="9"/>
      <w:r w:rsidRPr="000F09E9">
        <w:rPr>
          <w:rFonts w:ascii="Arial" w:hAnsi="Arial" w:cs="Arial"/>
          <w:sz w:val="18"/>
          <w:szCs w:val="18"/>
          <w:lang w:val="en-GB" w:eastAsia="en-GB"/>
        </w:rPr>
        <w:t>.</w:t>
      </w:r>
    </w:p>
    <w:bookmarkEnd w:id="10"/>
    <w:p w14:paraId="2E59F436" w14:textId="77777777" w:rsidR="00B81CCC" w:rsidRPr="00001D5D" w:rsidRDefault="00B81CCC" w:rsidP="00B81CCC">
      <w:pPr>
        <w:spacing w:before="60" w:after="60" w:line="276" w:lineRule="auto"/>
        <w:contextualSpacing/>
        <w:rPr>
          <w:rFonts w:ascii="Arial" w:hAnsi="Arial" w:cs="Arial"/>
          <w:sz w:val="18"/>
          <w:szCs w:val="18"/>
        </w:rPr>
      </w:pPr>
    </w:p>
    <w:tbl>
      <w:tblPr>
        <w:tblStyle w:val="TableGrid"/>
        <w:tblW w:w="0" w:type="auto"/>
        <w:tblLook w:val="04A0" w:firstRow="1" w:lastRow="0" w:firstColumn="1" w:lastColumn="0" w:noHBand="0" w:noVBand="1"/>
      </w:tblPr>
      <w:tblGrid>
        <w:gridCol w:w="9016"/>
      </w:tblGrid>
      <w:tr w:rsidR="00B81CCC" w:rsidRPr="00001D5D" w14:paraId="6175DB6D" w14:textId="77777777" w:rsidTr="00035D76">
        <w:trPr>
          <w:trHeight w:val="5920"/>
        </w:trPr>
        <w:tc>
          <w:tcPr>
            <w:tcW w:w="9016" w:type="dxa"/>
            <w:vAlign w:val="center"/>
          </w:tcPr>
          <w:p w14:paraId="4BFA807A" w14:textId="77777777" w:rsidR="00B81CCC" w:rsidRPr="00441BF8" w:rsidRDefault="00B81CCC" w:rsidP="00035D76">
            <w:pPr>
              <w:spacing w:before="60" w:after="60" w:line="276" w:lineRule="auto"/>
              <w:contextualSpacing/>
              <w:rPr>
                <w:rFonts w:ascii="Arial" w:hAnsi="Arial" w:cs="Arial"/>
                <w:color w:val="808080" w:themeColor="background1" w:themeShade="80"/>
                <w:sz w:val="18"/>
                <w:szCs w:val="18"/>
              </w:rPr>
            </w:pPr>
            <w:r w:rsidRPr="00441BF8">
              <w:rPr>
                <w:rFonts w:ascii="Arial" w:hAnsi="Arial" w:cs="Arial"/>
                <w:color w:val="808080" w:themeColor="background1" w:themeShade="80"/>
                <w:sz w:val="18"/>
                <w:szCs w:val="18"/>
              </w:rPr>
              <w:t>Please choose one option among the two below and delete the one that does not apply to you. Please fill in information under brackets:</w:t>
            </w:r>
          </w:p>
          <w:p w14:paraId="641F9F63" w14:textId="77777777" w:rsidR="00B81CCC" w:rsidRPr="00001D5D" w:rsidRDefault="00B81CCC" w:rsidP="00035D76">
            <w:pPr>
              <w:spacing w:before="60" w:after="60" w:line="276" w:lineRule="auto"/>
              <w:contextualSpacing/>
              <w:rPr>
                <w:rFonts w:ascii="Arial" w:hAnsi="Arial" w:cs="Arial"/>
                <w:color w:val="000000" w:themeColor="text1"/>
                <w:sz w:val="18"/>
                <w:szCs w:val="18"/>
              </w:rPr>
            </w:pPr>
          </w:p>
          <w:p w14:paraId="2C32755A" w14:textId="66F0C17A" w:rsidR="00B81CCC" w:rsidRPr="00B379C4" w:rsidRDefault="009908EA" w:rsidP="00035D76">
            <w:pPr>
              <w:tabs>
                <w:tab w:val="left" w:pos="240"/>
              </w:tabs>
              <w:suppressAutoHyphens/>
              <w:autoSpaceDN w:val="0"/>
              <w:spacing w:before="60" w:after="60" w:line="276" w:lineRule="auto"/>
              <w:ind w:right="-28"/>
              <w:textAlignment w:val="baseline"/>
              <w:rPr>
                <w:rFonts w:ascii="Arial" w:hAnsi="Arial" w:cs="Arial"/>
                <w:sz w:val="18"/>
                <w:szCs w:val="18"/>
                <w:lang w:eastAsia="en-GB"/>
              </w:rPr>
            </w:pPr>
            <w:sdt>
              <w:sdtPr>
                <w:rPr>
                  <w:rFonts w:ascii="Arial" w:hAnsi="Arial" w:cs="Arial"/>
                  <w:color w:val="000000"/>
                  <w:sz w:val="18"/>
                  <w:szCs w:val="18"/>
                </w:rPr>
                <w:id w:val="-807018702"/>
                <w14:checkbox>
                  <w14:checked w14:val="1"/>
                  <w14:checkedState w14:val="2612" w14:font="MS Gothic"/>
                  <w14:uncheckedState w14:val="2610" w14:font="MS Gothic"/>
                </w14:checkbox>
              </w:sdtPr>
              <w:sdtContent>
                <w:r w:rsidR="004D3F21">
                  <w:rPr>
                    <w:rFonts w:ascii="MS Gothic" w:eastAsia="MS Gothic" w:hAnsi="MS Gothic" w:cs="Arial" w:hint="eastAsia"/>
                    <w:color w:val="000000"/>
                    <w:sz w:val="18"/>
                    <w:szCs w:val="18"/>
                  </w:rPr>
                  <w:t>☒</w:t>
                </w:r>
              </w:sdtContent>
            </w:sdt>
            <w:r w:rsidR="00B81CCC" w:rsidRPr="00B379C4">
              <w:rPr>
                <w:rFonts w:ascii="Arial" w:hAnsi="Arial" w:cs="Arial"/>
                <w:sz w:val="18"/>
                <w:szCs w:val="18"/>
                <w:lang w:eastAsia="en-GB"/>
              </w:rPr>
              <w:t xml:space="preserve"> </w:t>
            </w:r>
            <w:r w:rsidR="00B81CCC" w:rsidRPr="0021416B">
              <w:rPr>
                <w:rFonts w:ascii="Arial" w:hAnsi="Arial" w:cs="Arial"/>
                <w:b/>
                <w:sz w:val="18"/>
                <w:szCs w:val="18"/>
                <w:lang w:eastAsia="en-GB"/>
              </w:rPr>
              <w:t>Readiness Proposal that falls within a Framework Agreement with the GCF</w:t>
            </w:r>
          </w:p>
          <w:p w14:paraId="61852415" w14:textId="77777777" w:rsidR="005B0EEA" w:rsidRPr="000F09E9" w:rsidRDefault="005B0EEA" w:rsidP="005B0EEA">
            <w:pPr>
              <w:ind w:left="330" w:right="-29"/>
              <w:rPr>
                <w:rFonts w:ascii="Arial" w:hAnsi="Arial" w:cs="Arial"/>
                <w:sz w:val="18"/>
                <w:szCs w:val="18"/>
                <w:lang w:eastAsia="en-GB"/>
              </w:rPr>
            </w:pPr>
            <w:r w:rsidRPr="00D83F28">
              <w:rPr>
                <w:rFonts w:ascii="Arial" w:hAnsi="Arial" w:cs="Arial"/>
                <w:sz w:val="18"/>
                <w:szCs w:val="18"/>
                <w:highlight w:val="yellow"/>
                <w:lang w:eastAsia="en-GB"/>
              </w:rPr>
              <w:t>Disbursements will be made in accordance to</w:t>
            </w:r>
            <w:r w:rsidRPr="00D83F28">
              <w:rPr>
                <w:rFonts w:ascii="Arial" w:hAnsi="Arial" w:cs="Arial"/>
                <w:sz w:val="18"/>
                <w:szCs w:val="18"/>
                <w:highlight w:val="yellow"/>
              </w:rPr>
              <w:t xml:space="preserve"> Clause 4</w:t>
            </w:r>
            <w:r w:rsidRPr="00D83F28">
              <w:rPr>
                <w:rFonts w:ascii="Arial" w:hAnsi="Arial" w:cs="Arial"/>
                <w:i/>
                <w:sz w:val="18"/>
                <w:szCs w:val="18"/>
                <w:highlight w:val="yellow"/>
                <w:lang w:eastAsia="en-GB"/>
              </w:rPr>
              <w:t xml:space="preserve"> “Disbursement of Grants”</w:t>
            </w:r>
            <w:r w:rsidRPr="00D83F28">
              <w:rPr>
                <w:rFonts w:ascii="Arial" w:hAnsi="Arial" w:cs="Arial"/>
                <w:sz w:val="18"/>
                <w:szCs w:val="18"/>
                <w:highlight w:val="yellow"/>
                <w:lang w:eastAsia="en-GB"/>
              </w:rPr>
              <w:t xml:space="preserve"> </w:t>
            </w:r>
            <w:proofErr w:type="gramStart"/>
            <w:r w:rsidRPr="00D83F28">
              <w:rPr>
                <w:rFonts w:ascii="Arial" w:hAnsi="Arial" w:cs="Arial"/>
                <w:sz w:val="18"/>
                <w:szCs w:val="18"/>
                <w:highlight w:val="yellow"/>
                <w:lang w:eastAsia="en-GB"/>
              </w:rPr>
              <w:t>and  Clause</w:t>
            </w:r>
            <w:proofErr w:type="gramEnd"/>
            <w:r w:rsidRPr="00D83F28">
              <w:rPr>
                <w:rFonts w:ascii="Arial" w:hAnsi="Arial" w:cs="Arial"/>
                <w:sz w:val="18"/>
                <w:szCs w:val="18"/>
                <w:highlight w:val="yellow"/>
                <w:lang w:eastAsia="en-GB"/>
              </w:rPr>
              <w:t xml:space="preserve"> 5 “</w:t>
            </w:r>
            <w:r w:rsidRPr="00D83F28">
              <w:rPr>
                <w:rFonts w:ascii="Arial" w:hAnsi="Arial" w:cs="Arial"/>
                <w:i/>
                <w:sz w:val="18"/>
                <w:szCs w:val="18"/>
                <w:highlight w:val="yellow"/>
                <w:lang w:eastAsia="en-GB"/>
              </w:rPr>
              <w:t>Use of Grant Proceeds by the Delivery Partner</w:t>
            </w:r>
            <w:r w:rsidRPr="00D83F28">
              <w:rPr>
                <w:rFonts w:ascii="Arial" w:hAnsi="Arial" w:cs="Arial"/>
                <w:sz w:val="18"/>
                <w:szCs w:val="18"/>
                <w:highlight w:val="yellow"/>
                <w:lang w:eastAsia="en-GB"/>
              </w:rPr>
              <w:t xml:space="preserve">” of the Framework Readiness and Preparatory Support Grant Agreement entered into between GCF and Un Environment Programme on </w:t>
            </w:r>
            <w:sdt>
              <w:sdtPr>
                <w:rPr>
                  <w:rFonts w:ascii="Arial" w:eastAsia="Times New Roman" w:hAnsi="Arial" w:cs="Arial"/>
                  <w:bCs/>
                  <w:i/>
                  <w:color w:val="808080" w:themeColor="background1" w:themeShade="80"/>
                  <w:sz w:val="18"/>
                  <w:szCs w:val="18"/>
                  <w:highlight w:val="yellow"/>
                  <w:lang w:val="en-GB" w:eastAsia="en-GB"/>
                </w:rPr>
                <w:id w:val="-812630102"/>
                <w:placeholder>
                  <w:docPart w:val="5282B44DA79C49299DFED4907F4362D3"/>
                </w:placeholder>
                <w:date w:fullDate="2016-10-11T00:00:00Z">
                  <w:dateFormat w:val="d MMMM yyyy"/>
                  <w:lid w:val="en-US"/>
                  <w:storeMappedDataAs w:val="dateTime"/>
                  <w:calendar w:val="gregorian"/>
                </w:date>
              </w:sdtPr>
              <w:sdtContent>
                <w:r w:rsidRPr="00D83F28">
                  <w:rPr>
                    <w:rFonts w:ascii="Arial" w:eastAsia="Times New Roman" w:hAnsi="Arial" w:cs="Arial"/>
                    <w:bCs/>
                    <w:i/>
                    <w:color w:val="808080" w:themeColor="background1" w:themeShade="80"/>
                    <w:sz w:val="18"/>
                    <w:szCs w:val="18"/>
                    <w:highlight w:val="yellow"/>
                    <w:lang w:eastAsia="en-GB"/>
                  </w:rPr>
                  <w:t>11 October 2016</w:t>
                </w:r>
              </w:sdtContent>
            </w:sdt>
            <w:r w:rsidRPr="00D83F28">
              <w:rPr>
                <w:rFonts w:ascii="Arial" w:hAnsi="Arial" w:cs="Arial"/>
                <w:sz w:val="18"/>
                <w:szCs w:val="18"/>
                <w:highlight w:val="yellow"/>
                <w:lang w:eastAsia="en-GB"/>
              </w:rPr>
              <w:t>. And amended on 13 December 2017. The Delivery Partner is entitled to submit 2 request</w:t>
            </w:r>
            <w:r w:rsidRPr="00D83F28">
              <w:rPr>
                <w:rFonts w:ascii="Arial" w:hAnsi="Arial" w:cs="Arial"/>
                <w:i/>
                <w:sz w:val="18"/>
                <w:szCs w:val="18"/>
                <w:highlight w:val="yellow"/>
                <w:lang w:eastAsia="en-GB"/>
              </w:rPr>
              <w:t>(s)</w:t>
            </w:r>
            <w:r w:rsidRPr="00D83F28">
              <w:rPr>
                <w:rFonts w:ascii="Arial" w:hAnsi="Arial" w:cs="Arial"/>
                <w:sz w:val="18"/>
                <w:szCs w:val="18"/>
                <w:highlight w:val="yellow"/>
                <w:lang w:eastAsia="en-GB"/>
              </w:rPr>
              <w:t xml:space="preserve"> for disbursement each </w:t>
            </w:r>
            <w:proofErr w:type="gramStart"/>
            <w:r w:rsidRPr="00D83F28">
              <w:rPr>
                <w:rFonts w:ascii="Arial" w:hAnsi="Arial" w:cs="Arial"/>
                <w:sz w:val="18"/>
                <w:szCs w:val="18"/>
                <w:highlight w:val="yellow"/>
                <w:lang w:eastAsia="en-GB"/>
              </w:rPr>
              <w:t>year, and</w:t>
            </w:r>
            <w:proofErr w:type="gramEnd"/>
            <w:r w:rsidRPr="00D83F28">
              <w:rPr>
                <w:rFonts w:ascii="Arial" w:hAnsi="Arial" w:cs="Arial"/>
                <w:sz w:val="18"/>
                <w:szCs w:val="18"/>
                <w:highlight w:val="yellow"/>
                <w:lang w:eastAsia="en-GB"/>
              </w:rPr>
              <w:t xml:space="preserve"> is also entitled to request one interim request for disbursement within 30 days of notification of approval.</w:t>
            </w:r>
            <w:r w:rsidRPr="000F09E9">
              <w:rPr>
                <w:rFonts w:ascii="Arial" w:hAnsi="Arial" w:cs="Arial"/>
                <w:sz w:val="18"/>
                <w:szCs w:val="18"/>
                <w:lang w:eastAsia="en-GB"/>
              </w:rPr>
              <w:t xml:space="preserve"> </w:t>
            </w:r>
          </w:p>
          <w:p w14:paraId="1B3ED6E7" w14:textId="77777777" w:rsidR="00B81CCC" w:rsidRPr="00CC7D8F" w:rsidRDefault="00B81CCC" w:rsidP="00035D76">
            <w:pPr>
              <w:pStyle w:val="ListParagraph"/>
              <w:spacing w:before="60" w:after="60" w:line="276" w:lineRule="auto"/>
              <w:ind w:left="360" w:right="-28"/>
              <w:rPr>
                <w:rFonts w:ascii="Arial" w:hAnsi="Arial" w:cs="Arial"/>
                <w:sz w:val="18"/>
                <w:szCs w:val="18"/>
                <w:lang w:val="en-GB" w:eastAsia="en-GB"/>
              </w:rPr>
            </w:pPr>
          </w:p>
          <w:p w14:paraId="54C71084" w14:textId="77777777" w:rsidR="00B81CCC" w:rsidRPr="0021416B" w:rsidRDefault="009908EA" w:rsidP="00035D76">
            <w:pPr>
              <w:suppressAutoHyphens/>
              <w:autoSpaceDN w:val="0"/>
              <w:spacing w:before="60" w:after="60" w:line="276" w:lineRule="auto"/>
              <w:ind w:left="252" w:right="-28" w:hanging="252"/>
              <w:textAlignment w:val="baseline"/>
              <w:rPr>
                <w:rFonts w:ascii="Arial" w:hAnsi="Arial" w:cs="Arial"/>
                <w:sz w:val="18"/>
                <w:szCs w:val="18"/>
                <w:lang w:eastAsia="en-GB"/>
              </w:rPr>
            </w:pPr>
            <w:sdt>
              <w:sdtPr>
                <w:rPr>
                  <w:rFonts w:ascii="Arial" w:hAnsi="Arial" w:cs="Arial"/>
                  <w:color w:val="000000"/>
                  <w:sz w:val="18"/>
                  <w:szCs w:val="18"/>
                </w:rPr>
                <w:id w:val="-1992856074"/>
                <w14:checkbox>
                  <w14:checked w14:val="0"/>
                  <w14:checkedState w14:val="2612" w14:font="MS Gothic"/>
                  <w14:uncheckedState w14:val="2610" w14:font="MS Gothic"/>
                </w14:checkbox>
              </w:sdtPr>
              <w:sdtContent>
                <w:r w:rsidR="00B81CCC" w:rsidRPr="00CB141A">
                  <w:rPr>
                    <w:rFonts w:ascii="Segoe UI Symbol" w:eastAsia="MS Gothic" w:hAnsi="Segoe UI Symbol" w:cs="Segoe UI Symbol"/>
                    <w:color w:val="000000"/>
                    <w:sz w:val="18"/>
                    <w:szCs w:val="18"/>
                  </w:rPr>
                  <w:t>☐</w:t>
                </w:r>
              </w:sdtContent>
            </w:sdt>
            <w:r w:rsidR="00B81CCC" w:rsidRPr="0021416B">
              <w:rPr>
                <w:rFonts w:ascii="Arial" w:hAnsi="Arial" w:cs="Arial"/>
                <w:sz w:val="18"/>
                <w:szCs w:val="18"/>
                <w:lang w:eastAsia="en-GB"/>
              </w:rPr>
              <w:t xml:space="preserve"> </w:t>
            </w:r>
            <w:r w:rsidR="00B81CCC" w:rsidRPr="0021416B">
              <w:rPr>
                <w:rFonts w:ascii="Arial" w:hAnsi="Arial" w:cs="Arial"/>
                <w:b/>
                <w:sz w:val="18"/>
                <w:szCs w:val="18"/>
                <w:lang w:eastAsia="en-GB"/>
              </w:rPr>
              <w:t xml:space="preserve">Readiness Proposal that requires a bilateral Grant Agreement to be signed with the GCF </w:t>
            </w:r>
            <w:r w:rsidR="00B81CCC" w:rsidRPr="0021416B">
              <w:rPr>
                <w:rFonts w:ascii="Arial" w:hAnsi="Arial" w:cs="Arial"/>
                <w:sz w:val="18"/>
                <w:szCs w:val="18"/>
                <w:lang w:eastAsia="en-GB"/>
              </w:rPr>
              <w:t>(please add more disbursement as needed)</w:t>
            </w:r>
          </w:p>
          <w:p w14:paraId="73D1856C" w14:textId="77777777" w:rsidR="00B81CCC" w:rsidRPr="00001D5D" w:rsidRDefault="00B81CCC" w:rsidP="00B81CCC">
            <w:pPr>
              <w:pStyle w:val="ListParagraph"/>
              <w:numPr>
                <w:ilvl w:val="0"/>
                <w:numId w:val="6"/>
              </w:numPr>
              <w:suppressAutoHyphens/>
              <w:autoSpaceDN w:val="0"/>
              <w:spacing w:before="60" w:after="60" w:line="276" w:lineRule="auto"/>
              <w:ind w:right="-28"/>
              <w:textAlignment w:val="baseline"/>
              <w:rPr>
                <w:rFonts w:ascii="Arial" w:hAnsi="Arial" w:cs="Arial"/>
                <w:sz w:val="18"/>
                <w:szCs w:val="18"/>
                <w:lang w:eastAsia="en-GB"/>
              </w:rPr>
            </w:pPr>
            <w:r w:rsidRPr="00001D5D">
              <w:rPr>
                <w:rFonts w:ascii="Arial" w:hAnsi="Arial" w:cs="Arial"/>
                <w:sz w:val="18"/>
                <w:szCs w:val="18"/>
                <w:lang w:eastAsia="en-GB"/>
              </w:rPr>
              <w:t>The first disbursement</w:t>
            </w:r>
            <w:r>
              <w:rPr>
                <w:rFonts w:ascii="Arial" w:hAnsi="Arial" w:cs="Arial"/>
                <w:sz w:val="18"/>
                <w:szCs w:val="18"/>
                <w:lang w:eastAsia="en-GB"/>
              </w:rPr>
              <w:t xml:space="preserve"> </w:t>
            </w:r>
            <w:r w:rsidRPr="00B3595A">
              <w:rPr>
                <w:rFonts w:ascii="Arial" w:hAnsi="Arial" w:cs="Arial"/>
                <w:i/>
                <w:sz w:val="18"/>
                <w:szCs w:val="18"/>
                <w:lang w:eastAsia="en-GB"/>
              </w:rPr>
              <w:t>amounting</w:t>
            </w:r>
            <w:r>
              <w:rPr>
                <w:rFonts w:ascii="Arial" w:hAnsi="Arial" w:cs="Arial"/>
                <w:sz w:val="18"/>
                <w:szCs w:val="18"/>
                <w:lang w:eastAsia="en-GB"/>
              </w:rPr>
              <w:t xml:space="preserve"> </w:t>
            </w:r>
            <w:sdt>
              <w:sdtPr>
                <w:rPr>
                  <w:rFonts w:ascii="Arial" w:hAnsi="Arial" w:cs="Arial"/>
                  <w:color w:val="808080" w:themeColor="background1" w:themeShade="80"/>
                  <w:sz w:val="18"/>
                  <w:szCs w:val="18"/>
                </w:rPr>
                <w:id w:val="1828325373"/>
                <w:placeholder>
                  <w:docPart w:val="FC63BA69C7AB4F92A3B54FD4DAA8D3C4"/>
                </w:placeholder>
                <w:dropDownList>
                  <w:listItem w:displayText="Choose Currency" w:value="Choose Currency"/>
                  <w:listItem w:displayText="USD" w:value="USD"/>
                  <w:listItem w:displayText="EUR" w:value="EUR"/>
                </w:dropDownList>
              </w:sdtPr>
              <w:sdtContent>
                <w:r>
                  <w:rPr>
                    <w:rFonts w:ascii="Arial" w:hAnsi="Arial" w:cs="Arial"/>
                    <w:i/>
                    <w:color w:val="808080" w:themeColor="background1" w:themeShade="80"/>
                    <w:sz w:val="18"/>
                    <w:szCs w:val="18"/>
                  </w:rPr>
                  <w:t>[C</w:t>
                </w:r>
                <w:r w:rsidRPr="0070394D">
                  <w:rPr>
                    <w:rFonts w:ascii="Arial" w:hAnsi="Arial" w:cs="Arial"/>
                    <w:i/>
                    <w:color w:val="808080" w:themeColor="background1" w:themeShade="80"/>
                    <w:sz w:val="18"/>
                    <w:szCs w:val="18"/>
                  </w:rPr>
                  <w:t>hoose Currency</w:t>
                </w:r>
                <w:r>
                  <w:rPr>
                    <w:rFonts w:ascii="Arial" w:hAnsi="Arial" w:cs="Arial"/>
                    <w:i/>
                    <w:color w:val="808080" w:themeColor="background1" w:themeShade="80"/>
                    <w:sz w:val="18"/>
                    <w:szCs w:val="18"/>
                  </w:rPr>
                  <w:t>]</w:t>
                </w:r>
              </w:sdtContent>
            </w:sdt>
            <w:r w:rsidRPr="001728B0">
              <w:rPr>
                <w:rFonts w:ascii="Arial" w:hAnsi="Arial" w:cs="Arial"/>
                <w:color w:val="808080" w:themeColor="background1" w:themeShade="80"/>
                <w:sz w:val="18"/>
                <w:szCs w:val="18"/>
              </w:rPr>
              <w:t xml:space="preserve"> </w:t>
            </w:r>
            <w:sdt>
              <w:sdtPr>
                <w:rPr>
                  <w:rFonts w:ascii="Arial" w:hAnsi="Arial" w:cs="Arial"/>
                  <w:sz w:val="18"/>
                  <w:szCs w:val="18"/>
                </w:rPr>
                <w:id w:val="-859122320"/>
                <w:placeholder>
                  <w:docPart w:val="9BB3E250B34E4B92A04F0817D67C6568"/>
                </w:placeholder>
                <w:temporary/>
                <w:showingPlcHdr/>
                <w15:appearance w15:val="hidden"/>
              </w:sdtPr>
              <w:sdtContent>
                <w:r>
                  <w:rPr>
                    <w:rFonts w:ascii="Arial" w:hAnsi="Arial" w:cs="Arial"/>
                    <w:i/>
                    <w:color w:val="808080" w:themeColor="background1" w:themeShade="80"/>
                    <w:sz w:val="18"/>
                    <w:szCs w:val="18"/>
                  </w:rPr>
                  <w:t>[T</w:t>
                </w:r>
                <w:r w:rsidRPr="0070394D">
                  <w:rPr>
                    <w:rFonts w:ascii="Arial" w:hAnsi="Arial" w:cs="Arial"/>
                    <w:i/>
                    <w:color w:val="808080" w:themeColor="background1" w:themeShade="80"/>
                    <w:sz w:val="18"/>
                    <w:szCs w:val="18"/>
                  </w:rPr>
                  <w:t xml:space="preserve">ype the </w:t>
                </w:r>
                <w:r>
                  <w:rPr>
                    <w:rFonts w:ascii="Arial" w:hAnsi="Arial" w:cs="Arial"/>
                    <w:i/>
                    <w:color w:val="808080" w:themeColor="background1" w:themeShade="80"/>
                    <w:sz w:val="18"/>
                    <w:szCs w:val="18"/>
                  </w:rPr>
                  <w:t>amount]</w:t>
                </w:r>
              </w:sdtContent>
            </w:sdt>
            <w:r w:rsidRPr="00001D5D">
              <w:rPr>
                <w:rFonts w:ascii="Arial" w:hAnsi="Arial" w:cs="Arial"/>
                <w:sz w:val="18"/>
                <w:szCs w:val="18"/>
                <w:lang w:eastAsia="en-GB"/>
              </w:rPr>
              <w:t xml:space="preserve"> will be transferred upon approval of the readiness request and effectiveness of the Grant Agreement;</w:t>
            </w:r>
          </w:p>
          <w:p w14:paraId="47F86889" w14:textId="77777777" w:rsidR="00B81CCC" w:rsidRPr="00001D5D" w:rsidRDefault="00B81CCC" w:rsidP="00B81CCC">
            <w:pPr>
              <w:pStyle w:val="ListParagraph"/>
              <w:numPr>
                <w:ilvl w:val="0"/>
                <w:numId w:val="6"/>
              </w:numPr>
              <w:suppressAutoHyphens/>
              <w:autoSpaceDN w:val="0"/>
              <w:spacing w:before="60" w:after="60" w:line="276" w:lineRule="auto"/>
              <w:ind w:right="-28"/>
              <w:textAlignment w:val="baseline"/>
              <w:rPr>
                <w:rFonts w:ascii="Arial" w:hAnsi="Arial" w:cs="Arial"/>
                <w:sz w:val="18"/>
                <w:szCs w:val="18"/>
                <w:lang w:eastAsia="en-GB"/>
              </w:rPr>
            </w:pPr>
            <w:r w:rsidRPr="00001D5D">
              <w:rPr>
                <w:rFonts w:ascii="Arial" w:hAnsi="Arial" w:cs="Arial"/>
                <w:sz w:val="18"/>
                <w:szCs w:val="18"/>
                <w:lang w:eastAsia="en-GB"/>
              </w:rPr>
              <w:t>The second disbursement</w:t>
            </w:r>
            <w:r>
              <w:rPr>
                <w:rFonts w:ascii="Arial" w:hAnsi="Arial" w:cs="Arial"/>
                <w:sz w:val="18"/>
                <w:szCs w:val="18"/>
                <w:lang w:eastAsia="en-GB"/>
              </w:rPr>
              <w:t xml:space="preserve"> </w:t>
            </w:r>
            <w:r w:rsidRPr="00B3595A">
              <w:rPr>
                <w:rFonts w:ascii="Arial" w:hAnsi="Arial" w:cs="Arial"/>
                <w:i/>
                <w:sz w:val="18"/>
                <w:szCs w:val="18"/>
                <w:lang w:eastAsia="en-GB"/>
              </w:rPr>
              <w:t>amounting</w:t>
            </w:r>
            <w:r>
              <w:rPr>
                <w:rFonts w:ascii="Arial" w:hAnsi="Arial" w:cs="Arial"/>
                <w:sz w:val="18"/>
                <w:szCs w:val="18"/>
                <w:lang w:eastAsia="en-GB"/>
              </w:rPr>
              <w:t xml:space="preserve"> </w:t>
            </w:r>
            <w:sdt>
              <w:sdtPr>
                <w:rPr>
                  <w:rFonts w:ascii="Arial" w:hAnsi="Arial" w:cs="Arial"/>
                  <w:color w:val="808080" w:themeColor="background1" w:themeShade="80"/>
                  <w:sz w:val="18"/>
                  <w:szCs w:val="18"/>
                </w:rPr>
                <w:id w:val="-1093696907"/>
                <w:placeholder>
                  <w:docPart w:val="6518E7DD5F3743A7B2AD5434133E19F4"/>
                </w:placeholder>
                <w:dropDownList>
                  <w:listItem w:displayText="Choose Currency" w:value="Choose Currency"/>
                  <w:listItem w:displayText="USD" w:value="USD"/>
                  <w:listItem w:displayText="EUR" w:value="EUR"/>
                </w:dropDownList>
              </w:sdtPr>
              <w:sdtContent>
                <w:r>
                  <w:rPr>
                    <w:rFonts w:ascii="Arial" w:hAnsi="Arial" w:cs="Arial"/>
                    <w:i/>
                    <w:color w:val="808080" w:themeColor="background1" w:themeShade="80"/>
                    <w:sz w:val="18"/>
                    <w:szCs w:val="18"/>
                  </w:rPr>
                  <w:t>[C</w:t>
                </w:r>
                <w:r w:rsidRPr="0070394D">
                  <w:rPr>
                    <w:rFonts w:ascii="Arial" w:hAnsi="Arial" w:cs="Arial"/>
                    <w:i/>
                    <w:color w:val="808080" w:themeColor="background1" w:themeShade="80"/>
                    <w:sz w:val="18"/>
                    <w:szCs w:val="18"/>
                  </w:rPr>
                  <w:t>hoose Currency</w:t>
                </w:r>
                <w:r>
                  <w:rPr>
                    <w:rFonts w:ascii="Arial" w:hAnsi="Arial" w:cs="Arial"/>
                    <w:i/>
                    <w:color w:val="808080" w:themeColor="background1" w:themeShade="80"/>
                    <w:sz w:val="18"/>
                    <w:szCs w:val="18"/>
                  </w:rPr>
                  <w:t>]</w:t>
                </w:r>
              </w:sdtContent>
            </w:sdt>
            <w:r w:rsidRPr="001728B0">
              <w:rPr>
                <w:rFonts w:ascii="Arial" w:hAnsi="Arial" w:cs="Arial"/>
                <w:color w:val="808080" w:themeColor="background1" w:themeShade="80"/>
                <w:sz w:val="18"/>
                <w:szCs w:val="18"/>
              </w:rPr>
              <w:t xml:space="preserve"> </w:t>
            </w:r>
            <w:sdt>
              <w:sdtPr>
                <w:rPr>
                  <w:rFonts w:ascii="Arial" w:hAnsi="Arial" w:cs="Arial"/>
                  <w:sz w:val="18"/>
                  <w:szCs w:val="18"/>
                </w:rPr>
                <w:id w:val="320016436"/>
                <w:placeholder>
                  <w:docPart w:val="553B1123CDF94224924F11E625B60433"/>
                </w:placeholder>
                <w:temporary/>
                <w:showingPlcHdr/>
                <w15:appearance w15:val="hidden"/>
              </w:sdtPr>
              <w:sdtContent>
                <w:r>
                  <w:rPr>
                    <w:rFonts w:ascii="Arial" w:hAnsi="Arial" w:cs="Arial"/>
                    <w:i/>
                    <w:color w:val="808080" w:themeColor="background1" w:themeShade="80"/>
                    <w:sz w:val="18"/>
                    <w:szCs w:val="18"/>
                  </w:rPr>
                  <w:t>[T</w:t>
                </w:r>
                <w:r w:rsidRPr="0070394D">
                  <w:rPr>
                    <w:rFonts w:ascii="Arial" w:hAnsi="Arial" w:cs="Arial"/>
                    <w:i/>
                    <w:color w:val="808080" w:themeColor="background1" w:themeShade="80"/>
                    <w:sz w:val="18"/>
                    <w:szCs w:val="18"/>
                  </w:rPr>
                  <w:t xml:space="preserve">ype the </w:t>
                </w:r>
                <w:r>
                  <w:rPr>
                    <w:rFonts w:ascii="Arial" w:hAnsi="Arial" w:cs="Arial"/>
                    <w:i/>
                    <w:color w:val="808080" w:themeColor="background1" w:themeShade="80"/>
                    <w:sz w:val="18"/>
                    <w:szCs w:val="18"/>
                  </w:rPr>
                  <w:t>amount]</w:t>
                </w:r>
              </w:sdtContent>
            </w:sdt>
            <w:r w:rsidRPr="00001D5D">
              <w:rPr>
                <w:rFonts w:ascii="Arial" w:hAnsi="Arial" w:cs="Arial"/>
                <w:i/>
                <w:iCs/>
                <w:sz w:val="18"/>
                <w:szCs w:val="18"/>
                <w:lang w:eastAsia="en-GB"/>
              </w:rPr>
              <w:t xml:space="preserve"> </w:t>
            </w:r>
            <w:r w:rsidRPr="00001D5D">
              <w:rPr>
                <w:rFonts w:ascii="Arial" w:hAnsi="Arial" w:cs="Arial"/>
                <w:sz w:val="18"/>
                <w:szCs w:val="18"/>
                <w:lang w:eastAsia="en-GB"/>
              </w:rPr>
              <w:t>will be transferred upon submission of an interim progress report [and audited financial report]</w:t>
            </w:r>
            <w:r w:rsidRPr="00001D5D">
              <w:rPr>
                <w:rStyle w:val="FootnoteReference"/>
                <w:rFonts w:ascii="Arial" w:hAnsi="Arial" w:cs="Arial"/>
                <w:sz w:val="18"/>
                <w:szCs w:val="18"/>
                <w:lang w:eastAsia="en-GB"/>
              </w:rPr>
              <w:footnoteReference w:id="5"/>
            </w:r>
            <w:r w:rsidRPr="00001D5D">
              <w:rPr>
                <w:rFonts w:ascii="Arial" w:hAnsi="Arial" w:cs="Arial"/>
                <w:sz w:val="18"/>
                <w:szCs w:val="18"/>
                <w:lang w:eastAsia="en-GB"/>
              </w:rPr>
              <w:t xml:space="preserve">, in form and substance acceptable to the Fund, [including an audited expenditure statement]; and </w:t>
            </w:r>
          </w:p>
          <w:p w14:paraId="1FCF239E" w14:textId="77777777" w:rsidR="00B81CCC" w:rsidRPr="00001D5D" w:rsidRDefault="00B81CCC" w:rsidP="00B81CCC">
            <w:pPr>
              <w:pStyle w:val="ListParagraph"/>
              <w:numPr>
                <w:ilvl w:val="0"/>
                <w:numId w:val="6"/>
              </w:numPr>
              <w:suppressAutoHyphens/>
              <w:autoSpaceDN w:val="0"/>
              <w:spacing w:before="60" w:after="60" w:line="276" w:lineRule="auto"/>
              <w:ind w:right="-28"/>
              <w:textAlignment w:val="baseline"/>
              <w:rPr>
                <w:rFonts w:ascii="Arial" w:hAnsi="Arial" w:cs="Arial"/>
                <w:sz w:val="18"/>
                <w:szCs w:val="18"/>
                <w:lang w:eastAsia="en-GB"/>
              </w:rPr>
            </w:pPr>
            <w:r w:rsidRPr="00001D5D">
              <w:rPr>
                <w:rFonts w:ascii="Arial" w:hAnsi="Arial" w:cs="Arial"/>
                <w:sz w:val="18"/>
                <w:szCs w:val="18"/>
                <w:lang w:eastAsia="en-GB"/>
              </w:rPr>
              <w:t>The third disbursement</w:t>
            </w:r>
            <w:r>
              <w:rPr>
                <w:rFonts w:ascii="Arial" w:hAnsi="Arial" w:cs="Arial"/>
                <w:sz w:val="18"/>
                <w:szCs w:val="18"/>
                <w:lang w:eastAsia="en-GB"/>
              </w:rPr>
              <w:t xml:space="preserve"> </w:t>
            </w:r>
            <w:r w:rsidRPr="00B3595A">
              <w:rPr>
                <w:rFonts w:ascii="Arial" w:hAnsi="Arial" w:cs="Arial"/>
                <w:i/>
                <w:sz w:val="18"/>
                <w:szCs w:val="18"/>
                <w:lang w:eastAsia="en-GB"/>
              </w:rPr>
              <w:t>amounting</w:t>
            </w:r>
            <w:r>
              <w:rPr>
                <w:rFonts w:ascii="Arial" w:hAnsi="Arial" w:cs="Arial"/>
                <w:sz w:val="18"/>
                <w:szCs w:val="18"/>
                <w:lang w:eastAsia="en-GB"/>
              </w:rPr>
              <w:t xml:space="preserve"> </w:t>
            </w:r>
            <w:sdt>
              <w:sdtPr>
                <w:rPr>
                  <w:rFonts w:ascii="Arial" w:hAnsi="Arial" w:cs="Arial"/>
                  <w:color w:val="808080" w:themeColor="background1" w:themeShade="80"/>
                  <w:sz w:val="18"/>
                  <w:szCs w:val="18"/>
                </w:rPr>
                <w:id w:val="-1006208289"/>
                <w:placeholder>
                  <w:docPart w:val="986F2007D7084CBA89A413EE1C507EDD"/>
                </w:placeholder>
                <w:dropDownList>
                  <w:listItem w:displayText="Choose Currency" w:value="Choose Currency"/>
                  <w:listItem w:displayText="USD" w:value="USD"/>
                  <w:listItem w:displayText="EUR" w:value="EUR"/>
                </w:dropDownList>
              </w:sdtPr>
              <w:sdtContent>
                <w:r>
                  <w:rPr>
                    <w:rFonts w:ascii="Arial" w:hAnsi="Arial" w:cs="Arial"/>
                    <w:i/>
                    <w:color w:val="808080" w:themeColor="background1" w:themeShade="80"/>
                    <w:sz w:val="18"/>
                    <w:szCs w:val="18"/>
                  </w:rPr>
                  <w:t>[C</w:t>
                </w:r>
                <w:r w:rsidRPr="0070394D">
                  <w:rPr>
                    <w:rFonts w:ascii="Arial" w:hAnsi="Arial" w:cs="Arial"/>
                    <w:i/>
                    <w:color w:val="808080" w:themeColor="background1" w:themeShade="80"/>
                    <w:sz w:val="18"/>
                    <w:szCs w:val="18"/>
                  </w:rPr>
                  <w:t>hoose Currency</w:t>
                </w:r>
                <w:r>
                  <w:rPr>
                    <w:rFonts w:ascii="Arial" w:hAnsi="Arial" w:cs="Arial"/>
                    <w:i/>
                    <w:color w:val="808080" w:themeColor="background1" w:themeShade="80"/>
                    <w:sz w:val="18"/>
                    <w:szCs w:val="18"/>
                  </w:rPr>
                  <w:t>]</w:t>
                </w:r>
              </w:sdtContent>
            </w:sdt>
            <w:r w:rsidRPr="001728B0">
              <w:rPr>
                <w:rFonts w:ascii="Arial" w:hAnsi="Arial" w:cs="Arial"/>
                <w:color w:val="808080" w:themeColor="background1" w:themeShade="80"/>
                <w:sz w:val="18"/>
                <w:szCs w:val="18"/>
              </w:rPr>
              <w:t xml:space="preserve"> </w:t>
            </w:r>
            <w:sdt>
              <w:sdtPr>
                <w:rPr>
                  <w:rFonts w:ascii="Arial" w:hAnsi="Arial" w:cs="Arial"/>
                  <w:sz w:val="18"/>
                  <w:szCs w:val="18"/>
                </w:rPr>
                <w:id w:val="1139074657"/>
                <w:placeholder>
                  <w:docPart w:val="3B40C5D89F8245BD82FA4A9EDABC088F"/>
                </w:placeholder>
                <w:temporary/>
                <w:showingPlcHdr/>
                <w15:appearance w15:val="hidden"/>
              </w:sdtPr>
              <w:sdtContent>
                <w:r>
                  <w:rPr>
                    <w:rFonts w:ascii="Arial" w:hAnsi="Arial" w:cs="Arial"/>
                    <w:i/>
                    <w:color w:val="808080" w:themeColor="background1" w:themeShade="80"/>
                    <w:sz w:val="18"/>
                    <w:szCs w:val="18"/>
                  </w:rPr>
                  <w:t>[T</w:t>
                </w:r>
                <w:r w:rsidRPr="0070394D">
                  <w:rPr>
                    <w:rFonts w:ascii="Arial" w:hAnsi="Arial" w:cs="Arial"/>
                    <w:i/>
                    <w:color w:val="808080" w:themeColor="background1" w:themeShade="80"/>
                    <w:sz w:val="18"/>
                    <w:szCs w:val="18"/>
                  </w:rPr>
                  <w:t xml:space="preserve">ype the </w:t>
                </w:r>
                <w:r>
                  <w:rPr>
                    <w:rFonts w:ascii="Arial" w:hAnsi="Arial" w:cs="Arial"/>
                    <w:i/>
                    <w:color w:val="808080" w:themeColor="background1" w:themeShade="80"/>
                    <w:sz w:val="18"/>
                    <w:szCs w:val="18"/>
                  </w:rPr>
                  <w:t>amount]</w:t>
                </w:r>
              </w:sdtContent>
            </w:sdt>
            <w:r w:rsidRPr="00001D5D">
              <w:rPr>
                <w:rFonts w:ascii="Arial" w:hAnsi="Arial" w:cs="Arial"/>
                <w:sz w:val="18"/>
                <w:szCs w:val="18"/>
                <w:lang w:eastAsia="en-GB"/>
              </w:rPr>
              <w:t xml:space="preserve"> will be made upon submission of a completion report and financial report, in form and substance acceptable to the Fund, including an audited expenditure statement.</w:t>
            </w:r>
          </w:p>
          <w:p w14:paraId="689621B0" w14:textId="77777777" w:rsidR="00B81CCC" w:rsidRPr="00001D5D" w:rsidRDefault="00B81CCC" w:rsidP="00035D76">
            <w:pPr>
              <w:pStyle w:val="ListParagraph"/>
              <w:spacing w:before="60" w:after="60" w:line="276" w:lineRule="auto"/>
              <w:ind w:left="360" w:right="-28"/>
              <w:rPr>
                <w:rFonts w:ascii="Arial" w:hAnsi="Arial" w:cs="Arial"/>
                <w:sz w:val="18"/>
                <w:szCs w:val="18"/>
                <w:lang w:eastAsia="en-GB"/>
              </w:rPr>
            </w:pPr>
          </w:p>
          <w:p w14:paraId="62974D1A" w14:textId="77777777" w:rsidR="00B81CCC" w:rsidRPr="00872589" w:rsidRDefault="00B81CCC" w:rsidP="00035D76">
            <w:pPr>
              <w:suppressAutoHyphens/>
              <w:autoSpaceDN w:val="0"/>
              <w:spacing w:before="60" w:after="60" w:line="276" w:lineRule="auto"/>
              <w:ind w:right="-28"/>
              <w:contextualSpacing/>
              <w:textAlignment w:val="baseline"/>
              <w:rPr>
                <w:rFonts w:ascii="Arial" w:hAnsi="Arial" w:cs="Arial"/>
                <w:sz w:val="18"/>
                <w:szCs w:val="18"/>
                <w:lang w:eastAsia="en-GB"/>
              </w:rPr>
            </w:pPr>
            <w:r w:rsidRPr="00441BF8">
              <w:rPr>
                <w:rFonts w:ascii="Arial" w:hAnsi="Arial" w:cs="Arial"/>
                <w:color w:val="808080" w:themeColor="background1" w:themeShade="80"/>
                <w:sz w:val="18"/>
                <w:szCs w:val="18"/>
                <w:lang w:eastAsia="en-GB"/>
              </w:rPr>
              <w:t>Please include an indicative disbursement table showing the expected amounts to be requested</w:t>
            </w:r>
            <w:r>
              <w:rPr>
                <w:rFonts w:ascii="Arial" w:hAnsi="Arial" w:cs="Arial"/>
                <w:color w:val="808080" w:themeColor="background1" w:themeShade="80"/>
                <w:sz w:val="18"/>
                <w:szCs w:val="18"/>
                <w:lang w:eastAsia="en-GB"/>
              </w:rPr>
              <w:t xml:space="preserve"> </w:t>
            </w:r>
            <w:r w:rsidRPr="00F02CCF">
              <w:rPr>
                <w:rFonts w:ascii="Arial" w:hAnsi="Arial" w:cs="Arial"/>
                <w:color w:val="808080" w:themeColor="background1" w:themeShade="80"/>
                <w:sz w:val="18"/>
                <w:szCs w:val="18"/>
                <w:lang w:eastAsia="en-GB"/>
              </w:rPr>
              <w:t>and keep to multiples of USD 5,000.</w:t>
            </w:r>
          </w:p>
        </w:tc>
      </w:tr>
    </w:tbl>
    <w:p w14:paraId="016FBD8B" w14:textId="77777777" w:rsidR="00B81CCC" w:rsidRDefault="00B81CCC" w:rsidP="00B81CCC">
      <w:pPr>
        <w:spacing w:before="120" w:after="0" w:line="360" w:lineRule="auto"/>
        <w:contextualSpacing/>
        <w:rPr>
          <w:rFonts w:ascii="Arial" w:hAnsi="Arial" w:cs="Arial"/>
          <w:sz w:val="18"/>
          <w:szCs w:val="18"/>
        </w:rPr>
      </w:pPr>
    </w:p>
    <w:p w14:paraId="36C721EA" w14:textId="77777777" w:rsidR="00B81CCC" w:rsidRDefault="00B81CCC" w:rsidP="00B81CCC">
      <w:pPr>
        <w:spacing w:before="120" w:after="0" w:line="360" w:lineRule="auto"/>
        <w:contextualSpacing/>
        <w:rPr>
          <w:rFonts w:ascii="Arial" w:hAnsi="Arial" w:cs="Arial"/>
          <w:sz w:val="18"/>
          <w:szCs w:val="18"/>
        </w:rPr>
        <w:sectPr w:rsidR="00B81CCC" w:rsidSect="00E10DA9">
          <w:pgSz w:w="11906" w:h="16838" w:code="9"/>
          <w:pgMar w:top="1711" w:right="1440" w:bottom="1440" w:left="1440" w:header="720" w:footer="407" w:gutter="0"/>
          <w:cols w:space="720"/>
          <w:titlePg/>
          <w:docGrid w:linePitch="360"/>
        </w:sectPr>
      </w:pPr>
    </w:p>
    <w:tbl>
      <w:tblPr>
        <w:tblW w:w="9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01"/>
      </w:tblGrid>
      <w:tr w:rsidR="00B81CCC" w:rsidRPr="007A7B9A" w14:paraId="38DFBCD2" w14:textId="77777777" w:rsidTr="00035D76">
        <w:trPr>
          <w:trHeight w:val="497"/>
        </w:trPr>
        <w:tc>
          <w:tcPr>
            <w:tcW w:w="9101" w:type="dxa"/>
            <w:shd w:val="clear" w:color="auto" w:fill="24634F"/>
            <w:vAlign w:val="center"/>
          </w:tcPr>
          <w:p w14:paraId="106CCC21" w14:textId="77777777" w:rsidR="00B81CCC" w:rsidRPr="007A7B9A" w:rsidRDefault="00B81CCC" w:rsidP="0082199A">
            <w:pPr>
              <w:pStyle w:val="ListParagraph"/>
              <w:keepNext/>
              <w:numPr>
                <w:ilvl w:val="0"/>
                <w:numId w:val="3"/>
              </w:numPr>
              <w:spacing w:after="0"/>
              <w:rPr>
                <w:rStyle w:val="IntenseReference"/>
                <w:rFonts w:ascii="Arial" w:hAnsi="Arial" w:cs="Arial"/>
                <w:smallCaps w:val="0"/>
                <w:color w:val="FFFFFF" w:themeColor="background1"/>
                <w:szCs w:val="24"/>
              </w:rPr>
            </w:pPr>
            <w:r w:rsidRPr="004E4826">
              <w:rPr>
                <w:rStyle w:val="IntenseReference"/>
                <w:rFonts w:ascii="Arial" w:hAnsi="Arial" w:cs="Arial"/>
                <w:color w:val="FFFFFF" w:themeColor="background1"/>
              </w:rPr>
              <w:lastRenderedPageBreak/>
              <w:t>IMPLEMENTATION ARRANGEMENTS AND OTHER INFORMATION</w:t>
            </w:r>
          </w:p>
        </w:tc>
      </w:tr>
    </w:tbl>
    <w:p w14:paraId="7A5B8BEB" w14:textId="77777777" w:rsidR="00B81CCC" w:rsidRDefault="00B81CCC" w:rsidP="00B81CCC">
      <w:pPr>
        <w:spacing w:before="60" w:after="60" w:line="276" w:lineRule="auto"/>
        <w:contextualSpacing/>
      </w:pPr>
    </w:p>
    <w:p w14:paraId="2513A917" w14:textId="24755B7F" w:rsidR="00B81CCC" w:rsidRPr="00F318A9" w:rsidRDefault="00B81CCC" w:rsidP="00F318A9">
      <w:pPr>
        <w:pStyle w:val="ListParagraph"/>
        <w:numPr>
          <w:ilvl w:val="1"/>
          <w:numId w:val="3"/>
        </w:numPr>
        <w:spacing w:before="60" w:after="60" w:line="276" w:lineRule="auto"/>
        <w:rPr>
          <w:rFonts w:ascii="Arial" w:hAnsi="Arial" w:cs="Arial"/>
          <w:b/>
          <w:color w:val="24634F"/>
          <w:sz w:val="18"/>
          <w:szCs w:val="18"/>
        </w:rPr>
      </w:pPr>
      <w:r w:rsidRPr="00F318A9">
        <w:rPr>
          <w:rFonts w:ascii="Arial" w:hAnsi="Arial" w:cs="Arial"/>
          <w:b/>
          <w:color w:val="24634F"/>
          <w:sz w:val="18"/>
          <w:szCs w:val="18"/>
        </w:rPr>
        <w:t xml:space="preserve">Implementation map </w:t>
      </w:r>
    </w:p>
    <w:p w14:paraId="35217231" w14:textId="77777777" w:rsidR="00F318A9" w:rsidRPr="006317A5" w:rsidRDefault="00F318A9" w:rsidP="00F318A9">
      <w:pPr>
        <w:spacing w:before="60" w:after="60" w:line="276" w:lineRule="auto"/>
        <w:contextualSpacing/>
        <w:rPr>
          <w:rFonts w:ascii="Arial" w:hAnsi="Arial"/>
          <w:sz w:val="18"/>
        </w:rPr>
      </w:pPr>
      <w:bookmarkStart w:id="11" w:name="_Hlk16506440"/>
    </w:p>
    <w:tbl>
      <w:tblPr>
        <w:tblStyle w:val="TableGrid"/>
        <w:tblW w:w="0" w:type="auto"/>
        <w:tblLook w:val="04A0" w:firstRow="1" w:lastRow="0" w:firstColumn="1" w:lastColumn="0" w:noHBand="0" w:noVBand="1"/>
      </w:tblPr>
      <w:tblGrid>
        <w:gridCol w:w="9016"/>
      </w:tblGrid>
      <w:tr w:rsidR="00F318A9" w:rsidRPr="006317A5" w14:paraId="6B51B176" w14:textId="77777777" w:rsidTr="00F318A9">
        <w:trPr>
          <w:trHeight w:val="2447"/>
        </w:trPr>
        <w:tc>
          <w:tcPr>
            <w:tcW w:w="9016" w:type="dxa"/>
          </w:tcPr>
          <w:p w14:paraId="5F26A082" w14:textId="3000E36F" w:rsidR="00F318A9" w:rsidRPr="000F09E9" w:rsidRDefault="00F318A9" w:rsidP="00F318A9">
            <w:pPr>
              <w:ind w:right="-28"/>
              <w:jc w:val="both"/>
              <w:rPr>
                <w:rFonts w:ascii="Arial" w:hAnsi="Arial" w:cs="Arial"/>
                <w:color w:val="000000" w:themeColor="text1"/>
                <w:sz w:val="18"/>
                <w:lang w:eastAsia="en-GB"/>
              </w:rPr>
            </w:pPr>
            <w:r w:rsidRPr="000F09E9">
              <w:rPr>
                <w:rFonts w:ascii="Arial" w:hAnsi="Arial" w:cs="Arial"/>
                <w:color w:val="000000" w:themeColor="text1"/>
                <w:sz w:val="18"/>
                <w:lang w:eastAsia="en-GB"/>
              </w:rPr>
              <w:t xml:space="preserve">UNEP will manage the funds for the activities under this readiness agreement. UNEP will agree on a plan with the NDA of </w:t>
            </w:r>
            <w:r w:rsidR="009206E0">
              <w:rPr>
                <w:rFonts w:ascii="Arial" w:hAnsi="Arial" w:cs="Arial"/>
                <w:color w:val="000000" w:themeColor="text1"/>
                <w:sz w:val="18"/>
                <w:lang w:eastAsia="en-GB"/>
              </w:rPr>
              <w:t>Mozambique</w:t>
            </w:r>
            <w:r w:rsidRPr="000F09E9">
              <w:rPr>
                <w:rFonts w:ascii="Arial" w:hAnsi="Arial" w:cs="Arial"/>
                <w:color w:val="000000" w:themeColor="text1"/>
                <w:sz w:val="18"/>
                <w:lang w:eastAsia="en-GB"/>
              </w:rPr>
              <w:t xml:space="preserve"> to monitor the implementation of the activities using the grant proceeds. However, UNEP </w:t>
            </w:r>
            <w:r>
              <w:rPr>
                <w:rFonts w:ascii="Arial" w:hAnsi="Arial" w:cs="Arial"/>
                <w:color w:val="000000" w:themeColor="text1"/>
                <w:sz w:val="18"/>
                <w:lang w:eastAsia="en-GB"/>
              </w:rPr>
              <w:t xml:space="preserve">through the CTCN </w:t>
            </w:r>
            <w:r w:rsidRPr="000F09E9">
              <w:rPr>
                <w:rFonts w:ascii="Arial" w:hAnsi="Arial" w:cs="Arial"/>
                <w:color w:val="000000" w:themeColor="text1"/>
                <w:sz w:val="18"/>
                <w:lang w:eastAsia="en-GB"/>
              </w:rPr>
              <w:t>will be responsible for the implementation of the activities under this readiness and preparatory support proposal.</w:t>
            </w:r>
          </w:p>
          <w:p w14:paraId="67E88BD7" w14:textId="77777777" w:rsidR="00F318A9" w:rsidRPr="000F09E9" w:rsidRDefault="00F318A9" w:rsidP="00F318A9">
            <w:pPr>
              <w:ind w:right="-28"/>
              <w:rPr>
                <w:rFonts w:ascii="Arial" w:hAnsi="Arial" w:cs="Arial"/>
                <w:color w:val="000000" w:themeColor="text1"/>
                <w:sz w:val="18"/>
                <w:lang w:eastAsia="en-GB"/>
              </w:rPr>
            </w:pPr>
          </w:p>
          <w:p w14:paraId="5F49B788" w14:textId="77777777" w:rsidR="00F318A9" w:rsidRPr="000F09E9" w:rsidRDefault="00F318A9" w:rsidP="00F318A9">
            <w:pPr>
              <w:ind w:right="-28"/>
              <w:jc w:val="both"/>
              <w:rPr>
                <w:rFonts w:ascii="Arial" w:hAnsi="Arial" w:cs="Arial"/>
                <w:color w:val="000000" w:themeColor="text1"/>
                <w:sz w:val="18"/>
                <w:lang w:eastAsia="en-GB"/>
              </w:rPr>
            </w:pPr>
            <w:r w:rsidRPr="000F09E9">
              <w:rPr>
                <w:rFonts w:ascii="Arial" w:hAnsi="Arial" w:cs="Arial"/>
                <w:color w:val="000000" w:themeColor="text1"/>
                <w:sz w:val="18"/>
                <w:lang w:eastAsia="en-GB"/>
              </w:rPr>
              <w:t xml:space="preserve">The selected implementer will report to CTCN as per their contractual arrangement and in line with UN rules and regulations. They will produce regular progress and financial reports and will submit deliverables to CTCN.  Funds will only be released </w:t>
            </w:r>
            <w:proofErr w:type="gramStart"/>
            <w:r w:rsidRPr="000F09E9">
              <w:rPr>
                <w:rFonts w:ascii="Arial" w:hAnsi="Arial" w:cs="Arial"/>
                <w:color w:val="000000" w:themeColor="text1"/>
                <w:sz w:val="18"/>
                <w:lang w:eastAsia="en-GB"/>
              </w:rPr>
              <w:t>if and when</w:t>
            </w:r>
            <w:proofErr w:type="gramEnd"/>
            <w:r w:rsidRPr="000F09E9">
              <w:rPr>
                <w:rFonts w:ascii="Arial" w:hAnsi="Arial" w:cs="Arial"/>
                <w:color w:val="000000" w:themeColor="text1"/>
                <w:sz w:val="18"/>
                <w:lang w:eastAsia="en-GB"/>
              </w:rPr>
              <w:t xml:space="preserve"> the deliverables are satisfactory and cleared by CTCN. They will return any unspent funds within ninety days of expiry or notice of termination of the CTCN. </w:t>
            </w:r>
          </w:p>
          <w:p w14:paraId="2A12C2FC" w14:textId="77777777" w:rsidR="00F318A9" w:rsidRPr="000F09E9" w:rsidRDefault="00F318A9" w:rsidP="00F318A9">
            <w:pPr>
              <w:ind w:right="-28"/>
              <w:jc w:val="both"/>
              <w:rPr>
                <w:rFonts w:ascii="Arial" w:hAnsi="Arial" w:cs="Arial"/>
                <w:color w:val="000000" w:themeColor="text1"/>
                <w:sz w:val="18"/>
                <w:lang w:eastAsia="en-GB"/>
              </w:rPr>
            </w:pPr>
          </w:p>
          <w:p w14:paraId="2CCF0A93" w14:textId="0F22E4D6" w:rsidR="00F318A9" w:rsidRPr="000F09E9" w:rsidRDefault="00F318A9" w:rsidP="00F318A9">
            <w:pPr>
              <w:ind w:right="-28"/>
              <w:jc w:val="both"/>
              <w:rPr>
                <w:rFonts w:ascii="Arial" w:hAnsi="Arial" w:cs="Arial"/>
                <w:color w:val="000000" w:themeColor="text1"/>
                <w:sz w:val="18"/>
                <w:lang w:eastAsia="en-GB"/>
              </w:rPr>
            </w:pPr>
            <w:r w:rsidRPr="000F09E9">
              <w:rPr>
                <w:rFonts w:ascii="Arial" w:hAnsi="Arial" w:cs="Arial"/>
                <w:color w:val="000000" w:themeColor="text1"/>
                <w:sz w:val="18"/>
                <w:lang w:eastAsia="en-GB"/>
              </w:rPr>
              <w:t xml:space="preserve">The UNFCCC country focal points for technology (NDE) and finance (NDA) will provide active support to the implementer in the execution of this technical assistance. Their roles as country focal points will include, but not be limited to: Ensuring the activities associated with the implementation of this technical assistance are aligned with national climate priorities; promote and engage with key stakeholders as identified by the implementer; promote and present this technical assistance in climate change-related events; and participate in CTCN events and in national workshops affiliated with this technical assistance, if required. They will also be expected to provide guidance and review any relevant documents </w:t>
            </w:r>
            <w:r w:rsidR="00E74BE1" w:rsidRPr="000F09E9">
              <w:rPr>
                <w:rFonts w:ascii="Arial" w:hAnsi="Arial" w:cs="Arial"/>
                <w:color w:val="000000" w:themeColor="text1"/>
                <w:sz w:val="18"/>
                <w:lang w:eastAsia="en-GB"/>
              </w:rPr>
              <w:t>produced and</w:t>
            </w:r>
            <w:r w:rsidRPr="000F09E9">
              <w:rPr>
                <w:rFonts w:ascii="Arial" w:hAnsi="Arial" w:cs="Arial"/>
                <w:color w:val="000000" w:themeColor="text1"/>
                <w:sz w:val="18"/>
                <w:lang w:eastAsia="en-GB"/>
              </w:rPr>
              <w:t xml:space="preserve"> will be kept apprised of the progress of the technical assistance.  The implementation map below summarizes the different interactions between the different parties involved in this technical assistance:</w:t>
            </w:r>
          </w:p>
          <w:p w14:paraId="1DD578C1" w14:textId="77777777" w:rsidR="00F318A9" w:rsidRPr="000F09E9" w:rsidRDefault="00F318A9" w:rsidP="00F318A9">
            <w:pPr>
              <w:spacing w:before="240" w:line="276" w:lineRule="auto"/>
              <w:ind w:right="-29"/>
              <w:rPr>
                <w:rFonts w:ascii="Arial" w:hAnsi="Arial" w:cs="Arial"/>
                <w:sz w:val="18"/>
                <w:szCs w:val="18"/>
              </w:rPr>
            </w:pPr>
          </w:p>
          <w:p w14:paraId="2186454E" w14:textId="77777777" w:rsidR="00F318A9" w:rsidRPr="000F09E9" w:rsidRDefault="00F318A9" w:rsidP="00F318A9">
            <w:pPr>
              <w:spacing w:before="240" w:line="276" w:lineRule="auto"/>
              <w:ind w:right="-29"/>
              <w:rPr>
                <w:rFonts w:ascii="Arial" w:hAnsi="Arial" w:cs="Arial"/>
                <w:sz w:val="18"/>
                <w:szCs w:val="18"/>
              </w:rPr>
            </w:pPr>
            <w:r>
              <w:rPr>
                <w:rFonts w:ascii="Arial" w:hAnsi="Arial" w:cs="Arial"/>
                <w:noProof/>
                <w:sz w:val="18"/>
                <w:szCs w:val="18"/>
              </w:rPr>
              <w:drawing>
                <wp:inline distT="0" distB="0" distL="0" distR="0" wp14:anchorId="101A41CE" wp14:editId="5A5B4557">
                  <wp:extent cx="5523230" cy="257873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23230" cy="2578735"/>
                          </a:xfrm>
                          <a:prstGeom prst="rect">
                            <a:avLst/>
                          </a:prstGeom>
                          <a:noFill/>
                        </pic:spPr>
                      </pic:pic>
                    </a:graphicData>
                  </a:graphic>
                </wp:inline>
              </w:drawing>
            </w:r>
          </w:p>
          <w:p w14:paraId="371D75DD" w14:textId="77777777" w:rsidR="00F318A9" w:rsidRPr="000F09E9" w:rsidRDefault="00F318A9" w:rsidP="00F318A9">
            <w:pPr>
              <w:spacing w:before="240" w:line="276" w:lineRule="auto"/>
              <w:ind w:right="-29"/>
              <w:rPr>
                <w:rFonts w:ascii="Arial" w:hAnsi="Arial" w:cs="Arial"/>
                <w:sz w:val="18"/>
                <w:szCs w:val="18"/>
              </w:rPr>
            </w:pPr>
          </w:p>
          <w:p w14:paraId="003F5F6E" w14:textId="77777777" w:rsidR="00F318A9" w:rsidRPr="000F09E9" w:rsidRDefault="00F318A9" w:rsidP="00F318A9">
            <w:pPr>
              <w:tabs>
                <w:tab w:val="center" w:pos="4680"/>
                <w:tab w:val="right" w:pos="9360"/>
              </w:tabs>
              <w:jc w:val="both"/>
              <w:rPr>
                <w:rFonts w:ascii="Arial" w:hAnsi="Arial" w:cs="Arial"/>
                <w:b/>
                <w:sz w:val="20"/>
                <w:lang w:eastAsia="en-GB"/>
              </w:rPr>
            </w:pPr>
            <w:r w:rsidRPr="000F09E9">
              <w:rPr>
                <w:rFonts w:ascii="Arial" w:hAnsi="Arial" w:cs="Arial"/>
                <w:b/>
                <w:sz w:val="20"/>
                <w:lang w:eastAsia="en-GB"/>
              </w:rPr>
              <w:t>CTCN processes before the selection of the implementer (described in the implementation map)</w:t>
            </w:r>
          </w:p>
          <w:p w14:paraId="1A3C9EA9" w14:textId="77777777" w:rsidR="00F318A9" w:rsidRPr="000F09E9" w:rsidRDefault="00F318A9" w:rsidP="00F318A9">
            <w:pPr>
              <w:tabs>
                <w:tab w:val="center" w:pos="4680"/>
                <w:tab w:val="right" w:pos="9360"/>
              </w:tabs>
              <w:jc w:val="both"/>
              <w:rPr>
                <w:rFonts w:ascii="Arial" w:hAnsi="Arial" w:cs="Arial"/>
                <w:sz w:val="18"/>
                <w:lang w:eastAsia="en-GB"/>
              </w:rPr>
            </w:pPr>
          </w:p>
          <w:p w14:paraId="229F6681" w14:textId="77777777" w:rsidR="00F318A9" w:rsidRPr="000F09E9" w:rsidRDefault="00F318A9" w:rsidP="00F318A9">
            <w:pPr>
              <w:tabs>
                <w:tab w:val="center" w:pos="4680"/>
                <w:tab w:val="right" w:pos="9360"/>
              </w:tabs>
              <w:jc w:val="both"/>
              <w:rPr>
                <w:rFonts w:ascii="Arial" w:hAnsi="Arial" w:cs="Arial"/>
                <w:sz w:val="18"/>
                <w:szCs w:val="18"/>
                <w:lang w:eastAsia="en-US"/>
              </w:rPr>
            </w:pPr>
            <w:r w:rsidRPr="000F09E9">
              <w:rPr>
                <w:rFonts w:ascii="Arial" w:hAnsi="Arial" w:cs="Arial"/>
                <w:sz w:val="18"/>
                <w:lang w:eastAsia="en-GB"/>
              </w:rPr>
              <w:t xml:space="preserve">The CTCN process for managing technical assistance is the following: Requests for technical assistance can be prepared by any applicant organization from a developing country, but all requests must be submitted by the CTCN NDE (national focal point in the concerned country). Once submitted, all requests submitted by developing countries are assessed as per eligibility, balancing and prioritization criteria approved by the CTCN Advisory Board. The </w:t>
            </w:r>
            <w:r w:rsidRPr="000F09E9">
              <w:rPr>
                <w:rFonts w:ascii="Arial" w:hAnsi="Arial" w:cs="Arial"/>
                <w:sz w:val="18"/>
                <w:szCs w:val="18"/>
                <w:lang w:eastAsia="en-GB"/>
              </w:rPr>
              <w:t xml:space="preserve">three eligibility criteria are the following: 1) </w:t>
            </w:r>
            <w:r w:rsidRPr="000F09E9">
              <w:rPr>
                <w:rFonts w:ascii="Arial" w:hAnsi="Arial" w:cs="Arial"/>
                <w:sz w:val="18"/>
                <w:szCs w:val="18"/>
              </w:rPr>
              <w:t xml:space="preserve">The support provided will contribute to increased resilience and/or mitigate emissions, and is aligned with national plans; 2) The support will enhance endogenous capacities; and; 3) Processes are in place in the requesting country to monitor and evaluate any support provided (that is, project accountability is ensured). Balancing criteria are looking at inter and intra-regional </w:t>
            </w:r>
            <w:proofErr w:type="gramStart"/>
            <w:r w:rsidRPr="000F09E9">
              <w:rPr>
                <w:rFonts w:ascii="Arial" w:hAnsi="Arial" w:cs="Arial"/>
                <w:sz w:val="18"/>
                <w:szCs w:val="18"/>
              </w:rPr>
              <w:t>an</w:t>
            </w:r>
            <w:proofErr w:type="gramEnd"/>
            <w:r w:rsidRPr="000F09E9">
              <w:rPr>
                <w:rFonts w:ascii="Arial" w:hAnsi="Arial" w:cs="Arial"/>
                <w:sz w:val="18"/>
                <w:szCs w:val="18"/>
              </w:rPr>
              <w:t xml:space="preserve"> geographical balance (with a preference for requests submitted by LDCs and other highly vulnerable and low capacity countries; balance between adaptation and mitigation objectives, and balance between various types of support spanning the technology cycle. Prioritization criteria consider a number of elements that demonstrate </w:t>
            </w:r>
            <w:r w:rsidRPr="000F09E9">
              <w:rPr>
                <w:rFonts w:ascii="Arial" w:hAnsi="Arial" w:cs="Arial"/>
                <w:sz w:val="18"/>
                <w:szCs w:val="18"/>
              </w:rPr>
              <w:lastRenderedPageBreak/>
              <w:t>project strengthen and potential for success, including the promotion of endogenous capacities and appropriate technologies, potential for scale up, for South-South cooperation, for leveraging public and private financing, for creating social, economic and social benefits, promoting gender equality etc.</w:t>
            </w:r>
          </w:p>
          <w:p w14:paraId="582C320B" w14:textId="77777777" w:rsidR="00F318A9" w:rsidRPr="000F09E9" w:rsidRDefault="00F318A9" w:rsidP="00F318A9">
            <w:pPr>
              <w:tabs>
                <w:tab w:val="center" w:pos="4680"/>
                <w:tab w:val="right" w:pos="9360"/>
              </w:tabs>
              <w:jc w:val="both"/>
              <w:rPr>
                <w:rFonts w:ascii="Arial" w:hAnsi="Arial" w:cs="Arial"/>
                <w:sz w:val="18"/>
                <w:szCs w:val="18"/>
              </w:rPr>
            </w:pPr>
          </w:p>
          <w:p w14:paraId="3288B17B" w14:textId="77777777" w:rsidR="00F318A9" w:rsidRPr="000F09E9" w:rsidRDefault="00F318A9" w:rsidP="00F318A9">
            <w:pPr>
              <w:tabs>
                <w:tab w:val="center" w:pos="4680"/>
                <w:tab w:val="right" w:pos="9360"/>
              </w:tabs>
              <w:jc w:val="both"/>
              <w:rPr>
                <w:rFonts w:ascii="Arial" w:hAnsi="Arial" w:cs="Arial"/>
                <w:sz w:val="18"/>
                <w:szCs w:val="18"/>
              </w:rPr>
            </w:pPr>
            <w:r w:rsidRPr="000F09E9">
              <w:rPr>
                <w:rFonts w:ascii="Arial" w:hAnsi="Arial" w:cs="Arial"/>
                <w:sz w:val="18"/>
                <w:szCs w:val="18"/>
              </w:rPr>
              <w:t xml:space="preserve">Once a request is deemed eligible and </w:t>
            </w:r>
            <w:proofErr w:type="spellStart"/>
            <w:r w:rsidRPr="000F09E9">
              <w:rPr>
                <w:rFonts w:ascii="Arial" w:hAnsi="Arial" w:cs="Arial"/>
                <w:sz w:val="18"/>
                <w:szCs w:val="18"/>
              </w:rPr>
              <w:t>prioritised</w:t>
            </w:r>
            <w:proofErr w:type="spellEnd"/>
            <w:r w:rsidRPr="000F09E9">
              <w:rPr>
                <w:rFonts w:ascii="Arial" w:hAnsi="Arial" w:cs="Arial"/>
                <w:sz w:val="18"/>
                <w:szCs w:val="18"/>
              </w:rPr>
              <w:t xml:space="preserve">, the CTCN selects the best expertise among its consortium partners to develop a response plan. The criteria for selection are: Relevant technical expertise, Experience and network in national context, Relevant language capacity, Response Planning track record, </w:t>
            </w:r>
            <w:r w:rsidRPr="000F09E9">
              <w:rPr>
                <w:rFonts w:ascii="Arial" w:hAnsi="Arial" w:cs="Arial"/>
                <w:sz w:val="18"/>
                <w:szCs w:val="18"/>
              </w:rPr>
              <w:tab/>
              <w:t xml:space="preserve">Representative use of the consortium partners in Response Planning and Feedback/ preference from the NDE. </w:t>
            </w:r>
          </w:p>
          <w:p w14:paraId="410D7B39" w14:textId="77777777" w:rsidR="00F318A9" w:rsidRPr="000F09E9" w:rsidRDefault="00F318A9" w:rsidP="00F318A9">
            <w:pPr>
              <w:spacing w:before="240" w:line="276" w:lineRule="auto"/>
              <w:ind w:right="-29"/>
              <w:rPr>
                <w:rFonts w:ascii="Arial" w:hAnsi="Arial" w:cs="Arial"/>
                <w:sz w:val="18"/>
                <w:szCs w:val="18"/>
              </w:rPr>
            </w:pPr>
            <w:r w:rsidRPr="000F09E9">
              <w:rPr>
                <w:rFonts w:ascii="Arial" w:hAnsi="Arial" w:cs="Arial"/>
                <w:sz w:val="18"/>
                <w:szCs w:val="18"/>
              </w:rPr>
              <w:t>Based on the discussion with the NDE, NDA and request proponent and feedback from the CTCN, the consortium partner develops the response plan. Once an advanced version is prepared, it is presented to CTCN’s director NDE and NDA for signature. Once the response plan is signed, the contracting of the implementer starts.</w:t>
            </w:r>
          </w:p>
          <w:p w14:paraId="3D3D14BF" w14:textId="77777777" w:rsidR="00F318A9" w:rsidRPr="006317A5" w:rsidRDefault="00F318A9" w:rsidP="00F318A9">
            <w:pPr>
              <w:spacing w:before="240" w:line="276" w:lineRule="auto"/>
              <w:ind w:right="-29"/>
              <w:rPr>
                <w:rFonts w:ascii="Arial" w:hAnsi="Arial"/>
                <w:sz w:val="18"/>
              </w:rPr>
            </w:pPr>
          </w:p>
        </w:tc>
      </w:tr>
    </w:tbl>
    <w:p w14:paraId="3811E00C" w14:textId="77777777" w:rsidR="00F318A9" w:rsidRPr="006317A5" w:rsidRDefault="00F318A9" w:rsidP="00F318A9">
      <w:pPr>
        <w:spacing w:before="60" w:after="60" w:line="276" w:lineRule="auto"/>
        <w:contextualSpacing/>
        <w:rPr>
          <w:rFonts w:ascii="Arial" w:hAnsi="Arial"/>
          <w:sz w:val="18"/>
        </w:rPr>
      </w:pPr>
    </w:p>
    <w:p w14:paraId="20CD00A8" w14:textId="77777777" w:rsidR="00F318A9" w:rsidRPr="006317A5" w:rsidRDefault="00F318A9" w:rsidP="00F318A9">
      <w:pPr>
        <w:spacing w:before="60" w:after="60" w:line="276" w:lineRule="auto"/>
        <w:contextualSpacing/>
        <w:rPr>
          <w:rFonts w:ascii="Arial" w:hAnsi="Arial"/>
          <w:b/>
          <w:color w:val="24634F"/>
          <w:sz w:val="18"/>
        </w:rPr>
      </w:pPr>
      <w:r w:rsidRPr="006317A5">
        <w:rPr>
          <w:rFonts w:ascii="Arial" w:hAnsi="Arial"/>
          <w:b/>
          <w:color w:val="24634F"/>
          <w:sz w:val="18"/>
        </w:rPr>
        <w:t>6.2 Risks, monitoring and evaluation (M&amp;E), and other relevant information</w:t>
      </w:r>
    </w:p>
    <w:p w14:paraId="739EEDC4" w14:textId="77777777" w:rsidR="00F318A9" w:rsidRPr="006317A5" w:rsidRDefault="00F318A9" w:rsidP="00F318A9">
      <w:pPr>
        <w:spacing w:before="60" w:after="60" w:line="276" w:lineRule="auto"/>
        <w:contextualSpacing/>
        <w:rPr>
          <w:rFonts w:ascii="Arial" w:hAnsi="Arial"/>
          <w:sz w:val="18"/>
        </w:rPr>
      </w:pPr>
    </w:p>
    <w:tbl>
      <w:tblPr>
        <w:tblStyle w:val="TableGrid"/>
        <w:tblW w:w="0" w:type="auto"/>
        <w:tblLook w:val="04A0" w:firstRow="1" w:lastRow="0" w:firstColumn="1" w:lastColumn="0" w:noHBand="0" w:noVBand="1"/>
      </w:tblPr>
      <w:tblGrid>
        <w:gridCol w:w="9016"/>
      </w:tblGrid>
      <w:tr w:rsidR="00F318A9" w:rsidRPr="00C618CC" w14:paraId="42773FEF" w14:textId="77777777" w:rsidTr="00F318A9">
        <w:trPr>
          <w:trHeight w:val="2600"/>
        </w:trPr>
        <w:tc>
          <w:tcPr>
            <w:tcW w:w="9016" w:type="dxa"/>
          </w:tcPr>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9"/>
              <w:gridCol w:w="1026"/>
              <w:gridCol w:w="3947"/>
            </w:tblGrid>
            <w:tr w:rsidR="00F318A9" w:rsidRPr="006317A5" w14:paraId="1E7D885E" w14:textId="77777777" w:rsidTr="00F318A9">
              <w:trPr>
                <w:trHeight w:val="251"/>
              </w:trPr>
              <w:tc>
                <w:tcPr>
                  <w:tcW w:w="3709" w:type="dxa"/>
                  <w:tcBorders>
                    <w:top w:val="single" w:sz="4" w:space="0" w:color="000000"/>
                    <w:left w:val="single" w:sz="4" w:space="0" w:color="000000"/>
                    <w:bottom w:val="single" w:sz="4" w:space="0" w:color="000000"/>
                    <w:right w:val="single" w:sz="4" w:space="0" w:color="000000"/>
                  </w:tcBorders>
                  <w:shd w:val="clear" w:color="auto" w:fill="DBE5F1"/>
                </w:tcPr>
                <w:p w14:paraId="33147602" w14:textId="77777777" w:rsidR="00F318A9" w:rsidRPr="00A979DB" w:rsidRDefault="00F318A9" w:rsidP="00F318A9">
                  <w:pPr>
                    <w:pStyle w:val="GEFFieldtoFillout"/>
                    <w:autoSpaceDN w:val="0"/>
                    <w:spacing w:line="276" w:lineRule="auto"/>
                    <w:ind w:left="5"/>
                    <w:jc w:val="center"/>
                    <w:rPr>
                      <w:b/>
                      <w:sz w:val="8"/>
                    </w:rPr>
                  </w:pPr>
                </w:p>
                <w:p w14:paraId="330003AB" w14:textId="77777777" w:rsidR="00F318A9" w:rsidRPr="00A979DB" w:rsidRDefault="00F318A9" w:rsidP="00F318A9">
                  <w:pPr>
                    <w:pStyle w:val="GEFFieldtoFillout"/>
                    <w:autoSpaceDN w:val="0"/>
                    <w:spacing w:line="276" w:lineRule="auto"/>
                    <w:ind w:left="5"/>
                    <w:jc w:val="center"/>
                    <w:rPr>
                      <w:b/>
                    </w:rPr>
                  </w:pPr>
                  <w:r w:rsidRPr="00A979DB">
                    <w:rPr>
                      <w:b/>
                    </w:rPr>
                    <w:t>Risk</w:t>
                  </w:r>
                </w:p>
              </w:tc>
              <w:tc>
                <w:tcPr>
                  <w:tcW w:w="1026" w:type="dxa"/>
                  <w:tcBorders>
                    <w:top w:val="single" w:sz="4" w:space="0" w:color="000000"/>
                    <w:left w:val="single" w:sz="4" w:space="0" w:color="000000"/>
                    <w:bottom w:val="single" w:sz="4" w:space="0" w:color="000000"/>
                    <w:right w:val="single" w:sz="4" w:space="0" w:color="000000"/>
                  </w:tcBorders>
                  <w:shd w:val="clear" w:color="auto" w:fill="DBE5F1"/>
                </w:tcPr>
                <w:p w14:paraId="229981E7" w14:textId="77777777" w:rsidR="00F318A9" w:rsidRPr="00A979DB" w:rsidRDefault="00F318A9" w:rsidP="00F318A9">
                  <w:pPr>
                    <w:pStyle w:val="GEFFieldtoFillout"/>
                    <w:autoSpaceDN w:val="0"/>
                    <w:spacing w:line="276" w:lineRule="auto"/>
                    <w:ind w:left="5"/>
                    <w:jc w:val="center"/>
                    <w:rPr>
                      <w:b/>
                      <w:sz w:val="8"/>
                    </w:rPr>
                  </w:pPr>
                </w:p>
                <w:p w14:paraId="76193908" w14:textId="77777777" w:rsidR="00F318A9" w:rsidRPr="00A979DB" w:rsidRDefault="00F318A9" w:rsidP="00F318A9">
                  <w:pPr>
                    <w:pStyle w:val="GEFFieldtoFillout"/>
                    <w:autoSpaceDN w:val="0"/>
                    <w:spacing w:line="276" w:lineRule="auto"/>
                    <w:ind w:left="5"/>
                    <w:jc w:val="center"/>
                    <w:rPr>
                      <w:b/>
                    </w:rPr>
                  </w:pPr>
                  <w:r w:rsidRPr="00A979DB">
                    <w:rPr>
                      <w:b/>
                    </w:rPr>
                    <w:t>Rating</w:t>
                  </w:r>
                </w:p>
              </w:tc>
              <w:tc>
                <w:tcPr>
                  <w:tcW w:w="3947" w:type="dxa"/>
                  <w:tcBorders>
                    <w:top w:val="single" w:sz="4" w:space="0" w:color="000000"/>
                    <w:left w:val="single" w:sz="4" w:space="0" w:color="000000"/>
                    <w:bottom w:val="single" w:sz="4" w:space="0" w:color="000000"/>
                    <w:right w:val="single" w:sz="4" w:space="0" w:color="000000"/>
                  </w:tcBorders>
                  <w:shd w:val="clear" w:color="auto" w:fill="DBE5F1"/>
                </w:tcPr>
                <w:p w14:paraId="40ADD800" w14:textId="77777777" w:rsidR="00F318A9" w:rsidRPr="009A2ED1" w:rsidRDefault="00F318A9" w:rsidP="00F318A9">
                  <w:pPr>
                    <w:pStyle w:val="GEFFieldtoFillout"/>
                    <w:autoSpaceDN w:val="0"/>
                    <w:spacing w:line="276" w:lineRule="auto"/>
                    <w:ind w:left="5"/>
                    <w:jc w:val="center"/>
                    <w:rPr>
                      <w:b/>
                      <w:sz w:val="8"/>
                    </w:rPr>
                  </w:pPr>
                </w:p>
                <w:p w14:paraId="684447A6" w14:textId="77777777" w:rsidR="00F318A9" w:rsidRPr="009A2ED1" w:rsidRDefault="00F318A9" w:rsidP="00F318A9">
                  <w:pPr>
                    <w:pStyle w:val="GEFFieldtoFillout"/>
                    <w:autoSpaceDN w:val="0"/>
                    <w:spacing w:line="276" w:lineRule="auto"/>
                    <w:ind w:left="5"/>
                    <w:jc w:val="center"/>
                    <w:rPr>
                      <w:b/>
                    </w:rPr>
                  </w:pPr>
                  <w:r w:rsidRPr="009A2ED1">
                    <w:rPr>
                      <w:b/>
                    </w:rPr>
                    <w:t>Mitigation</w:t>
                  </w:r>
                </w:p>
              </w:tc>
            </w:tr>
            <w:tr w:rsidR="00F318A9" w:rsidRPr="006317A5" w14:paraId="52AAA13C" w14:textId="77777777" w:rsidTr="00F318A9">
              <w:tc>
                <w:tcPr>
                  <w:tcW w:w="3709" w:type="dxa"/>
                  <w:tcBorders>
                    <w:top w:val="single" w:sz="4" w:space="0" w:color="000000"/>
                    <w:left w:val="single" w:sz="4" w:space="0" w:color="000000"/>
                    <w:bottom w:val="single" w:sz="4" w:space="0" w:color="000000"/>
                    <w:right w:val="single" w:sz="4" w:space="0" w:color="000000"/>
                  </w:tcBorders>
                </w:tcPr>
                <w:p w14:paraId="50E5488D" w14:textId="77777777" w:rsidR="00F318A9" w:rsidRPr="00A979DB" w:rsidRDefault="00F318A9" w:rsidP="00F318A9">
                  <w:pPr>
                    <w:pStyle w:val="GEFFieldtoFillout"/>
                    <w:autoSpaceDN w:val="0"/>
                    <w:spacing w:line="276" w:lineRule="auto"/>
                    <w:ind w:left="5"/>
                    <w:jc w:val="both"/>
                    <w:rPr>
                      <w:b/>
                      <w:sz w:val="18"/>
                    </w:rPr>
                  </w:pPr>
                  <w:r w:rsidRPr="00A979DB">
                    <w:rPr>
                      <w:b/>
                      <w:sz w:val="18"/>
                    </w:rPr>
                    <w:t>Engagement risk:</w:t>
                  </w:r>
                </w:p>
                <w:p w14:paraId="071D313A" w14:textId="77777777" w:rsidR="00F318A9" w:rsidRPr="00A979DB" w:rsidRDefault="00F318A9" w:rsidP="00F318A9">
                  <w:pPr>
                    <w:pStyle w:val="GEFFieldtoFillout"/>
                    <w:autoSpaceDN w:val="0"/>
                    <w:spacing w:line="276" w:lineRule="auto"/>
                    <w:ind w:left="5"/>
                    <w:jc w:val="both"/>
                    <w:rPr>
                      <w:b/>
                      <w:sz w:val="18"/>
                    </w:rPr>
                  </w:pPr>
                  <w:r w:rsidRPr="00A979DB">
                    <w:rPr>
                      <w:sz w:val="18"/>
                    </w:rPr>
                    <w:t>Lack of engagement from key stakeholders</w:t>
                  </w:r>
                </w:p>
              </w:tc>
              <w:tc>
                <w:tcPr>
                  <w:tcW w:w="1026" w:type="dxa"/>
                  <w:tcBorders>
                    <w:top w:val="single" w:sz="4" w:space="0" w:color="000000"/>
                    <w:left w:val="single" w:sz="4" w:space="0" w:color="000000"/>
                    <w:bottom w:val="single" w:sz="4" w:space="0" w:color="000000"/>
                    <w:right w:val="single" w:sz="4" w:space="0" w:color="000000"/>
                  </w:tcBorders>
                </w:tcPr>
                <w:p w14:paraId="05F6360C" w14:textId="77777777" w:rsidR="00F318A9" w:rsidRPr="00A979DB" w:rsidRDefault="00F318A9" w:rsidP="00F318A9">
                  <w:pPr>
                    <w:pStyle w:val="GEFFieldtoFillout"/>
                    <w:autoSpaceDN w:val="0"/>
                    <w:spacing w:line="360" w:lineRule="auto"/>
                    <w:ind w:left="5"/>
                    <w:jc w:val="center"/>
                    <w:rPr>
                      <w:i/>
                      <w:sz w:val="18"/>
                    </w:rPr>
                  </w:pPr>
                  <w:r w:rsidRPr="00A979DB">
                    <w:rPr>
                      <w:i/>
                      <w:sz w:val="18"/>
                    </w:rPr>
                    <w:t>Low</w:t>
                  </w:r>
                </w:p>
              </w:tc>
              <w:tc>
                <w:tcPr>
                  <w:tcW w:w="3947" w:type="dxa"/>
                  <w:tcBorders>
                    <w:top w:val="single" w:sz="4" w:space="0" w:color="000000"/>
                    <w:left w:val="single" w:sz="4" w:space="0" w:color="000000"/>
                    <w:bottom w:val="single" w:sz="4" w:space="0" w:color="000000"/>
                    <w:right w:val="single" w:sz="4" w:space="0" w:color="000000"/>
                  </w:tcBorders>
                </w:tcPr>
                <w:p w14:paraId="518411C5" w14:textId="77777777" w:rsidR="00F318A9" w:rsidRPr="00A979DB" w:rsidRDefault="00F318A9" w:rsidP="00F318A9">
                  <w:pPr>
                    <w:pStyle w:val="GEFFieldtoFillout"/>
                    <w:autoSpaceDN w:val="0"/>
                    <w:spacing w:line="276" w:lineRule="auto"/>
                    <w:ind w:left="0"/>
                    <w:rPr>
                      <w:sz w:val="18"/>
                    </w:rPr>
                  </w:pPr>
                  <w:r w:rsidRPr="00A979DB">
                    <w:rPr>
                      <w:sz w:val="18"/>
                    </w:rPr>
                    <w:t xml:space="preserve">The Policy Working Group (PWG) </w:t>
                  </w:r>
                  <w:r w:rsidRPr="006317A5">
                    <w:rPr>
                      <w:sz w:val="18"/>
                    </w:rPr>
                    <w:t>will be</w:t>
                  </w:r>
                  <w:r w:rsidRPr="00A979DB">
                    <w:rPr>
                      <w:sz w:val="18"/>
                    </w:rPr>
                    <w:t xml:space="preserve"> established</w:t>
                  </w:r>
                  <w:r w:rsidRPr="006317A5">
                    <w:rPr>
                      <w:sz w:val="18"/>
                    </w:rPr>
                    <w:t xml:space="preserve"> to serve </w:t>
                  </w:r>
                  <w:r w:rsidRPr="00A979DB">
                    <w:rPr>
                      <w:sz w:val="18"/>
                    </w:rPr>
                    <w:t xml:space="preserve">as the project’s steering </w:t>
                  </w:r>
                  <w:proofErr w:type="gramStart"/>
                  <w:r w:rsidRPr="00A979DB">
                    <w:rPr>
                      <w:sz w:val="18"/>
                    </w:rPr>
                    <w:t>committee, and</w:t>
                  </w:r>
                  <w:proofErr w:type="gramEnd"/>
                  <w:r w:rsidRPr="00A979DB">
                    <w:rPr>
                      <w:sz w:val="18"/>
                    </w:rPr>
                    <w:t xml:space="preserve"> oversee the development of the national policy roadmaps on higher efficiency refrigerators and higher efficiency distribution transformers</w:t>
                  </w:r>
                  <w:r w:rsidRPr="006317A5">
                    <w:rPr>
                      <w:sz w:val="18"/>
                    </w:rPr>
                    <w:t xml:space="preserve">. It will comprise key stakeholders. </w:t>
                  </w:r>
                </w:p>
              </w:tc>
            </w:tr>
            <w:tr w:rsidR="00F318A9" w:rsidRPr="006317A5" w14:paraId="4E6C399E" w14:textId="77777777" w:rsidTr="00F318A9">
              <w:tc>
                <w:tcPr>
                  <w:tcW w:w="3709" w:type="dxa"/>
                  <w:tcBorders>
                    <w:top w:val="single" w:sz="4" w:space="0" w:color="000000"/>
                    <w:left w:val="single" w:sz="4" w:space="0" w:color="000000"/>
                    <w:bottom w:val="single" w:sz="4" w:space="0" w:color="000000"/>
                    <w:right w:val="single" w:sz="4" w:space="0" w:color="000000"/>
                  </w:tcBorders>
                </w:tcPr>
                <w:p w14:paraId="76F85F7F" w14:textId="77777777" w:rsidR="00F318A9" w:rsidRPr="00A979DB" w:rsidRDefault="00F318A9" w:rsidP="00F318A9">
                  <w:pPr>
                    <w:pStyle w:val="GEFFieldtoFillout"/>
                    <w:autoSpaceDN w:val="0"/>
                    <w:spacing w:line="276" w:lineRule="auto"/>
                    <w:ind w:left="5"/>
                    <w:jc w:val="both"/>
                    <w:rPr>
                      <w:b/>
                      <w:sz w:val="18"/>
                    </w:rPr>
                  </w:pPr>
                  <w:r w:rsidRPr="00A979DB">
                    <w:rPr>
                      <w:b/>
                      <w:sz w:val="18"/>
                    </w:rPr>
                    <w:t>Delay risk:</w:t>
                  </w:r>
                </w:p>
                <w:p w14:paraId="31749023" w14:textId="77777777" w:rsidR="00F318A9" w:rsidRPr="00A979DB" w:rsidRDefault="00F318A9" w:rsidP="00F318A9">
                  <w:pPr>
                    <w:pStyle w:val="GEFFieldtoFillout"/>
                    <w:autoSpaceDN w:val="0"/>
                    <w:spacing w:line="276" w:lineRule="auto"/>
                    <w:ind w:left="5"/>
                    <w:jc w:val="both"/>
                    <w:rPr>
                      <w:b/>
                      <w:sz w:val="18"/>
                    </w:rPr>
                  </w:pPr>
                  <w:r w:rsidRPr="00A979DB">
                    <w:rPr>
                      <w:sz w:val="18"/>
                    </w:rPr>
                    <w:t>Delay in implementation of readiness programme</w:t>
                  </w:r>
                </w:p>
              </w:tc>
              <w:tc>
                <w:tcPr>
                  <w:tcW w:w="1026" w:type="dxa"/>
                  <w:tcBorders>
                    <w:top w:val="single" w:sz="4" w:space="0" w:color="000000"/>
                    <w:left w:val="single" w:sz="4" w:space="0" w:color="000000"/>
                    <w:bottom w:val="single" w:sz="4" w:space="0" w:color="000000"/>
                    <w:right w:val="single" w:sz="4" w:space="0" w:color="000000"/>
                  </w:tcBorders>
                </w:tcPr>
                <w:p w14:paraId="5FCA5213" w14:textId="77777777" w:rsidR="00F318A9" w:rsidRPr="00A979DB" w:rsidRDefault="00F318A9" w:rsidP="00F318A9">
                  <w:pPr>
                    <w:pStyle w:val="GEFFieldtoFillout"/>
                    <w:autoSpaceDN w:val="0"/>
                    <w:spacing w:line="360" w:lineRule="auto"/>
                    <w:ind w:left="5"/>
                    <w:jc w:val="center"/>
                    <w:rPr>
                      <w:i/>
                      <w:sz w:val="18"/>
                    </w:rPr>
                  </w:pPr>
                  <w:r w:rsidRPr="00A979DB">
                    <w:rPr>
                      <w:i/>
                      <w:sz w:val="18"/>
                    </w:rPr>
                    <w:t>Low</w:t>
                  </w:r>
                </w:p>
              </w:tc>
              <w:tc>
                <w:tcPr>
                  <w:tcW w:w="3947" w:type="dxa"/>
                  <w:tcBorders>
                    <w:top w:val="single" w:sz="4" w:space="0" w:color="000000"/>
                    <w:left w:val="single" w:sz="4" w:space="0" w:color="000000"/>
                    <w:bottom w:val="single" w:sz="4" w:space="0" w:color="000000"/>
                    <w:right w:val="single" w:sz="4" w:space="0" w:color="000000"/>
                  </w:tcBorders>
                </w:tcPr>
                <w:p w14:paraId="6FBB880E" w14:textId="77777777" w:rsidR="00F318A9" w:rsidRPr="006317A5" w:rsidRDefault="00F318A9" w:rsidP="00F318A9">
                  <w:pPr>
                    <w:pStyle w:val="GEFFieldtoFillout"/>
                    <w:autoSpaceDN w:val="0"/>
                    <w:spacing w:line="276" w:lineRule="auto"/>
                    <w:ind w:left="0"/>
                    <w:rPr>
                      <w:sz w:val="18"/>
                    </w:rPr>
                  </w:pPr>
                  <w:r w:rsidRPr="006317A5">
                    <w:rPr>
                      <w:sz w:val="18"/>
                    </w:rPr>
                    <w:t>Project management procedures in place.</w:t>
                  </w:r>
                </w:p>
                <w:p w14:paraId="085F632C" w14:textId="77777777" w:rsidR="00F318A9" w:rsidRPr="00A979DB" w:rsidRDefault="00F318A9" w:rsidP="00F318A9">
                  <w:pPr>
                    <w:pStyle w:val="GEFFieldtoFillout"/>
                    <w:autoSpaceDN w:val="0"/>
                    <w:spacing w:line="276" w:lineRule="auto"/>
                    <w:ind w:left="0"/>
                    <w:rPr>
                      <w:sz w:val="18"/>
                    </w:rPr>
                  </w:pPr>
                  <w:proofErr w:type="spellStart"/>
                  <w:r w:rsidRPr="00A979DB">
                    <w:rPr>
                      <w:sz w:val="18"/>
                    </w:rPr>
                    <w:t>UNEPactively</w:t>
                  </w:r>
                  <w:proofErr w:type="spellEnd"/>
                  <w:r w:rsidRPr="00A979DB">
                    <w:rPr>
                      <w:sz w:val="18"/>
                    </w:rPr>
                    <w:t xml:space="preserve"> engaged</w:t>
                  </w:r>
                  <w:r w:rsidRPr="006317A5">
                    <w:rPr>
                      <w:sz w:val="18"/>
                    </w:rPr>
                    <w:t>.</w:t>
                  </w:r>
                </w:p>
              </w:tc>
            </w:tr>
            <w:tr w:rsidR="00F318A9" w:rsidRPr="006317A5" w14:paraId="391A5629" w14:textId="77777777" w:rsidTr="00F318A9">
              <w:tc>
                <w:tcPr>
                  <w:tcW w:w="3709" w:type="dxa"/>
                  <w:tcBorders>
                    <w:top w:val="single" w:sz="4" w:space="0" w:color="000000"/>
                    <w:left w:val="single" w:sz="4" w:space="0" w:color="000000"/>
                    <w:bottom w:val="single" w:sz="4" w:space="0" w:color="000000"/>
                    <w:right w:val="single" w:sz="4" w:space="0" w:color="000000"/>
                  </w:tcBorders>
                </w:tcPr>
                <w:p w14:paraId="28EB49CD" w14:textId="77777777" w:rsidR="00F318A9" w:rsidRPr="00A979DB" w:rsidRDefault="00F318A9" w:rsidP="00F318A9">
                  <w:pPr>
                    <w:pStyle w:val="GEFFieldtoFillout"/>
                    <w:autoSpaceDN w:val="0"/>
                    <w:spacing w:line="276" w:lineRule="auto"/>
                    <w:ind w:left="5"/>
                    <w:jc w:val="both"/>
                    <w:rPr>
                      <w:b/>
                      <w:sz w:val="18"/>
                    </w:rPr>
                  </w:pPr>
                  <w:r w:rsidRPr="00A979DB">
                    <w:rPr>
                      <w:b/>
                      <w:sz w:val="18"/>
                    </w:rPr>
                    <w:t>Recruitment risk:</w:t>
                  </w:r>
                </w:p>
                <w:p w14:paraId="657B0A6C" w14:textId="77777777" w:rsidR="00F318A9" w:rsidRPr="00A979DB" w:rsidRDefault="00F318A9" w:rsidP="00F318A9">
                  <w:pPr>
                    <w:pStyle w:val="GEFFieldtoFillout"/>
                    <w:autoSpaceDN w:val="0"/>
                    <w:spacing w:line="276" w:lineRule="auto"/>
                    <w:ind w:left="5"/>
                    <w:jc w:val="both"/>
                    <w:rPr>
                      <w:b/>
                      <w:sz w:val="18"/>
                    </w:rPr>
                  </w:pPr>
                  <w:r w:rsidRPr="00A979DB">
                    <w:rPr>
                      <w:sz w:val="18"/>
                    </w:rPr>
                    <w:t>Delays due to inability to procure consultants</w:t>
                  </w:r>
                </w:p>
                <w:p w14:paraId="3C4BBFFB" w14:textId="77777777" w:rsidR="00F318A9" w:rsidRPr="00A979DB" w:rsidRDefault="00F318A9" w:rsidP="00F318A9">
                  <w:pPr>
                    <w:pStyle w:val="GEFFieldtoFillout"/>
                    <w:autoSpaceDN w:val="0"/>
                    <w:spacing w:line="276" w:lineRule="auto"/>
                    <w:ind w:left="5"/>
                    <w:jc w:val="both"/>
                    <w:rPr>
                      <w:b/>
                      <w:sz w:val="18"/>
                    </w:rPr>
                  </w:pPr>
                </w:p>
              </w:tc>
              <w:tc>
                <w:tcPr>
                  <w:tcW w:w="1026" w:type="dxa"/>
                  <w:tcBorders>
                    <w:top w:val="single" w:sz="4" w:space="0" w:color="000000"/>
                    <w:left w:val="single" w:sz="4" w:space="0" w:color="000000"/>
                    <w:bottom w:val="single" w:sz="4" w:space="0" w:color="000000"/>
                    <w:right w:val="single" w:sz="4" w:space="0" w:color="000000"/>
                  </w:tcBorders>
                </w:tcPr>
                <w:p w14:paraId="4110C57E" w14:textId="77777777" w:rsidR="00F318A9" w:rsidRPr="00A979DB" w:rsidRDefault="00F318A9" w:rsidP="00F318A9">
                  <w:pPr>
                    <w:pStyle w:val="GEFFieldtoFillout"/>
                    <w:autoSpaceDN w:val="0"/>
                    <w:spacing w:line="360" w:lineRule="auto"/>
                    <w:ind w:left="5"/>
                    <w:jc w:val="center"/>
                    <w:rPr>
                      <w:i/>
                      <w:sz w:val="18"/>
                    </w:rPr>
                  </w:pPr>
                  <w:r w:rsidRPr="00A979DB">
                    <w:rPr>
                      <w:i/>
                      <w:sz w:val="18"/>
                    </w:rPr>
                    <w:t>Medium</w:t>
                  </w:r>
                </w:p>
              </w:tc>
              <w:tc>
                <w:tcPr>
                  <w:tcW w:w="3947" w:type="dxa"/>
                  <w:tcBorders>
                    <w:top w:val="single" w:sz="4" w:space="0" w:color="000000"/>
                    <w:left w:val="single" w:sz="4" w:space="0" w:color="000000"/>
                    <w:bottom w:val="single" w:sz="4" w:space="0" w:color="000000"/>
                    <w:right w:val="single" w:sz="4" w:space="0" w:color="000000"/>
                  </w:tcBorders>
                </w:tcPr>
                <w:p w14:paraId="3B754D4A" w14:textId="77777777" w:rsidR="00F318A9" w:rsidRPr="00A979DB" w:rsidRDefault="00F318A9" w:rsidP="00F318A9">
                  <w:pPr>
                    <w:spacing w:before="240" w:line="276" w:lineRule="auto"/>
                    <w:ind w:right="-29"/>
                    <w:rPr>
                      <w:rFonts w:ascii="Times New Roman" w:hAnsi="Times New Roman"/>
                      <w:sz w:val="18"/>
                    </w:rPr>
                  </w:pPr>
                  <w:r w:rsidRPr="006317A5">
                    <w:rPr>
                      <w:rFonts w:ascii="Times New Roman" w:hAnsi="Times New Roman"/>
                      <w:sz w:val="18"/>
                    </w:rPr>
                    <w:t>Dissemination of procurement process through CTCN network and channels</w:t>
                  </w:r>
                </w:p>
                <w:p w14:paraId="1E22D38C" w14:textId="77777777" w:rsidR="00F318A9" w:rsidRPr="00A979DB" w:rsidRDefault="00F318A9" w:rsidP="00F318A9">
                  <w:pPr>
                    <w:pStyle w:val="GEFFieldtoFillout"/>
                    <w:autoSpaceDN w:val="0"/>
                    <w:spacing w:line="276" w:lineRule="auto"/>
                    <w:ind w:left="0"/>
                    <w:rPr>
                      <w:sz w:val="18"/>
                    </w:rPr>
                  </w:pPr>
                </w:p>
              </w:tc>
            </w:tr>
            <w:tr w:rsidR="00F318A9" w:rsidRPr="006317A5" w14:paraId="0440FD99" w14:textId="77777777" w:rsidTr="00F318A9">
              <w:tc>
                <w:tcPr>
                  <w:tcW w:w="3709" w:type="dxa"/>
                  <w:tcBorders>
                    <w:top w:val="single" w:sz="4" w:space="0" w:color="000000"/>
                    <w:left w:val="single" w:sz="4" w:space="0" w:color="000000"/>
                    <w:bottom w:val="single" w:sz="4" w:space="0" w:color="000000"/>
                    <w:right w:val="single" w:sz="4" w:space="0" w:color="000000"/>
                  </w:tcBorders>
                  <w:hideMark/>
                </w:tcPr>
                <w:p w14:paraId="4268347E" w14:textId="77777777" w:rsidR="00F318A9" w:rsidRPr="00A979DB" w:rsidRDefault="00F318A9" w:rsidP="00F318A9">
                  <w:pPr>
                    <w:pStyle w:val="GEFFieldtoFillout"/>
                    <w:autoSpaceDN w:val="0"/>
                    <w:spacing w:line="276" w:lineRule="auto"/>
                    <w:ind w:left="5"/>
                    <w:jc w:val="both"/>
                    <w:rPr>
                      <w:b/>
                      <w:sz w:val="18"/>
                    </w:rPr>
                  </w:pPr>
                  <w:r w:rsidRPr="00A979DB">
                    <w:rPr>
                      <w:b/>
                      <w:sz w:val="18"/>
                    </w:rPr>
                    <w:t>Involvement risk:</w:t>
                  </w:r>
                </w:p>
                <w:p w14:paraId="32B29832" w14:textId="77777777" w:rsidR="00F318A9" w:rsidRPr="00A979DB" w:rsidRDefault="00F318A9" w:rsidP="00F318A9">
                  <w:pPr>
                    <w:pStyle w:val="GEFFieldtoFillout"/>
                    <w:autoSpaceDN w:val="0"/>
                    <w:spacing w:line="276" w:lineRule="auto"/>
                    <w:ind w:left="5"/>
                    <w:jc w:val="both"/>
                    <w:rPr>
                      <w:color w:val="auto"/>
                      <w:sz w:val="18"/>
                      <w:lang w:val="en-GB"/>
                    </w:rPr>
                  </w:pPr>
                  <w:r w:rsidRPr="00A979DB">
                    <w:rPr>
                      <w:sz w:val="18"/>
                    </w:rPr>
                    <w:t xml:space="preserve">Lack </w:t>
                  </w:r>
                  <w:r w:rsidRPr="00A979DB">
                    <w:rPr>
                      <w:color w:val="auto"/>
                      <w:sz w:val="18"/>
                      <w:lang w:val="en-GB"/>
                    </w:rPr>
                    <w:t>of interest by the public and private sector key stakeholders, resulting in limited interest of local players to scale up the results of this intervention</w:t>
                  </w:r>
                </w:p>
              </w:tc>
              <w:tc>
                <w:tcPr>
                  <w:tcW w:w="1026" w:type="dxa"/>
                  <w:tcBorders>
                    <w:top w:val="single" w:sz="4" w:space="0" w:color="000000"/>
                    <w:left w:val="single" w:sz="4" w:space="0" w:color="000000"/>
                    <w:bottom w:val="single" w:sz="4" w:space="0" w:color="000000"/>
                    <w:right w:val="single" w:sz="4" w:space="0" w:color="000000"/>
                  </w:tcBorders>
                  <w:hideMark/>
                </w:tcPr>
                <w:p w14:paraId="08858884" w14:textId="77777777" w:rsidR="00F318A9" w:rsidRPr="00A979DB" w:rsidRDefault="00F318A9" w:rsidP="00F318A9">
                  <w:pPr>
                    <w:pStyle w:val="GEFFieldtoFillout"/>
                    <w:autoSpaceDN w:val="0"/>
                    <w:spacing w:line="360" w:lineRule="auto"/>
                    <w:ind w:left="5"/>
                    <w:jc w:val="center"/>
                    <w:rPr>
                      <w:i/>
                      <w:sz w:val="18"/>
                    </w:rPr>
                  </w:pPr>
                  <w:r w:rsidRPr="00A979DB">
                    <w:rPr>
                      <w:i/>
                      <w:sz w:val="18"/>
                    </w:rPr>
                    <w:t>Low</w:t>
                  </w:r>
                </w:p>
              </w:tc>
              <w:tc>
                <w:tcPr>
                  <w:tcW w:w="3947" w:type="dxa"/>
                  <w:tcBorders>
                    <w:top w:val="single" w:sz="4" w:space="0" w:color="000000"/>
                    <w:left w:val="single" w:sz="4" w:space="0" w:color="000000"/>
                    <w:bottom w:val="single" w:sz="4" w:space="0" w:color="000000"/>
                    <w:right w:val="single" w:sz="4" w:space="0" w:color="000000"/>
                  </w:tcBorders>
                  <w:hideMark/>
                </w:tcPr>
                <w:p w14:paraId="05D2D4F9" w14:textId="77777777" w:rsidR="00F318A9" w:rsidRPr="00A979DB" w:rsidRDefault="00F318A9" w:rsidP="00F318A9">
                  <w:pPr>
                    <w:pStyle w:val="GEFFieldtoFillout"/>
                    <w:autoSpaceDN w:val="0"/>
                    <w:spacing w:line="276" w:lineRule="auto"/>
                    <w:ind w:left="0"/>
                    <w:rPr>
                      <w:sz w:val="18"/>
                    </w:rPr>
                  </w:pPr>
                  <w:r w:rsidRPr="009A2ED1">
                    <w:rPr>
                      <w:sz w:val="18"/>
                    </w:rPr>
                    <w:t xml:space="preserve">During project implementation a thorough consultative and participatory approach will be applied; </w:t>
                  </w:r>
                  <w:r w:rsidRPr="006317A5">
                    <w:rPr>
                      <w:sz w:val="18"/>
                    </w:rPr>
                    <w:t xml:space="preserve">key private sector and industry stakeholders have been identified and targeted. </w:t>
                  </w:r>
                </w:p>
              </w:tc>
            </w:tr>
            <w:tr w:rsidR="00F318A9" w:rsidRPr="006317A5" w14:paraId="269A6946" w14:textId="77777777" w:rsidTr="00F318A9">
              <w:trPr>
                <w:trHeight w:val="251"/>
              </w:trPr>
              <w:tc>
                <w:tcPr>
                  <w:tcW w:w="3709" w:type="dxa"/>
                  <w:tcBorders>
                    <w:top w:val="single" w:sz="4" w:space="0" w:color="000000"/>
                    <w:left w:val="single" w:sz="4" w:space="0" w:color="000000"/>
                    <w:bottom w:val="single" w:sz="4" w:space="0" w:color="000000"/>
                    <w:right w:val="single" w:sz="4" w:space="0" w:color="000000"/>
                  </w:tcBorders>
                  <w:hideMark/>
                </w:tcPr>
                <w:p w14:paraId="4C4D7F58" w14:textId="77777777" w:rsidR="00F318A9" w:rsidRPr="00A979DB" w:rsidRDefault="00F318A9" w:rsidP="00F318A9">
                  <w:pPr>
                    <w:pStyle w:val="GEFFieldtoFillout"/>
                    <w:autoSpaceDN w:val="0"/>
                    <w:spacing w:line="276" w:lineRule="auto"/>
                    <w:ind w:left="5"/>
                    <w:jc w:val="both"/>
                    <w:rPr>
                      <w:b/>
                      <w:sz w:val="18"/>
                    </w:rPr>
                  </w:pPr>
                  <w:r w:rsidRPr="00A979DB">
                    <w:rPr>
                      <w:b/>
                      <w:sz w:val="18"/>
                    </w:rPr>
                    <w:t>Technical/Capacity risks:</w:t>
                  </w:r>
                </w:p>
                <w:p w14:paraId="541B259D" w14:textId="77777777" w:rsidR="00F318A9" w:rsidRPr="00A979DB" w:rsidRDefault="00F318A9" w:rsidP="00F318A9">
                  <w:pPr>
                    <w:pStyle w:val="GEFFieldtoFillout"/>
                    <w:autoSpaceDN w:val="0"/>
                    <w:spacing w:line="276" w:lineRule="auto"/>
                    <w:ind w:left="5"/>
                    <w:jc w:val="both"/>
                    <w:rPr>
                      <w:sz w:val="18"/>
                    </w:rPr>
                  </w:pPr>
                  <w:r w:rsidRPr="00A979DB">
                    <w:rPr>
                      <w:sz w:val="18"/>
                    </w:rPr>
                    <w:t>Lack of capacity by the national counterparts to use or implement the results and conclusions of this technical assistance</w:t>
                  </w:r>
                  <w:r w:rsidRPr="006317A5">
                    <w:rPr>
                      <w:sz w:val="18"/>
                    </w:rPr>
                    <w:t>.</w:t>
                  </w:r>
                </w:p>
              </w:tc>
              <w:tc>
                <w:tcPr>
                  <w:tcW w:w="1026" w:type="dxa"/>
                  <w:tcBorders>
                    <w:top w:val="single" w:sz="4" w:space="0" w:color="000000"/>
                    <w:left w:val="single" w:sz="4" w:space="0" w:color="000000"/>
                    <w:bottom w:val="single" w:sz="4" w:space="0" w:color="000000"/>
                    <w:right w:val="single" w:sz="4" w:space="0" w:color="000000"/>
                  </w:tcBorders>
                  <w:hideMark/>
                </w:tcPr>
                <w:p w14:paraId="307EDF4A" w14:textId="77777777" w:rsidR="00F318A9" w:rsidRPr="00A979DB" w:rsidRDefault="00F318A9" w:rsidP="00F318A9">
                  <w:pPr>
                    <w:pStyle w:val="GEFFieldtoFillout"/>
                    <w:autoSpaceDN w:val="0"/>
                    <w:spacing w:line="360" w:lineRule="auto"/>
                    <w:ind w:left="5"/>
                    <w:jc w:val="center"/>
                    <w:rPr>
                      <w:i/>
                      <w:sz w:val="18"/>
                    </w:rPr>
                  </w:pPr>
                  <w:r w:rsidRPr="00A979DB">
                    <w:rPr>
                      <w:i/>
                      <w:sz w:val="18"/>
                    </w:rPr>
                    <w:t>Low</w:t>
                  </w:r>
                </w:p>
              </w:tc>
              <w:tc>
                <w:tcPr>
                  <w:tcW w:w="3947" w:type="dxa"/>
                  <w:tcBorders>
                    <w:top w:val="single" w:sz="4" w:space="0" w:color="000000"/>
                    <w:left w:val="single" w:sz="4" w:space="0" w:color="000000"/>
                    <w:bottom w:val="single" w:sz="4" w:space="0" w:color="000000"/>
                    <w:right w:val="single" w:sz="4" w:space="0" w:color="000000"/>
                  </w:tcBorders>
                  <w:hideMark/>
                </w:tcPr>
                <w:p w14:paraId="0E48D8E7" w14:textId="77777777" w:rsidR="00F318A9" w:rsidRPr="006317A5" w:rsidRDefault="00F318A9" w:rsidP="00F318A9">
                  <w:pPr>
                    <w:pStyle w:val="GEFFieldtoFillout"/>
                    <w:autoSpaceDN w:val="0"/>
                    <w:spacing w:line="276" w:lineRule="auto"/>
                    <w:ind w:left="5"/>
                    <w:rPr>
                      <w:sz w:val="18"/>
                    </w:rPr>
                  </w:pPr>
                  <w:r w:rsidRPr="00A979DB">
                    <w:rPr>
                      <w:sz w:val="18"/>
                    </w:rPr>
                    <w:t xml:space="preserve">The project is in line with national policies and the project will be executed in close coordination with the respective Ministry and authorities; </w:t>
                  </w:r>
                </w:p>
                <w:p w14:paraId="1BB5C02E" w14:textId="77777777" w:rsidR="00F318A9" w:rsidRPr="00A979DB" w:rsidRDefault="00F318A9" w:rsidP="00F318A9">
                  <w:pPr>
                    <w:pStyle w:val="GEFFieldtoFillout"/>
                    <w:autoSpaceDN w:val="0"/>
                    <w:spacing w:line="276" w:lineRule="auto"/>
                    <w:ind w:left="5"/>
                    <w:rPr>
                      <w:sz w:val="18"/>
                    </w:rPr>
                  </w:pPr>
                  <w:r w:rsidRPr="006317A5">
                    <w:rPr>
                      <w:sz w:val="18"/>
                    </w:rPr>
                    <w:t xml:space="preserve">Training workshops will be held. </w:t>
                  </w:r>
                </w:p>
              </w:tc>
            </w:tr>
            <w:tr w:rsidR="00F318A9" w:rsidRPr="006317A5" w14:paraId="0EB6701D" w14:textId="77777777" w:rsidTr="00F318A9">
              <w:trPr>
                <w:trHeight w:val="930"/>
              </w:trPr>
              <w:tc>
                <w:tcPr>
                  <w:tcW w:w="3709" w:type="dxa"/>
                  <w:tcBorders>
                    <w:top w:val="single" w:sz="4" w:space="0" w:color="000000"/>
                    <w:left w:val="single" w:sz="4" w:space="0" w:color="000000"/>
                    <w:bottom w:val="single" w:sz="4" w:space="0" w:color="000000"/>
                    <w:right w:val="single" w:sz="4" w:space="0" w:color="000000"/>
                  </w:tcBorders>
                  <w:hideMark/>
                </w:tcPr>
                <w:p w14:paraId="0CC55DA0" w14:textId="77777777" w:rsidR="00F318A9" w:rsidRPr="00A979DB" w:rsidRDefault="00F318A9" w:rsidP="00F318A9">
                  <w:pPr>
                    <w:pStyle w:val="GEFFieldtoFillout"/>
                    <w:autoSpaceDN w:val="0"/>
                    <w:spacing w:line="276" w:lineRule="auto"/>
                    <w:ind w:left="5"/>
                    <w:jc w:val="both"/>
                    <w:rPr>
                      <w:b/>
                      <w:sz w:val="18"/>
                    </w:rPr>
                  </w:pPr>
                  <w:r w:rsidRPr="00A979DB">
                    <w:rPr>
                      <w:b/>
                      <w:sz w:val="18"/>
                    </w:rPr>
                    <w:t>Management Risk:</w:t>
                  </w:r>
                </w:p>
                <w:p w14:paraId="0AA589A3" w14:textId="77777777" w:rsidR="00F318A9" w:rsidRPr="00A979DB" w:rsidRDefault="00F318A9" w:rsidP="00F318A9">
                  <w:pPr>
                    <w:pStyle w:val="GEFFieldtoFillout"/>
                    <w:autoSpaceDN w:val="0"/>
                    <w:spacing w:line="276" w:lineRule="auto"/>
                    <w:ind w:left="5"/>
                    <w:jc w:val="both"/>
                    <w:rPr>
                      <w:sz w:val="18"/>
                    </w:rPr>
                  </w:pPr>
                  <w:r w:rsidRPr="00A979DB">
                    <w:rPr>
                      <w:sz w:val="18"/>
                    </w:rPr>
                    <w:t>Lack of effective coordination between various project partners</w:t>
                  </w:r>
                </w:p>
              </w:tc>
              <w:tc>
                <w:tcPr>
                  <w:tcW w:w="1026" w:type="dxa"/>
                  <w:tcBorders>
                    <w:top w:val="single" w:sz="4" w:space="0" w:color="000000"/>
                    <w:left w:val="single" w:sz="4" w:space="0" w:color="000000"/>
                    <w:bottom w:val="single" w:sz="4" w:space="0" w:color="000000"/>
                    <w:right w:val="single" w:sz="4" w:space="0" w:color="000000"/>
                  </w:tcBorders>
                  <w:hideMark/>
                </w:tcPr>
                <w:p w14:paraId="0B9DE2C6" w14:textId="77777777" w:rsidR="00F318A9" w:rsidRPr="00A979DB" w:rsidRDefault="00F318A9" w:rsidP="00F318A9">
                  <w:pPr>
                    <w:pStyle w:val="GEFFieldtoFillout"/>
                    <w:autoSpaceDN w:val="0"/>
                    <w:spacing w:line="360" w:lineRule="auto"/>
                    <w:ind w:left="5"/>
                    <w:jc w:val="center"/>
                    <w:rPr>
                      <w:i/>
                      <w:sz w:val="18"/>
                    </w:rPr>
                  </w:pPr>
                  <w:r w:rsidRPr="00A979DB">
                    <w:rPr>
                      <w:i/>
                      <w:sz w:val="18"/>
                    </w:rPr>
                    <w:t>Low</w:t>
                  </w:r>
                </w:p>
              </w:tc>
              <w:tc>
                <w:tcPr>
                  <w:tcW w:w="3947" w:type="dxa"/>
                  <w:tcBorders>
                    <w:top w:val="single" w:sz="4" w:space="0" w:color="000000"/>
                    <w:left w:val="single" w:sz="4" w:space="0" w:color="000000"/>
                    <w:bottom w:val="single" w:sz="4" w:space="0" w:color="000000"/>
                    <w:right w:val="single" w:sz="4" w:space="0" w:color="000000"/>
                  </w:tcBorders>
                  <w:hideMark/>
                </w:tcPr>
                <w:p w14:paraId="43116E04" w14:textId="77777777" w:rsidR="00F318A9" w:rsidRPr="009A2ED1" w:rsidRDefault="00F318A9" w:rsidP="00F318A9">
                  <w:pPr>
                    <w:pStyle w:val="GEFFieldtoFillout"/>
                    <w:autoSpaceDN w:val="0"/>
                    <w:spacing w:line="276" w:lineRule="auto"/>
                    <w:ind w:left="5"/>
                    <w:rPr>
                      <w:sz w:val="18"/>
                    </w:rPr>
                  </w:pPr>
                  <w:r w:rsidRPr="009A2ED1">
                    <w:rPr>
                      <w:sz w:val="18"/>
                    </w:rPr>
                    <w:t>A proper coordination will be sought through the CTCN.</w:t>
                  </w:r>
                </w:p>
              </w:tc>
            </w:tr>
            <w:tr w:rsidR="00F318A9" w:rsidRPr="006317A5" w14:paraId="09878EA1" w14:textId="77777777" w:rsidTr="00F318A9">
              <w:trPr>
                <w:trHeight w:val="930"/>
              </w:trPr>
              <w:tc>
                <w:tcPr>
                  <w:tcW w:w="3709" w:type="dxa"/>
                  <w:tcBorders>
                    <w:top w:val="single" w:sz="4" w:space="0" w:color="000000"/>
                    <w:left w:val="single" w:sz="4" w:space="0" w:color="000000"/>
                    <w:bottom w:val="single" w:sz="4" w:space="0" w:color="000000"/>
                    <w:right w:val="single" w:sz="4" w:space="0" w:color="000000"/>
                  </w:tcBorders>
                  <w:hideMark/>
                </w:tcPr>
                <w:p w14:paraId="07F7C827" w14:textId="77777777" w:rsidR="00F318A9" w:rsidRPr="00A979DB" w:rsidRDefault="00F318A9" w:rsidP="00F318A9">
                  <w:pPr>
                    <w:pStyle w:val="GEFFieldtoFillout"/>
                    <w:autoSpaceDN w:val="0"/>
                    <w:spacing w:line="276" w:lineRule="auto"/>
                    <w:ind w:left="5"/>
                    <w:jc w:val="both"/>
                    <w:rPr>
                      <w:b/>
                      <w:sz w:val="18"/>
                    </w:rPr>
                  </w:pPr>
                  <w:r w:rsidRPr="00A979DB">
                    <w:rPr>
                      <w:b/>
                      <w:sz w:val="18"/>
                    </w:rPr>
                    <w:t>Ownership of the results:</w:t>
                  </w:r>
                </w:p>
                <w:p w14:paraId="47C63BD0" w14:textId="77777777" w:rsidR="00F318A9" w:rsidRPr="00A979DB" w:rsidRDefault="00F318A9" w:rsidP="00F318A9">
                  <w:pPr>
                    <w:pStyle w:val="GEFFieldtoFillout"/>
                    <w:autoSpaceDN w:val="0"/>
                    <w:spacing w:line="276" w:lineRule="auto"/>
                    <w:ind w:left="5"/>
                    <w:jc w:val="both"/>
                    <w:rPr>
                      <w:sz w:val="18"/>
                    </w:rPr>
                  </w:pPr>
                  <w:r w:rsidRPr="00A979DB">
                    <w:rPr>
                      <w:sz w:val="18"/>
                    </w:rPr>
                    <w:t>True ownership by the government and system operator to ensure results are used and up scaled accordingly</w:t>
                  </w:r>
                </w:p>
                <w:p w14:paraId="1AF16485" w14:textId="77777777" w:rsidR="00F318A9" w:rsidRPr="00A979DB" w:rsidRDefault="00F318A9" w:rsidP="00F318A9">
                  <w:pPr>
                    <w:pStyle w:val="GEFFieldtoFillout"/>
                    <w:autoSpaceDN w:val="0"/>
                    <w:spacing w:line="276" w:lineRule="auto"/>
                    <w:ind w:left="5"/>
                    <w:jc w:val="both"/>
                    <w:rPr>
                      <w:b/>
                      <w:sz w:val="18"/>
                    </w:rPr>
                  </w:pPr>
                </w:p>
              </w:tc>
              <w:tc>
                <w:tcPr>
                  <w:tcW w:w="1026" w:type="dxa"/>
                  <w:tcBorders>
                    <w:top w:val="single" w:sz="4" w:space="0" w:color="000000"/>
                    <w:left w:val="single" w:sz="4" w:space="0" w:color="000000"/>
                    <w:bottom w:val="single" w:sz="4" w:space="0" w:color="000000"/>
                    <w:right w:val="single" w:sz="4" w:space="0" w:color="000000"/>
                  </w:tcBorders>
                  <w:hideMark/>
                </w:tcPr>
                <w:p w14:paraId="39AA0082" w14:textId="77777777" w:rsidR="00F318A9" w:rsidRPr="00A979DB" w:rsidRDefault="00F318A9" w:rsidP="00F318A9">
                  <w:pPr>
                    <w:pStyle w:val="GEFFieldtoFillout"/>
                    <w:autoSpaceDN w:val="0"/>
                    <w:spacing w:line="360" w:lineRule="auto"/>
                    <w:ind w:left="5"/>
                    <w:jc w:val="center"/>
                    <w:rPr>
                      <w:i/>
                      <w:sz w:val="18"/>
                    </w:rPr>
                  </w:pPr>
                  <w:r w:rsidRPr="00A979DB">
                    <w:rPr>
                      <w:i/>
                      <w:sz w:val="18"/>
                    </w:rPr>
                    <w:t>Medium</w:t>
                  </w:r>
                </w:p>
              </w:tc>
              <w:tc>
                <w:tcPr>
                  <w:tcW w:w="3947" w:type="dxa"/>
                  <w:tcBorders>
                    <w:top w:val="single" w:sz="4" w:space="0" w:color="000000"/>
                    <w:left w:val="single" w:sz="4" w:space="0" w:color="000000"/>
                    <w:bottom w:val="single" w:sz="4" w:space="0" w:color="000000"/>
                    <w:right w:val="single" w:sz="4" w:space="0" w:color="000000"/>
                  </w:tcBorders>
                  <w:hideMark/>
                </w:tcPr>
                <w:p w14:paraId="49E24BED" w14:textId="77777777" w:rsidR="00F318A9" w:rsidRPr="00A979DB" w:rsidRDefault="00F318A9" w:rsidP="00F318A9">
                  <w:pPr>
                    <w:pStyle w:val="GEFFieldtoFillout"/>
                    <w:autoSpaceDN w:val="0"/>
                    <w:spacing w:line="276" w:lineRule="auto"/>
                    <w:ind w:left="5"/>
                    <w:rPr>
                      <w:sz w:val="18"/>
                    </w:rPr>
                  </w:pPr>
                  <w:r w:rsidRPr="009A2ED1">
                    <w:rPr>
                      <w:sz w:val="18"/>
                    </w:rPr>
                    <w:t xml:space="preserve">The ownership of the project has been secured by the Government given that </w:t>
                  </w:r>
                  <w:r w:rsidRPr="006317A5">
                    <w:rPr>
                      <w:sz w:val="18"/>
                    </w:rPr>
                    <w:t>it is in line with their national plans</w:t>
                  </w:r>
                </w:p>
              </w:tc>
            </w:tr>
            <w:tr w:rsidR="00F318A9" w:rsidRPr="006317A5" w14:paraId="2C0F6813" w14:textId="77777777" w:rsidTr="00F318A9">
              <w:trPr>
                <w:trHeight w:val="836"/>
              </w:trPr>
              <w:tc>
                <w:tcPr>
                  <w:tcW w:w="3709" w:type="dxa"/>
                  <w:tcBorders>
                    <w:top w:val="single" w:sz="4" w:space="0" w:color="000000"/>
                    <w:left w:val="single" w:sz="4" w:space="0" w:color="000000"/>
                    <w:bottom w:val="single" w:sz="4" w:space="0" w:color="000000"/>
                    <w:right w:val="single" w:sz="4" w:space="0" w:color="000000"/>
                  </w:tcBorders>
                  <w:hideMark/>
                </w:tcPr>
                <w:p w14:paraId="30776D90" w14:textId="77777777" w:rsidR="00F318A9" w:rsidRPr="00A979DB" w:rsidRDefault="00F318A9" w:rsidP="00F318A9">
                  <w:pPr>
                    <w:pStyle w:val="GEFFieldtoFillout"/>
                    <w:autoSpaceDN w:val="0"/>
                    <w:spacing w:line="276" w:lineRule="auto"/>
                    <w:ind w:left="5"/>
                    <w:jc w:val="both"/>
                    <w:rPr>
                      <w:sz w:val="18"/>
                    </w:rPr>
                  </w:pPr>
                  <w:r w:rsidRPr="00A979DB">
                    <w:rPr>
                      <w:b/>
                      <w:sz w:val="18"/>
                    </w:rPr>
                    <w:t>Access to data</w:t>
                  </w:r>
                  <w:r w:rsidRPr="00A979DB">
                    <w:rPr>
                      <w:sz w:val="18"/>
                    </w:rPr>
                    <w:t>:</w:t>
                  </w:r>
                </w:p>
                <w:p w14:paraId="70B2F431" w14:textId="77777777" w:rsidR="00F318A9" w:rsidRPr="00A979DB" w:rsidRDefault="00F318A9" w:rsidP="00F318A9">
                  <w:pPr>
                    <w:pStyle w:val="GEFFieldtoFillout"/>
                    <w:autoSpaceDN w:val="0"/>
                    <w:spacing w:line="276" w:lineRule="auto"/>
                    <w:ind w:left="5"/>
                    <w:jc w:val="both"/>
                    <w:rPr>
                      <w:sz w:val="18"/>
                    </w:rPr>
                  </w:pPr>
                  <w:r w:rsidRPr="00A979DB">
                    <w:rPr>
                      <w:sz w:val="18"/>
                    </w:rPr>
                    <w:t>Data accessibility, mainly from the Utility and other involved stakeholders</w:t>
                  </w:r>
                </w:p>
              </w:tc>
              <w:tc>
                <w:tcPr>
                  <w:tcW w:w="1026" w:type="dxa"/>
                  <w:tcBorders>
                    <w:top w:val="single" w:sz="4" w:space="0" w:color="000000"/>
                    <w:left w:val="single" w:sz="4" w:space="0" w:color="000000"/>
                    <w:bottom w:val="single" w:sz="4" w:space="0" w:color="000000"/>
                    <w:right w:val="single" w:sz="4" w:space="0" w:color="000000"/>
                  </w:tcBorders>
                  <w:hideMark/>
                </w:tcPr>
                <w:p w14:paraId="1C4EF590" w14:textId="77777777" w:rsidR="00F318A9" w:rsidRPr="00A979DB" w:rsidRDefault="00F318A9" w:rsidP="00F318A9">
                  <w:pPr>
                    <w:pStyle w:val="GEFFieldtoFillout"/>
                    <w:autoSpaceDN w:val="0"/>
                    <w:spacing w:line="360" w:lineRule="auto"/>
                    <w:ind w:left="5"/>
                    <w:jc w:val="center"/>
                    <w:rPr>
                      <w:i/>
                      <w:sz w:val="18"/>
                    </w:rPr>
                  </w:pPr>
                  <w:r w:rsidRPr="00A979DB">
                    <w:rPr>
                      <w:i/>
                      <w:sz w:val="18"/>
                    </w:rPr>
                    <w:t>Medium</w:t>
                  </w:r>
                </w:p>
              </w:tc>
              <w:tc>
                <w:tcPr>
                  <w:tcW w:w="3947" w:type="dxa"/>
                  <w:tcBorders>
                    <w:top w:val="single" w:sz="4" w:space="0" w:color="000000"/>
                    <w:left w:val="single" w:sz="4" w:space="0" w:color="000000"/>
                    <w:bottom w:val="single" w:sz="4" w:space="0" w:color="000000"/>
                    <w:right w:val="single" w:sz="4" w:space="0" w:color="000000"/>
                  </w:tcBorders>
                  <w:hideMark/>
                </w:tcPr>
                <w:p w14:paraId="1C2F4F3C" w14:textId="77777777" w:rsidR="00F318A9" w:rsidRPr="006317A5" w:rsidRDefault="00F318A9" w:rsidP="00F318A9">
                  <w:pPr>
                    <w:pStyle w:val="GEFFieldtoFillout"/>
                    <w:autoSpaceDN w:val="0"/>
                    <w:spacing w:line="276" w:lineRule="auto"/>
                    <w:ind w:left="5"/>
                    <w:rPr>
                      <w:sz w:val="18"/>
                    </w:rPr>
                  </w:pPr>
                  <w:r w:rsidRPr="009A2ED1">
                    <w:rPr>
                      <w:sz w:val="18"/>
                    </w:rPr>
                    <w:t xml:space="preserve">The sourcing of relevant data for the determination of the country baseline </w:t>
                  </w:r>
                  <w:r w:rsidRPr="006317A5">
                    <w:rPr>
                      <w:sz w:val="18"/>
                    </w:rPr>
                    <w:t>is critical to the success of the project</w:t>
                  </w:r>
                  <w:r w:rsidRPr="00A979DB">
                    <w:rPr>
                      <w:sz w:val="18"/>
                    </w:rPr>
                    <w:t xml:space="preserve">. Inclusive engagement and consultation with national manufacturers and retailers will </w:t>
                  </w:r>
                  <w:r w:rsidRPr="006317A5">
                    <w:rPr>
                      <w:sz w:val="18"/>
                    </w:rPr>
                    <w:t>help</w:t>
                  </w:r>
                  <w:r w:rsidRPr="00A979DB">
                    <w:rPr>
                      <w:sz w:val="18"/>
                    </w:rPr>
                    <w:t xml:space="preserve"> obtain the necessary data quality.</w:t>
                  </w:r>
                </w:p>
                <w:p w14:paraId="5DFF73EE" w14:textId="77777777" w:rsidR="00F318A9" w:rsidRPr="00A979DB" w:rsidRDefault="00F318A9" w:rsidP="00F318A9">
                  <w:pPr>
                    <w:pStyle w:val="GEFFieldtoFillout"/>
                    <w:autoSpaceDN w:val="0"/>
                    <w:spacing w:line="276" w:lineRule="auto"/>
                    <w:ind w:left="5"/>
                    <w:rPr>
                      <w:sz w:val="18"/>
                    </w:rPr>
                  </w:pPr>
                </w:p>
              </w:tc>
            </w:tr>
            <w:tr w:rsidR="00F318A9" w:rsidRPr="001E49D0" w14:paraId="378B935D" w14:textId="77777777" w:rsidTr="00F318A9">
              <w:trPr>
                <w:trHeight w:val="350"/>
              </w:trPr>
              <w:tc>
                <w:tcPr>
                  <w:tcW w:w="3709" w:type="dxa"/>
                  <w:tcBorders>
                    <w:top w:val="single" w:sz="4" w:space="0" w:color="000000"/>
                    <w:left w:val="single" w:sz="4" w:space="0" w:color="000000"/>
                    <w:bottom w:val="single" w:sz="4" w:space="0" w:color="000000"/>
                    <w:right w:val="single" w:sz="4" w:space="0" w:color="000000"/>
                  </w:tcBorders>
                  <w:hideMark/>
                </w:tcPr>
                <w:p w14:paraId="661868FB" w14:textId="77777777" w:rsidR="00F318A9" w:rsidRPr="00A979DB" w:rsidRDefault="00F318A9" w:rsidP="00F318A9">
                  <w:pPr>
                    <w:pStyle w:val="GEFFieldtoFillout"/>
                    <w:autoSpaceDN w:val="0"/>
                    <w:spacing w:line="276" w:lineRule="auto"/>
                    <w:ind w:left="5"/>
                    <w:jc w:val="both"/>
                    <w:rPr>
                      <w:b/>
                      <w:sz w:val="18"/>
                    </w:rPr>
                  </w:pPr>
                  <w:r w:rsidRPr="00A979DB">
                    <w:rPr>
                      <w:b/>
                      <w:sz w:val="18"/>
                    </w:rPr>
                    <w:lastRenderedPageBreak/>
                    <w:t>Gender Risk:</w:t>
                  </w:r>
                </w:p>
                <w:p w14:paraId="51805B58" w14:textId="77777777" w:rsidR="00F318A9" w:rsidRPr="00A979DB" w:rsidRDefault="00F318A9" w:rsidP="00F318A9">
                  <w:pPr>
                    <w:pStyle w:val="GEFFieldtoFillout"/>
                    <w:autoSpaceDN w:val="0"/>
                    <w:spacing w:line="276" w:lineRule="auto"/>
                    <w:ind w:left="5"/>
                    <w:jc w:val="both"/>
                    <w:rPr>
                      <w:sz w:val="18"/>
                    </w:rPr>
                  </w:pPr>
                  <w:r w:rsidRPr="00A979DB">
                    <w:rPr>
                      <w:sz w:val="18"/>
                    </w:rPr>
                    <w:t xml:space="preserve">Resistance against or lack of interest in, the project activities from stakeholders, especially </w:t>
                  </w:r>
                  <w:proofErr w:type="gramStart"/>
                  <w:r w:rsidRPr="00A979DB">
                    <w:rPr>
                      <w:sz w:val="18"/>
                    </w:rPr>
                    <w:t>with regard to</w:t>
                  </w:r>
                  <w:proofErr w:type="gramEnd"/>
                  <w:r w:rsidRPr="00A979DB">
                    <w:rPr>
                      <w:sz w:val="18"/>
                    </w:rPr>
                    <w:t xml:space="preserve"> the active promotion of gender equality.</w:t>
                  </w:r>
                </w:p>
              </w:tc>
              <w:tc>
                <w:tcPr>
                  <w:tcW w:w="1026" w:type="dxa"/>
                  <w:tcBorders>
                    <w:top w:val="single" w:sz="4" w:space="0" w:color="000000"/>
                    <w:left w:val="single" w:sz="4" w:space="0" w:color="000000"/>
                    <w:bottom w:val="single" w:sz="4" w:space="0" w:color="000000"/>
                    <w:right w:val="single" w:sz="4" w:space="0" w:color="000000"/>
                  </w:tcBorders>
                  <w:hideMark/>
                </w:tcPr>
                <w:p w14:paraId="443D29F7" w14:textId="77777777" w:rsidR="00F318A9" w:rsidRPr="00A979DB" w:rsidRDefault="00F318A9" w:rsidP="00F318A9">
                  <w:pPr>
                    <w:pStyle w:val="GEFFieldtoFillout"/>
                    <w:autoSpaceDN w:val="0"/>
                    <w:spacing w:line="360" w:lineRule="auto"/>
                    <w:ind w:left="5"/>
                    <w:jc w:val="center"/>
                    <w:rPr>
                      <w:i/>
                      <w:sz w:val="18"/>
                    </w:rPr>
                  </w:pPr>
                  <w:r w:rsidRPr="00A979DB">
                    <w:rPr>
                      <w:i/>
                      <w:sz w:val="18"/>
                    </w:rPr>
                    <w:t>Low</w:t>
                  </w:r>
                </w:p>
              </w:tc>
              <w:tc>
                <w:tcPr>
                  <w:tcW w:w="3947" w:type="dxa"/>
                  <w:tcBorders>
                    <w:top w:val="single" w:sz="4" w:space="0" w:color="000000"/>
                    <w:left w:val="single" w:sz="4" w:space="0" w:color="000000"/>
                    <w:bottom w:val="single" w:sz="4" w:space="0" w:color="000000"/>
                    <w:right w:val="single" w:sz="4" w:space="0" w:color="000000"/>
                  </w:tcBorders>
                  <w:hideMark/>
                </w:tcPr>
                <w:p w14:paraId="797FD141" w14:textId="77777777" w:rsidR="00F318A9" w:rsidRPr="001E49D0" w:rsidRDefault="00F318A9" w:rsidP="00F318A9">
                  <w:pPr>
                    <w:pStyle w:val="GEFFieldtoFillout"/>
                    <w:autoSpaceDN w:val="0"/>
                    <w:spacing w:line="276" w:lineRule="auto"/>
                    <w:ind w:left="5"/>
                    <w:rPr>
                      <w:bCs/>
                      <w:sz w:val="18"/>
                      <w:szCs w:val="20"/>
                    </w:rPr>
                  </w:pPr>
                  <w:r w:rsidRPr="009A2ED1">
                    <w:rPr>
                      <w:sz w:val="18"/>
                    </w:rPr>
                    <w:t>This Project will pursue thorough and gender responsive integration and ensure stakeholder involvement at all levels</w:t>
                  </w:r>
                  <w:r w:rsidRPr="006317A5">
                    <w:rPr>
                      <w:sz w:val="18"/>
                    </w:rPr>
                    <w:t>.</w:t>
                  </w:r>
                </w:p>
              </w:tc>
            </w:tr>
          </w:tbl>
          <w:p w14:paraId="00A12E3B" w14:textId="77777777" w:rsidR="00F318A9" w:rsidRPr="00C618CC" w:rsidRDefault="00F318A9" w:rsidP="00F318A9">
            <w:pPr>
              <w:spacing w:before="240" w:line="276" w:lineRule="auto"/>
              <w:ind w:right="-29"/>
              <w:rPr>
                <w:rFonts w:ascii="Arial" w:hAnsi="Arial" w:cs="Arial"/>
                <w:sz w:val="18"/>
                <w:szCs w:val="18"/>
              </w:rPr>
            </w:pPr>
          </w:p>
        </w:tc>
      </w:tr>
      <w:bookmarkEnd w:id="11"/>
    </w:tbl>
    <w:p w14:paraId="73DC9DFF" w14:textId="77777777" w:rsidR="00F318A9" w:rsidRPr="00001D5D" w:rsidRDefault="00F318A9" w:rsidP="00F318A9">
      <w:pPr>
        <w:spacing w:before="60" w:after="60" w:line="276" w:lineRule="auto"/>
        <w:contextualSpacing/>
        <w:rPr>
          <w:rFonts w:ascii="Arial" w:hAnsi="Arial" w:cs="Arial"/>
          <w:sz w:val="18"/>
          <w:szCs w:val="18"/>
        </w:rPr>
      </w:pPr>
    </w:p>
    <w:sectPr w:rsidR="00F318A9" w:rsidRPr="00001D5D" w:rsidSect="00E10DA9">
      <w:pgSz w:w="11906" w:h="16838" w:code="9"/>
      <w:pgMar w:top="1711" w:right="1440" w:bottom="1440" w:left="1440" w:header="720" w:footer="4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1136D" w14:textId="77777777" w:rsidR="001C1202" w:rsidRDefault="001C1202" w:rsidP="008C6C83">
      <w:pPr>
        <w:spacing w:after="0" w:line="240" w:lineRule="auto"/>
      </w:pPr>
      <w:r>
        <w:separator/>
      </w:r>
    </w:p>
  </w:endnote>
  <w:endnote w:type="continuationSeparator" w:id="0">
    <w:p w14:paraId="189AEF53" w14:textId="77777777" w:rsidR="001C1202" w:rsidRDefault="001C1202" w:rsidP="008C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8B1C7" w14:textId="77777777" w:rsidR="001C1202" w:rsidRDefault="001C1202" w:rsidP="008C6C83">
      <w:pPr>
        <w:spacing w:after="0" w:line="240" w:lineRule="auto"/>
      </w:pPr>
      <w:r>
        <w:separator/>
      </w:r>
    </w:p>
  </w:footnote>
  <w:footnote w:type="continuationSeparator" w:id="0">
    <w:p w14:paraId="72E48012" w14:textId="77777777" w:rsidR="001C1202" w:rsidRDefault="001C1202" w:rsidP="008C6C83">
      <w:pPr>
        <w:spacing w:after="0" w:line="240" w:lineRule="auto"/>
      </w:pPr>
      <w:r>
        <w:continuationSeparator/>
      </w:r>
    </w:p>
  </w:footnote>
  <w:footnote w:id="1">
    <w:p w14:paraId="057EBD98" w14:textId="174EE49D" w:rsidR="009908EA" w:rsidRDefault="009908EA">
      <w:pPr>
        <w:pStyle w:val="FootnoteText"/>
      </w:pPr>
      <w:r>
        <w:rPr>
          <w:rStyle w:val="FootnoteReference"/>
        </w:rPr>
        <w:footnoteRef/>
      </w:r>
      <w:r>
        <w:t xml:space="preserve"> World Bank data , </w:t>
      </w:r>
      <w:hyperlink r:id="rId1" w:history="1">
        <w:r>
          <w:rPr>
            <w:rStyle w:val="Hyperlink"/>
          </w:rPr>
          <w:t>https://data.worldbank.org/indicator/EG.ELC.ACCS.RU.ZS?locations=MZ&amp;view=chart</w:t>
        </w:r>
      </w:hyperlink>
    </w:p>
  </w:footnote>
  <w:footnote w:id="2">
    <w:p w14:paraId="0FCB9A5D" w14:textId="77777777" w:rsidR="009908EA" w:rsidRDefault="009908EA" w:rsidP="004001A7">
      <w:pPr>
        <w:pStyle w:val="FootnoteText"/>
      </w:pPr>
      <w:r>
        <w:rPr>
          <w:rStyle w:val="FootnoteReference"/>
        </w:rPr>
        <w:footnoteRef/>
      </w:r>
      <w:r>
        <w:t xml:space="preserve"> </w:t>
      </w:r>
      <w:hyperlink r:id="rId2" w:history="1">
        <w:r>
          <w:rPr>
            <w:rStyle w:val="Hyperlink"/>
          </w:rPr>
          <w:t>https://www.ctc-n.org/technical-assistance/projects/development-regional-efficient-appliance-and-equipment-strategy</w:t>
        </w:r>
      </w:hyperlink>
    </w:p>
  </w:footnote>
  <w:footnote w:id="3">
    <w:p w14:paraId="621E9631" w14:textId="060B3389" w:rsidR="00E74BE1" w:rsidRDefault="00E74BE1">
      <w:pPr>
        <w:pStyle w:val="FootnoteText"/>
        <w:rPr>
          <w:rFonts w:ascii="Arial" w:hAnsi="Arial" w:cs="Arial"/>
          <w:sz w:val="16"/>
          <w:szCs w:val="16"/>
        </w:rPr>
      </w:pPr>
      <w:r>
        <w:rPr>
          <w:rStyle w:val="FootnoteReference"/>
        </w:rPr>
        <w:footnoteRef/>
      </w:r>
      <w:r>
        <w:t xml:space="preserve"> </w:t>
      </w:r>
      <w:r w:rsidRPr="00E74BE1">
        <w:rPr>
          <w:rFonts w:ascii="Arial" w:hAnsi="Arial" w:cs="Arial"/>
          <w:sz w:val="16"/>
          <w:szCs w:val="16"/>
        </w:rPr>
        <w:t>Mozambique first NDC, Page 9; Point 10 and 11 ; “</w:t>
      </w:r>
      <w:r w:rsidRPr="00E74BE1">
        <w:rPr>
          <w:rFonts w:ascii="Arial" w:hAnsi="Arial" w:cs="Arial"/>
          <w:sz w:val="16"/>
          <w:szCs w:val="16"/>
        </w:rPr>
        <w:t>Based on the policy actions and programmes outlined above, the country estimates, on a preliminary basis, the total reduction of about 76,5 MtCO2eq in the period from 2020 to 2030, with 23,0 MtCO2eq by 2024 and 53,4 MtCO2eq from 2025 to 2030. These reductions are estimates with a significant level of uncertainty and will be updated with the results from the BUR to be available by early 2018. The implementation of any proposed reduction is conditional on the provision of financial, technological and capacity building from the international community.</w:t>
      </w:r>
      <w:r w:rsidRPr="00E74BE1">
        <w:rPr>
          <w:rFonts w:ascii="Arial" w:hAnsi="Arial" w:cs="Arial"/>
          <w:sz w:val="16"/>
          <w:szCs w:val="16"/>
        </w:rPr>
        <w:t xml:space="preserve">” </w:t>
      </w:r>
      <w:hyperlink r:id="rId3" w:history="1">
        <w:r w:rsidRPr="00E74BE1">
          <w:rPr>
            <w:rStyle w:val="Hyperlink"/>
            <w:rFonts w:ascii="Arial" w:hAnsi="Arial" w:cs="Arial"/>
            <w:sz w:val="16"/>
            <w:szCs w:val="16"/>
          </w:rPr>
          <w:t>https://www4.unfccc.int/sites/ndcstaging/PublishedDocuments/Mozambique%20First/MOZ_INDC_Final_Version.pdf</w:t>
        </w:r>
      </w:hyperlink>
      <w:r w:rsidRPr="00E74BE1">
        <w:rPr>
          <w:rFonts w:ascii="Arial" w:hAnsi="Arial" w:cs="Arial"/>
          <w:sz w:val="16"/>
          <w:szCs w:val="16"/>
        </w:rPr>
        <w:t xml:space="preserve"> ; </w:t>
      </w:r>
    </w:p>
    <w:p w14:paraId="76C4C996" w14:textId="77777777" w:rsidR="00E74BE1" w:rsidRPr="00E74BE1" w:rsidRDefault="00E74BE1">
      <w:pPr>
        <w:pStyle w:val="FootnoteText"/>
        <w:rPr>
          <w:rFonts w:ascii="Arial" w:hAnsi="Arial" w:cs="Arial"/>
          <w:sz w:val="16"/>
          <w:szCs w:val="16"/>
        </w:rPr>
      </w:pPr>
    </w:p>
  </w:footnote>
  <w:footnote w:id="4">
    <w:p w14:paraId="4D01E4ED" w14:textId="121A2EBD" w:rsidR="00AF5921" w:rsidRDefault="00AF5921" w:rsidP="00AF5921">
      <w:pPr>
        <w:pStyle w:val="FootnoteText"/>
        <w:rPr>
          <w:rFonts w:ascii="Arial" w:hAnsi="Arial" w:cs="Arial"/>
          <w:sz w:val="16"/>
          <w:szCs w:val="16"/>
        </w:rPr>
      </w:pPr>
      <w:r w:rsidRPr="00E74BE1">
        <w:rPr>
          <w:rStyle w:val="FootnoteReference"/>
          <w:rFonts w:ascii="Arial" w:hAnsi="Arial" w:cs="Arial"/>
          <w:sz w:val="16"/>
          <w:szCs w:val="16"/>
        </w:rPr>
        <w:footnoteRef/>
      </w:r>
      <w:r w:rsidRPr="00E74BE1">
        <w:rPr>
          <w:rFonts w:ascii="Arial" w:hAnsi="Arial" w:cs="Arial"/>
          <w:sz w:val="16"/>
          <w:szCs w:val="16"/>
        </w:rPr>
        <w:t xml:space="preserve"> Accelerating the Global Adoption of ENERGY-EFFICIENT TRANSFORMERS Policy Guide series , </w:t>
      </w:r>
      <w:hyperlink r:id="rId4" w:history="1">
        <w:r w:rsidRPr="00E74BE1">
          <w:rPr>
            <w:rStyle w:val="Hyperlink"/>
            <w:rFonts w:ascii="Arial" w:hAnsi="Arial" w:cs="Arial"/>
            <w:sz w:val="16"/>
            <w:szCs w:val="16"/>
          </w:rPr>
          <w:t>https://united4efficiency.org/wp-content/uploads/2017/11/Transformers-Policy-Brief.pdf</w:t>
        </w:r>
      </w:hyperlink>
      <w:r w:rsidRPr="00E74BE1">
        <w:rPr>
          <w:rFonts w:ascii="Arial" w:hAnsi="Arial" w:cs="Arial"/>
          <w:sz w:val="16"/>
          <w:szCs w:val="16"/>
        </w:rPr>
        <w:t xml:space="preserve">   and </w:t>
      </w:r>
    </w:p>
    <w:p w14:paraId="117FB53F" w14:textId="77777777" w:rsidR="00F72419" w:rsidRPr="00E74BE1" w:rsidRDefault="00F72419" w:rsidP="00AF5921">
      <w:pPr>
        <w:pStyle w:val="FootnoteText"/>
        <w:rPr>
          <w:rFonts w:ascii="Arial" w:hAnsi="Arial" w:cs="Arial"/>
          <w:sz w:val="16"/>
          <w:szCs w:val="16"/>
        </w:rPr>
      </w:pPr>
    </w:p>
    <w:p w14:paraId="5CB84185" w14:textId="6B58E848" w:rsidR="00AF5921" w:rsidRDefault="00AF5921" w:rsidP="00AF5921">
      <w:pPr>
        <w:pStyle w:val="FootnoteText"/>
        <w:rPr>
          <w:rFonts w:ascii="Arial" w:hAnsi="Arial" w:cs="Arial"/>
          <w:sz w:val="16"/>
          <w:szCs w:val="16"/>
        </w:rPr>
      </w:pPr>
      <w:r w:rsidRPr="00E74BE1">
        <w:rPr>
          <w:rFonts w:ascii="Arial" w:hAnsi="Arial" w:cs="Arial"/>
          <w:sz w:val="16"/>
          <w:szCs w:val="16"/>
        </w:rPr>
        <w:t xml:space="preserve">Accelerating the Global Adoption of CLIMATE-FRIENDLY AND ENERGY-EFFICIENT , </w:t>
      </w:r>
      <w:hyperlink r:id="rId5" w:history="1">
        <w:r w:rsidRPr="00E74BE1">
          <w:rPr>
            <w:rStyle w:val="Hyperlink"/>
            <w:rFonts w:ascii="Arial" w:hAnsi="Arial" w:cs="Arial"/>
            <w:sz w:val="16"/>
            <w:szCs w:val="16"/>
          </w:rPr>
          <w:t>https://united4efficiency.org/wp-content/uploads/2017/11/U4E-RefrigerationGuide-201801-Final-R1-1.pdfREFRIGERATORS</w:t>
        </w:r>
      </w:hyperlink>
      <w:r w:rsidRPr="00E74BE1">
        <w:rPr>
          <w:rFonts w:ascii="Arial" w:hAnsi="Arial" w:cs="Arial"/>
          <w:sz w:val="16"/>
          <w:szCs w:val="16"/>
        </w:rPr>
        <w:t>,</w:t>
      </w:r>
    </w:p>
    <w:p w14:paraId="4CD40D6A" w14:textId="77777777" w:rsidR="00F72419" w:rsidRPr="00E74BE1" w:rsidRDefault="00F72419" w:rsidP="00AF5921">
      <w:pPr>
        <w:pStyle w:val="FootnoteText"/>
        <w:rPr>
          <w:rFonts w:ascii="Arial" w:hAnsi="Arial" w:cs="Arial"/>
          <w:sz w:val="16"/>
          <w:szCs w:val="16"/>
        </w:rPr>
      </w:pPr>
    </w:p>
    <w:p w14:paraId="23B67AF6" w14:textId="77777777" w:rsidR="00AF5921" w:rsidRPr="00E74BE1" w:rsidRDefault="00AF5921" w:rsidP="00AF5921">
      <w:pPr>
        <w:pStyle w:val="FootnoteText"/>
        <w:rPr>
          <w:rFonts w:ascii="Arial" w:hAnsi="Arial" w:cs="Arial"/>
          <w:sz w:val="16"/>
          <w:szCs w:val="16"/>
        </w:rPr>
      </w:pPr>
      <w:bookmarkStart w:id="7" w:name="_Hlk16459157"/>
      <w:r w:rsidRPr="00E74BE1">
        <w:rPr>
          <w:rFonts w:ascii="Arial" w:hAnsi="Arial" w:cs="Arial"/>
          <w:sz w:val="16"/>
          <w:szCs w:val="16"/>
        </w:rPr>
        <w:t xml:space="preserve">MANUAL OF FINANCING MECHANISMS AND BUSINESS MODELS FOR ENERGY EFFICIENCY, </w:t>
      </w:r>
      <w:hyperlink r:id="rId6" w:history="1">
        <w:r w:rsidRPr="00E74BE1">
          <w:rPr>
            <w:rStyle w:val="Hyperlink"/>
            <w:rFonts w:ascii="Arial" w:hAnsi="Arial" w:cs="Arial"/>
            <w:sz w:val="16"/>
            <w:szCs w:val="16"/>
          </w:rPr>
          <w:t>https://united4efficiency.org/wp-content/uploads/2019/06/MANUAL-FINANCING-MECHANISMS_25-06-19_WEB.pdf</w:t>
        </w:r>
      </w:hyperlink>
      <w:bookmarkEnd w:id="7"/>
    </w:p>
  </w:footnote>
  <w:footnote w:id="5">
    <w:p w14:paraId="1CFA6767" w14:textId="77777777" w:rsidR="009908EA" w:rsidRPr="00373369" w:rsidRDefault="009908EA" w:rsidP="00B81CCC">
      <w:pPr>
        <w:pStyle w:val="FootnoteText"/>
        <w:rPr>
          <w:rFonts w:ascii="Arial" w:hAnsi="Arial" w:cs="Arial"/>
          <w:i/>
          <w:sz w:val="14"/>
          <w:szCs w:val="14"/>
          <w:lang w:val="en-AU"/>
        </w:rPr>
      </w:pPr>
      <w:r w:rsidRPr="00373369">
        <w:rPr>
          <w:rStyle w:val="FootnoteReference"/>
          <w:rFonts w:ascii="Arial" w:hAnsi="Arial" w:cs="Arial"/>
          <w:i/>
          <w:sz w:val="14"/>
          <w:szCs w:val="14"/>
        </w:rPr>
        <w:footnoteRef/>
      </w:r>
      <w:r w:rsidRPr="00373369">
        <w:rPr>
          <w:rFonts w:ascii="Arial" w:hAnsi="Arial" w:cs="Arial"/>
          <w:i/>
          <w:sz w:val="14"/>
          <w:szCs w:val="14"/>
        </w:rPr>
        <w:t xml:space="preserve"> </w:t>
      </w:r>
      <w:r w:rsidRPr="00373369">
        <w:rPr>
          <w:rFonts w:ascii="Arial" w:hAnsi="Arial" w:cs="Arial"/>
          <w:sz w:val="14"/>
          <w:szCs w:val="14"/>
        </w:rPr>
        <w:t>For second disbursement, audited financial report and audited expenditure statement are only required for readiness and preparatory support proposals expected to last over 12 months.</w:t>
      </w:r>
      <w:r w:rsidRPr="00373369">
        <w:rPr>
          <w:rFonts w:ascii="Arial" w:hAnsi="Arial" w:cs="Arial"/>
          <w:i/>
          <w:sz w:val="14"/>
          <w:szCs w:val="14"/>
          <w:lang w:eastAsia="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7AC55" w14:textId="422A3D6F" w:rsidR="009908EA" w:rsidRPr="00FE5105" w:rsidRDefault="009908EA" w:rsidP="00AD7442">
    <w:pPr>
      <w:pStyle w:val="Header"/>
      <w:ind w:right="54"/>
      <w:jc w:val="right"/>
      <w:rPr>
        <w:rFonts w:ascii="Arial" w:hAnsi="Arial" w:cs="Arial"/>
        <w:b/>
        <w:sz w:val="16"/>
        <w:szCs w:val="16"/>
      </w:rPr>
    </w:pPr>
    <w:r w:rsidRPr="00FE5105">
      <w:rPr>
        <w:rFonts w:ascii="Arial" w:hAnsi="Arial" w:cs="Arial"/>
        <w:noProof/>
      </w:rPr>
      <w:drawing>
        <wp:anchor distT="0" distB="0" distL="114300" distR="114300" simplePos="0" relativeHeight="251660288" behindDoc="0" locked="0" layoutInCell="1" allowOverlap="1" wp14:anchorId="7E23DE72" wp14:editId="7FDCFC88">
          <wp:simplePos x="0" y="0"/>
          <wp:positionH relativeFrom="column">
            <wp:posOffset>-381000</wp:posOffset>
          </wp:positionH>
          <wp:positionV relativeFrom="paragraph">
            <wp:posOffset>-276225</wp:posOffset>
          </wp:positionV>
          <wp:extent cx="1012571" cy="63817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571"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5105">
      <w:rPr>
        <w:rFonts w:ascii="Arial" w:hAnsi="Arial" w:cs="Arial"/>
        <w:b/>
        <w:sz w:val="16"/>
        <w:szCs w:val="16"/>
      </w:rPr>
      <w:t>Readiness and Preparatory Support</w:t>
    </w:r>
  </w:p>
  <w:p w14:paraId="22843907" w14:textId="548F8785" w:rsidR="009908EA" w:rsidRPr="00FE5105" w:rsidRDefault="009908EA" w:rsidP="00AD7442">
    <w:pPr>
      <w:pStyle w:val="Header"/>
      <w:ind w:right="54"/>
      <w:jc w:val="right"/>
      <w:rPr>
        <w:rFonts w:ascii="Arial" w:hAnsi="Arial" w:cs="Arial"/>
        <w:b/>
        <w:bCs/>
        <w:sz w:val="16"/>
        <w:szCs w:val="16"/>
      </w:rPr>
    </w:pPr>
    <w:r w:rsidRPr="00FE5105">
      <w:rPr>
        <w:rFonts w:ascii="Arial" w:hAnsi="Arial" w:cs="Arial"/>
        <w:sz w:val="16"/>
        <w:szCs w:val="16"/>
      </w:rPr>
      <w:t xml:space="preserve">Page </w:t>
    </w:r>
    <w:r w:rsidRPr="00FE5105">
      <w:rPr>
        <w:rFonts w:ascii="Arial" w:hAnsi="Arial" w:cs="Arial"/>
        <w:b/>
        <w:sz w:val="16"/>
        <w:szCs w:val="16"/>
      </w:rPr>
      <w:fldChar w:fldCharType="begin"/>
    </w:r>
    <w:r w:rsidRPr="00FE5105">
      <w:rPr>
        <w:rFonts w:ascii="Arial" w:hAnsi="Arial" w:cs="Arial"/>
        <w:b/>
        <w:bCs/>
        <w:sz w:val="16"/>
        <w:szCs w:val="16"/>
      </w:rPr>
      <w:instrText xml:space="preserve"> PAGE </w:instrText>
    </w:r>
    <w:r w:rsidRPr="00FE5105">
      <w:rPr>
        <w:rFonts w:ascii="Arial" w:hAnsi="Arial" w:cs="Arial"/>
        <w:b/>
        <w:bCs/>
        <w:sz w:val="16"/>
        <w:szCs w:val="16"/>
      </w:rPr>
      <w:fldChar w:fldCharType="separate"/>
    </w:r>
    <w:r>
      <w:rPr>
        <w:rFonts w:ascii="Arial" w:hAnsi="Arial" w:cs="Arial"/>
        <w:b/>
        <w:bCs/>
        <w:noProof/>
        <w:sz w:val="16"/>
        <w:szCs w:val="16"/>
      </w:rPr>
      <w:t>2</w:t>
    </w:r>
    <w:r w:rsidRPr="00FE5105">
      <w:rPr>
        <w:rFonts w:ascii="Arial" w:hAnsi="Arial" w:cs="Arial"/>
        <w:b/>
        <w:sz w:val="16"/>
        <w:szCs w:val="16"/>
      </w:rPr>
      <w:fldChar w:fldCharType="end"/>
    </w:r>
    <w:r w:rsidRPr="00FE5105">
      <w:rPr>
        <w:rFonts w:ascii="Arial" w:hAnsi="Arial" w:cs="Arial"/>
        <w:sz w:val="16"/>
        <w:szCs w:val="16"/>
      </w:rPr>
      <w:t xml:space="preserve"> of </w:t>
    </w:r>
    <w:r w:rsidRPr="00FE5105">
      <w:rPr>
        <w:rFonts w:ascii="Arial" w:hAnsi="Arial" w:cs="Arial"/>
        <w:b/>
        <w:sz w:val="16"/>
        <w:szCs w:val="16"/>
      </w:rPr>
      <w:fldChar w:fldCharType="begin"/>
    </w:r>
    <w:r w:rsidRPr="00FE5105">
      <w:rPr>
        <w:rFonts w:ascii="Arial" w:hAnsi="Arial" w:cs="Arial"/>
        <w:b/>
        <w:bCs/>
        <w:sz w:val="16"/>
        <w:szCs w:val="16"/>
      </w:rPr>
      <w:instrText xml:space="preserve"> NUMPAGES  </w:instrText>
    </w:r>
    <w:r w:rsidRPr="00FE5105">
      <w:rPr>
        <w:rFonts w:ascii="Arial" w:hAnsi="Arial" w:cs="Arial"/>
        <w:b/>
        <w:bCs/>
        <w:sz w:val="16"/>
        <w:szCs w:val="16"/>
      </w:rPr>
      <w:fldChar w:fldCharType="separate"/>
    </w:r>
    <w:r>
      <w:rPr>
        <w:rFonts w:ascii="Arial" w:hAnsi="Arial" w:cs="Arial"/>
        <w:b/>
        <w:bCs/>
        <w:noProof/>
        <w:sz w:val="16"/>
        <w:szCs w:val="16"/>
      </w:rPr>
      <w:t>8</w:t>
    </w:r>
    <w:r w:rsidRPr="00FE5105">
      <w:rPr>
        <w:rFonts w:ascii="Arial" w:hAnsi="Arial" w:cs="Arial"/>
        <w:b/>
        <w:sz w:val="16"/>
        <w:szCs w:val="16"/>
      </w:rPr>
      <w:fldChar w:fldCharType="end"/>
    </w:r>
    <w:r w:rsidRPr="00FE5105">
      <w:rPr>
        <w:rFonts w:ascii="Arial" w:hAnsi="Arial" w:cs="Arial"/>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EF34E" w14:textId="1C0E275A" w:rsidR="009908EA" w:rsidRDefault="009908EA">
    <w:pPr>
      <w:pStyle w:val="Header"/>
    </w:pPr>
    <w:r>
      <w:rPr>
        <w:noProof/>
      </w:rPr>
      <w:drawing>
        <wp:anchor distT="0" distB="0" distL="114300" distR="114300" simplePos="0" relativeHeight="251665408" behindDoc="1" locked="0" layoutInCell="1" allowOverlap="1" wp14:anchorId="0DCF88DC" wp14:editId="6B4CA453">
          <wp:simplePos x="0" y="0"/>
          <wp:positionH relativeFrom="column">
            <wp:posOffset>-922020</wp:posOffset>
          </wp:positionH>
          <wp:positionV relativeFrom="paragraph">
            <wp:posOffset>-449581</wp:posOffset>
          </wp:positionV>
          <wp:extent cx="7559040" cy="10695237"/>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261" cy="10696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A0F89" w14:textId="77777777" w:rsidR="009908EA" w:rsidRPr="00945EA6" w:rsidRDefault="009908EA" w:rsidP="00B814AE">
    <w:pPr>
      <w:pStyle w:val="Header"/>
      <w:ind w:right="54"/>
      <w:jc w:val="right"/>
      <w:rPr>
        <w:rFonts w:ascii="Arial" w:hAnsi="Arial" w:cs="Arial"/>
        <w:b/>
        <w:sz w:val="16"/>
        <w:szCs w:val="16"/>
      </w:rPr>
    </w:pPr>
    <w:r w:rsidRPr="00945EA6">
      <w:rPr>
        <w:rFonts w:ascii="Arial" w:hAnsi="Arial" w:cs="Arial"/>
        <w:noProof/>
      </w:rPr>
      <w:drawing>
        <wp:anchor distT="0" distB="0" distL="114300" distR="114300" simplePos="0" relativeHeight="251664384" behindDoc="0" locked="0" layoutInCell="1" allowOverlap="1" wp14:anchorId="186EB5D4" wp14:editId="6A424EEB">
          <wp:simplePos x="0" y="0"/>
          <wp:positionH relativeFrom="column">
            <wp:posOffset>-381000</wp:posOffset>
          </wp:positionH>
          <wp:positionV relativeFrom="paragraph">
            <wp:posOffset>-276225</wp:posOffset>
          </wp:positionV>
          <wp:extent cx="1012571" cy="6381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571"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5EA6">
      <w:rPr>
        <w:rFonts w:ascii="Arial" w:hAnsi="Arial" w:cs="Arial"/>
        <w:b/>
        <w:sz w:val="16"/>
        <w:szCs w:val="16"/>
      </w:rPr>
      <w:t>Readiness and Preparatory Support</w:t>
    </w:r>
  </w:p>
  <w:p w14:paraId="47C2D4E8" w14:textId="2293F910" w:rsidR="009908EA" w:rsidRPr="00945EA6" w:rsidRDefault="009908EA" w:rsidP="00B814AE">
    <w:pPr>
      <w:pStyle w:val="Header"/>
      <w:ind w:right="54"/>
      <w:jc w:val="right"/>
      <w:rPr>
        <w:rFonts w:ascii="Arial" w:hAnsi="Arial" w:cs="Arial"/>
        <w:b/>
        <w:bCs/>
        <w:sz w:val="16"/>
        <w:szCs w:val="16"/>
      </w:rPr>
    </w:pPr>
    <w:r w:rsidRPr="00945EA6">
      <w:rPr>
        <w:rFonts w:ascii="Arial" w:hAnsi="Arial" w:cs="Arial"/>
        <w:sz w:val="16"/>
        <w:szCs w:val="16"/>
      </w:rPr>
      <w:t xml:space="preserve">Page </w:t>
    </w:r>
    <w:r w:rsidRPr="00945EA6">
      <w:rPr>
        <w:rFonts w:ascii="Arial" w:hAnsi="Arial" w:cs="Arial"/>
        <w:b/>
        <w:sz w:val="16"/>
        <w:szCs w:val="16"/>
      </w:rPr>
      <w:fldChar w:fldCharType="begin"/>
    </w:r>
    <w:r w:rsidRPr="00945EA6">
      <w:rPr>
        <w:rFonts w:ascii="Arial" w:hAnsi="Arial" w:cs="Arial"/>
        <w:b/>
        <w:bCs/>
        <w:sz w:val="16"/>
        <w:szCs w:val="16"/>
      </w:rPr>
      <w:instrText xml:space="preserve"> PAGE </w:instrText>
    </w:r>
    <w:r w:rsidRPr="00945EA6">
      <w:rPr>
        <w:rFonts w:ascii="Arial" w:hAnsi="Arial" w:cs="Arial"/>
        <w:b/>
        <w:bCs/>
        <w:sz w:val="16"/>
        <w:szCs w:val="16"/>
      </w:rPr>
      <w:fldChar w:fldCharType="separate"/>
    </w:r>
    <w:r>
      <w:rPr>
        <w:rFonts w:ascii="Arial" w:hAnsi="Arial" w:cs="Arial"/>
        <w:b/>
        <w:bCs/>
        <w:noProof/>
        <w:sz w:val="16"/>
        <w:szCs w:val="16"/>
      </w:rPr>
      <w:t>8</w:t>
    </w:r>
    <w:r w:rsidRPr="00945EA6">
      <w:rPr>
        <w:rFonts w:ascii="Arial" w:hAnsi="Arial" w:cs="Arial"/>
        <w:b/>
        <w:sz w:val="16"/>
        <w:szCs w:val="16"/>
      </w:rPr>
      <w:fldChar w:fldCharType="end"/>
    </w:r>
    <w:r w:rsidRPr="00945EA6">
      <w:rPr>
        <w:rFonts w:ascii="Arial" w:hAnsi="Arial" w:cs="Arial"/>
        <w:sz w:val="16"/>
        <w:szCs w:val="16"/>
      </w:rPr>
      <w:t xml:space="preserve"> of </w:t>
    </w:r>
    <w:r w:rsidRPr="00945EA6">
      <w:rPr>
        <w:rFonts w:ascii="Arial" w:hAnsi="Arial" w:cs="Arial"/>
        <w:b/>
        <w:sz w:val="16"/>
        <w:szCs w:val="16"/>
      </w:rPr>
      <w:fldChar w:fldCharType="begin"/>
    </w:r>
    <w:r w:rsidRPr="00945EA6">
      <w:rPr>
        <w:rFonts w:ascii="Arial" w:hAnsi="Arial" w:cs="Arial"/>
        <w:b/>
        <w:bCs/>
        <w:sz w:val="16"/>
        <w:szCs w:val="16"/>
      </w:rPr>
      <w:instrText xml:space="preserve"> NUMPAGES  </w:instrText>
    </w:r>
    <w:r w:rsidRPr="00945EA6">
      <w:rPr>
        <w:rFonts w:ascii="Arial" w:hAnsi="Arial" w:cs="Arial"/>
        <w:b/>
        <w:bCs/>
        <w:sz w:val="16"/>
        <w:szCs w:val="16"/>
      </w:rPr>
      <w:fldChar w:fldCharType="separate"/>
    </w:r>
    <w:r>
      <w:rPr>
        <w:rFonts w:ascii="Arial" w:hAnsi="Arial" w:cs="Arial"/>
        <w:b/>
        <w:bCs/>
        <w:noProof/>
        <w:sz w:val="16"/>
        <w:szCs w:val="16"/>
      </w:rPr>
      <w:t>8</w:t>
    </w:r>
    <w:r w:rsidRPr="00945EA6">
      <w:rPr>
        <w:rFonts w:ascii="Arial" w:hAnsi="Arial" w:cs="Arial"/>
        <w:b/>
        <w:sz w:val="16"/>
        <w:szCs w:val="16"/>
      </w:rPr>
      <w:fldChar w:fldCharType="end"/>
    </w:r>
    <w:r w:rsidRPr="00945EA6">
      <w:rPr>
        <w:rFonts w:ascii="Arial" w:hAnsi="Arial" w:cs="Arial"/>
        <w:noProof/>
      </w:rPr>
      <w:t xml:space="preserve"> </w:t>
    </w:r>
  </w:p>
  <w:p w14:paraId="69463F6B" w14:textId="3ED7AEC5" w:rsidR="009908EA" w:rsidRPr="00945EA6" w:rsidRDefault="009908EA">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3332"/>
    <w:multiLevelType w:val="hybridMultilevel"/>
    <w:tmpl w:val="7830348E"/>
    <w:lvl w:ilvl="0" w:tplc="DDA48D06">
      <w:start w:val="1"/>
      <w:numFmt w:val="decimal"/>
      <w:lvlText w:val="%1."/>
      <w:lvlJc w:val="left"/>
      <w:pPr>
        <w:ind w:left="720" w:hanging="360"/>
      </w:pPr>
      <w:rPr>
        <w:rFonts w:ascii="Arial" w:hAnsi="Arial" w:cs="Arial"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62272"/>
    <w:multiLevelType w:val="hybridMultilevel"/>
    <w:tmpl w:val="400EE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BA7FD2"/>
    <w:multiLevelType w:val="hybridMultilevel"/>
    <w:tmpl w:val="FD14A5B6"/>
    <w:lvl w:ilvl="0" w:tplc="0409001B">
      <w:start w:val="1"/>
      <w:numFmt w:val="lowerRoman"/>
      <w:lvlText w:val="%1."/>
      <w:lvlJc w:val="right"/>
      <w:pPr>
        <w:ind w:left="885" w:hanging="360"/>
      </w:p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3" w15:restartNumberingAfterBreak="0">
    <w:nsid w:val="309A2F8B"/>
    <w:multiLevelType w:val="hybridMultilevel"/>
    <w:tmpl w:val="96E4332A"/>
    <w:lvl w:ilvl="0" w:tplc="DDA48D06">
      <w:start w:val="1"/>
      <w:numFmt w:val="decimal"/>
      <w:lvlText w:val="%1."/>
      <w:lvlJc w:val="left"/>
      <w:pPr>
        <w:ind w:left="720" w:hanging="360"/>
      </w:pPr>
      <w:rPr>
        <w:rFonts w:ascii="Arial" w:hAnsi="Arial" w:cs="Arial"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B4F38"/>
    <w:multiLevelType w:val="hybridMultilevel"/>
    <w:tmpl w:val="A9CED6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DE67225"/>
    <w:multiLevelType w:val="hybridMultilevel"/>
    <w:tmpl w:val="AC2EDAB2"/>
    <w:lvl w:ilvl="0" w:tplc="978EA18C">
      <w:start w:val="1"/>
      <w:numFmt w:val="bullet"/>
      <w:lvlText w:val=""/>
      <w:lvlJc w:val="left"/>
      <w:pPr>
        <w:ind w:left="360" w:hanging="360"/>
      </w:pPr>
      <w:rPr>
        <w:rFonts w:ascii="Wingdings" w:eastAsia="Calibri" w:hAnsi="Wingdings"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6AA24B8"/>
    <w:multiLevelType w:val="hybridMultilevel"/>
    <w:tmpl w:val="B730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752D3A"/>
    <w:multiLevelType w:val="hybridMultilevel"/>
    <w:tmpl w:val="8902A25A"/>
    <w:lvl w:ilvl="0" w:tplc="B1AED7E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97277F"/>
    <w:multiLevelType w:val="hybridMultilevel"/>
    <w:tmpl w:val="C7326DCC"/>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FE347E"/>
    <w:multiLevelType w:val="hybridMultilevel"/>
    <w:tmpl w:val="96E4332A"/>
    <w:lvl w:ilvl="0" w:tplc="DDA48D06">
      <w:start w:val="1"/>
      <w:numFmt w:val="decimal"/>
      <w:lvlText w:val="%1."/>
      <w:lvlJc w:val="left"/>
      <w:pPr>
        <w:ind w:left="720" w:hanging="360"/>
      </w:pPr>
      <w:rPr>
        <w:rFonts w:ascii="Arial" w:hAnsi="Arial" w:cs="Arial"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1F44F8"/>
    <w:multiLevelType w:val="hybridMultilevel"/>
    <w:tmpl w:val="03564608"/>
    <w:lvl w:ilvl="0" w:tplc="D986A0D2">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3200E8"/>
    <w:multiLevelType w:val="hybridMultilevel"/>
    <w:tmpl w:val="F50A163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F15686A"/>
    <w:multiLevelType w:val="multilevel"/>
    <w:tmpl w:val="8A86AC54"/>
    <w:lvl w:ilvl="0">
      <w:start w:val="1"/>
      <w:numFmt w:val="decimal"/>
      <w:lvlText w:val="%1."/>
      <w:lvlJc w:val="left"/>
      <w:pPr>
        <w:ind w:left="720" w:hanging="360"/>
      </w:pPr>
      <w:rPr>
        <w:rFonts w:ascii="Arial" w:hAnsi="Arial" w:cs="Arial" w:hint="default"/>
        <w:color w:val="FFFFFF" w:themeColor="background1"/>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6051802"/>
    <w:multiLevelType w:val="hybridMultilevel"/>
    <w:tmpl w:val="7AF0D2F0"/>
    <w:lvl w:ilvl="0" w:tplc="D986A0D2">
      <w:numFmt w:val="bullet"/>
      <w:lvlText w:val="-"/>
      <w:lvlJc w:val="left"/>
      <w:pPr>
        <w:ind w:left="720" w:hanging="360"/>
      </w:pPr>
      <w:rPr>
        <w:rFonts w:ascii="Cambria" w:eastAsia="Times New Roman"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2"/>
  </w:num>
  <w:num w:numId="4">
    <w:abstractNumId w:val="11"/>
  </w:num>
  <w:num w:numId="5">
    <w:abstractNumId w:val="5"/>
  </w:num>
  <w:num w:numId="6">
    <w:abstractNumId w:val="1"/>
  </w:num>
  <w:num w:numId="7">
    <w:abstractNumId w:val="0"/>
  </w:num>
  <w:num w:numId="8">
    <w:abstractNumId w:val="10"/>
  </w:num>
  <w:num w:numId="9">
    <w:abstractNumId w:val="13"/>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8"/>
  </w:num>
  <w:num w:numId="13">
    <w:abstractNumId w:val="9"/>
  </w:num>
  <w:num w:numId="14">
    <w:abstractNumId w:val="3"/>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83"/>
    <w:rsid w:val="00001D5D"/>
    <w:rsid w:val="000020BB"/>
    <w:rsid w:val="00004863"/>
    <w:rsid w:val="0001541A"/>
    <w:rsid w:val="000243AD"/>
    <w:rsid w:val="0002486C"/>
    <w:rsid w:val="00026BC3"/>
    <w:rsid w:val="00030B16"/>
    <w:rsid w:val="00035D76"/>
    <w:rsid w:val="000404C5"/>
    <w:rsid w:val="00040B48"/>
    <w:rsid w:val="0006025E"/>
    <w:rsid w:val="000708BC"/>
    <w:rsid w:val="00073A74"/>
    <w:rsid w:val="00074167"/>
    <w:rsid w:val="000811B4"/>
    <w:rsid w:val="00085B5B"/>
    <w:rsid w:val="00086BAF"/>
    <w:rsid w:val="000A22F1"/>
    <w:rsid w:val="000A31EB"/>
    <w:rsid w:val="000A7A9D"/>
    <w:rsid w:val="000B6763"/>
    <w:rsid w:val="000B7425"/>
    <w:rsid w:val="000C3B08"/>
    <w:rsid w:val="000C76FD"/>
    <w:rsid w:val="000D1B5D"/>
    <w:rsid w:val="000E0721"/>
    <w:rsid w:val="000F575D"/>
    <w:rsid w:val="000F5FDE"/>
    <w:rsid w:val="00120223"/>
    <w:rsid w:val="001270F9"/>
    <w:rsid w:val="001310E4"/>
    <w:rsid w:val="001317C0"/>
    <w:rsid w:val="00132E54"/>
    <w:rsid w:val="00143EA1"/>
    <w:rsid w:val="00147A13"/>
    <w:rsid w:val="0015230B"/>
    <w:rsid w:val="00155D6E"/>
    <w:rsid w:val="001728B0"/>
    <w:rsid w:val="0017596C"/>
    <w:rsid w:val="00181E22"/>
    <w:rsid w:val="0018214A"/>
    <w:rsid w:val="00182F6A"/>
    <w:rsid w:val="001879F3"/>
    <w:rsid w:val="001951E4"/>
    <w:rsid w:val="001A4F50"/>
    <w:rsid w:val="001B1528"/>
    <w:rsid w:val="001B62F5"/>
    <w:rsid w:val="001B6FCD"/>
    <w:rsid w:val="001B7CEB"/>
    <w:rsid w:val="001C1202"/>
    <w:rsid w:val="001C6F85"/>
    <w:rsid w:val="001D33FC"/>
    <w:rsid w:val="001D65DC"/>
    <w:rsid w:val="001E3A51"/>
    <w:rsid w:val="001F71E0"/>
    <w:rsid w:val="001F72BC"/>
    <w:rsid w:val="00206B43"/>
    <w:rsid w:val="0021416B"/>
    <w:rsid w:val="00215090"/>
    <w:rsid w:val="00243FBB"/>
    <w:rsid w:val="002559F0"/>
    <w:rsid w:val="002603A1"/>
    <w:rsid w:val="002619B9"/>
    <w:rsid w:val="00274ACC"/>
    <w:rsid w:val="00294DA3"/>
    <w:rsid w:val="002972EE"/>
    <w:rsid w:val="002A20BD"/>
    <w:rsid w:val="002A7158"/>
    <w:rsid w:val="002B0C7B"/>
    <w:rsid w:val="002B25B1"/>
    <w:rsid w:val="002B3D30"/>
    <w:rsid w:val="002B4D50"/>
    <w:rsid w:val="002C155D"/>
    <w:rsid w:val="002C2EE4"/>
    <w:rsid w:val="002D2450"/>
    <w:rsid w:val="002D6B66"/>
    <w:rsid w:val="002D6E39"/>
    <w:rsid w:val="002E0000"/>
    <w:rsid w:val="002F0EB8"/>
    <w:rsid w:val="002F1B9F"/>
    <w:rsid w:val="00304066"/>
    <w:rsid w:val="00304F83"/>
    <w:rsid w:val="00312251"/>
    <w:rsid w:val="00315370"/>
    <w:rsid w:val="003156E8"/>
    <w:rsid w:val="00316431"/>
    <w:rsid w:val="00321012"/>
    <w:rsid w:val="00323B5E"/>
    <w:rsid w:val="00325E23"/>
    <w:rsid w:val="00333326"/>
    <w:rsid w:val="0033368D"/>
    <w:rsid w:val="003356CE"/>
    <w:rsid w:val="00336F95"/>
    <w:rsid w:val="00373369"/>
    <w:rsid w:val="0037758C"/>
    <w:rsid w:val="00395196"/>
    <w:rsid w:val="003A312C"/>
    <w:rsid w:val="003A56E8"/>
    <w:rsid w:val="003A59C8"/>
    <w:rsid w:val="003B3257"/>
    <w:rsid w:val="003B6EC2"/>
    <w:rsid w:val="003C17CA"/>
    <w:rsid w:val="003C2885"/>
    <w:rsid w:val="003E170A"/>
    <w:rsid w:val="003E7568"/>
    <w:rsid w:val="003F0E90"/>
    <w:rsid w:val="003F7DA5"/>
    <w:rsid w:val="004001A7"/>
    <w:rsid w:val="00406DBE"/>
    <w:rsid w:val="0044173C"/>
    <w:rsid w:val="00441BF8"/>
    <w:rsid w:val="00442BBF"/>
    <w:rsid w:val="00442CFA"/>
    <w:rsid w:val="004455C6"/>
    <w:rsid w:val="00446BD0"/>
    <w:rsid w:val="00451C2C"/>
    <w:rsid w:val="00455FC0"/>
    <w:rsid w:val="00477A6C"/>
    <w:rsid w:val="00485B66"/>
    <w:rsid w:val="00494720"/>
    <w:rsid w:val="00495810"/>
    <w:rsid w:val="00497C83"/>
    <w:rsid w:val="004A416A"/>
    <w:rsid w:val="004A6DA7"/>
    <w:rsid w:val="004B56A6"/>
    <w:rsid w:val="004C19F8"/>
    <w:rsid w:val="004C71D8"/>
    <w:rsid w:val="004D3F21"/>
    <w:rsid w:val="004D59CE"/>
    <w:rsid w:val="004E1FE6"/>
    <w:rsid w:val="004E20EB"/>
    <w:rsid w:val="004E4826"/>
    <w:rsid w:val="004F0B50"/>
    <w:rsid w:val="004F198D"/>
    <w:rsid w:val="0050529E"/>
    <w:rsid w:val="00522920"/>
    <w:rsid w:val="00524A65"/>
    <w:rsid w:val="005266CA"/>
    <w:rsid w:val="00530DEE"/>
    <w:rsid w:val="00535A79"/>
    <w:rsid w:val="00537DA1"/>
    <w:rsid w:val="00557FF1"/>
    <w:rsid w:val="00561513"/>
    <w:rsid w:val="0056529A"/>
    <w:rsid w:val="00571EC0"/>
    <w:rsid w:val="00574420"/>
    <w:rsid w:val="00575CDF"/>
    <w:rsid w:val="005849A6"/>
    <w:rsid w:val="00590EB2"/>
    <w:rsid w:val="005923AD"/>
    <w:rsid w:val="00596162"/>
    <w:rsid w:val="005A4400"/>
    <w:rsid w:val="005A4C22"/>
    <w:rsid w:val="005B0EEA"/>
    <w:rsid w:val="005D0678"/>
    <w:rsid w:val="005D58F8"/>
    <w:rsid w:val="005D655F"/>
    <w:rsid w:val="005E1885"/>
    <w:rsid w:val="00602464"/>
    <w:rsid w:val="006152BE"/>
    <w:rsid w:val="00616FA9"/>
    <w:rsid w:val="006259B1"/>
    <w:rsid w:val="00626F78"/>
    <w:rsid w:val="00627C5F"/>
    <w:rsid w:val="00632C01"/>
    <w:rsid w:val="006334CD"/>
    <w:rsid w:val="006338D7"/>
    <w:rsid w:val="00640EEF"/>
    <w:rsid w:val="006447F1"/>
    <w:rsid w:val="00647907"/>
    <w:rsid w:val="006503A9"/>
    <w:rsid w:val="006511E6"/>
    <w:rsid w:val="006512D0"/>
    <w:rsid w:val="006530FE"/>
    <w:rsid w:val="0065363D"/>
    <w:rsid w:val="0066062C"/>
    <w:rsid w:val="00665457"/>
    <w:rsid w:val="00675C6F"/>
    <w:rsid w:val="0067634C"/>
    <w:rsid w:val="006851F1"/>
    <w:rsid w:val="00686CDF"/>
    <w:rsid w:val="006A065B"/>
    <w:rsid w:val="006B04B2"/>
    <w:rsid w:val="006B2464"/>
    <w:rsid w:val="006D088E"/>
    <w:rsid w:val="006D0BBE"/>
    <w:rsid w:val="006D169C"/>
    <w:rsid w:val="006E3ED5"/>
    <w:rsid w:val="006E4952"/>
    <w:rsid w:val="006E5523"/>
    <w:rsid w:val="006E6E8C"/>
    <w:rsid w:val="00701D81"/>
    <w:rsid w:val="0070394D"/>
    <w:rsid w:val="00704A65"/>
    <w:rsid w:val="00707281"/>
    <w:rsid w:val="00711CEC"/>
    <w:rsid w:val="007139BF"/>
    <w:rsid w:val="00723BAF"/>
    <w:rsid w:val="00735DAF"/>
    <w:rsid w:val="00741354"/>
    <w:rsid w:val="00741CCB"/>
    <w:rsid w:val="00742E05"/>
    <w:rsid w:val="00746FF7"/>
    <w:rsid w:val="00751D39"/>
    <w:rsid w:val="007526C0"/>
    <w:rsid w:val="00771875"/>
    <w:rsid w:val="00777676"/>
    <w:rsid w:val="00780620"/>
    <w:rsid w:val="0078386F"/>
    <w:rsid w:val="00784375"/>
    <w:rsid w:val="00785265"/>
    <w:rsid w:val="007936B1"/>
    <w:rsid w:val="007A483F"/>
    <w:rsid w:val="007B0F6E"/>
    <w:rsid w:val="007B29E1"/>
    <w:rsid w:val="007B5E16"/>
    <w:rsid w:val="007C056F"/>
    <w:rsid w:val="007C4FA3"/>
    <w:rsid w:val="007D688A"/>
    <w:rsid w:val="007D7710"/>
    <w:rsid w:val="007E5FD8"/>
    <w:rsid w:val="007E709C"/>
    <w:rsid w:val="007F519C"/>
    <w:rsid w:val="00800643"/>
    <w:rsid w:val="008034EB"/>
    <w:rsid w:val="00804F8A"/>
    <w:rsid w:val="00807AA9"/>
    <w:rsid w:val="0081140C"/>
    <w:rsid w:val="00816E67"/>
    <w:rsid w:val="0082199A"/>
    <w:rsid w:val="00822B71"/>
    <w:rsid w:val="008301A9"/>
    <w:rsid w:val="008303CE"/>
    <w:rsid w:val="00854A76"/>
    <w:rsid w:val="00855B65"/>
    <w:rsid w:val="00864D2A"/>
    <w:rsid w:val="00872589"/>
    <w:rsid w:val="0087568B"/>
    <w:rsid w:val="00876740"/>
    <w:rsid w:val="00882D95"/>
    <w:rsid w:val="00886886"/>
    <w:rsid w:val="008916BD"/>
    <w:rsid w:val="00894DA3"/>
    <w:rsid w:val="008A7001"/>
    <w:rsid w:val="008B0BBA"/>
    <w:rsid w:val="008B0CA0"/>
    <w:rsid w:val="008B5446"/>
    <w:rsid w:val="008C4948"/>
    <w:rsid w:val="008C6C83"/>
    <w:rsid w:val="008E46DE"/>
    <w:rsid w:val="008E4D09"/>
    <w:rsid w:val="008F6337"/>
    <w:rsid w:val="00901401"/>
    <w:rsid w:val="009154CB"/>
    <w:rsid w:val="009206E0"/>
    <w:rsid w:val="0092078A"/>
    <w:rsid w:val="00925A40"/>
    <w:rsid w:val="009301EB"/>
    <w:rsid w:val="009301F8"/>
    <w:rsid w:val="00936062"/>
    <w:rsid w:val="00940F04"/>
    <w:rsid w:val="00942FCA"/>
    <w:rsid w:val="00944D63"/>
    <w:rsid w:val="00945EA6"/>
    <w:rsid w:val="0095568A"/>
    <w:rsid w:val="00960BC9"/>
    <w:rsid w:val="00961062"/>
    <w:rsid w:val="00967F8A"/>
    <w:rsid w:val="0097492E"/>
    <w:rsid w:val="00977B2B"/>
    <w:rsid w:val="00981D5D"/>
    <w:rsid w:val="0098264C"/>
    <w:rsid w:val="009861A8"/>
    <w:rsid w:val="009908EA"/>
    <w:rsid w:val="009940B9"/>
    <w:rsid w:val="009A1DBF"/>
    <w:rsid w:val="009A6C49"/>
    <w:rsid w:val="009A726D"/>
    <w:rsid w:val="009B48D1"/>
    <w:rsid w:val="009C0EDF"/>
    <w:rsid w:val="009C6FDB"/>
    <w:rsid w:val="009D7FEF"/>
    <w:rsid w:val="009E01E4"/>
    <w:rsid w:val="009E42BB"/>
    <w:rsid w:val="00A2348C"/>
    <w:rsid w:val="00A27931"/>
    <w:rsid w:val="00A358E7"/>
    <w:rsid w:val="00A404B7"/>
    <w:rsid w:val="00A60AF9"/>
    <w:rsid w:val="00A63A04"/>
    <w:rsid w:val="00AA254B"/>
    <w:rsid w:val="00AB5427"/>
    <w:rsid w:val="00AB5C5A"/>
    <w:rsid w:val="00AB5CBB"/>
    <w:rsid w:val="00AD25A5"/>
    <w:rsid w:val="00AD7442"/>
    <w:rsid w:val="00AE5CDB"/>
    <w:rsid w:val="00AF5921"/>
    <w:rsid w:val="00AF7447"/>
    <w:rsid w:val="00B0780E"/>
    <w:rsid w:val="00B25774"/>
    <w:rsid w:val="00B3595A"/>
    <w:rsid w:val="00B379C4"/>
    <w:rsid w:val="00B45A77"/>
    <w:rsid w:val="00B46EC1"/>
    <w:rsid w:val="00B650C1"/>
    <w:rsid w:val="00B71236"/>
    <w:rsid w:val="00B71C17"/>
    <w:rsid w:val="00B814AE"/>
    <w:rsid w:val="00B81CCC"/>
    <w:rsid w:val="00B901A7"/>
    <w:rsid w:val="00BA433F"/>
    <w:rsid w:val="00BA6C30"/>
    <w:rsid w:val="00BB762A"/>
    <w:rsid w:val="00BC022C"/>
    <w:rsid w:val="00BC1FC5"/>
    <w:rsid w:val="00BC5606"/>
    <w:rsid w:val="00BD01A6"/>
    <w:rsid w:val="00BD02D2"/>
    <w:rsid w:val="00BD7914"/>
    <w:rsid w:val="00BE038B"/>
    <w:rsid w:val="00BE2146"/>
    <w:rsid w:val="00BF5F8D"/>
    <w:rsid w:val="00C020A3"/>
    <w:rsid w:val="00C04D0E"/>
    <w:rsid w:val="00C066DD"/>
    <w:rsid w:val="00C112CE"/>
    <w:rsid w:val="00C1265D"/>
    <w:rsid w:val="00C13555"/>
    <w:rsid w:val="00C23C33"/>
    <w:rsid w:val="00C30879"/>
    <w:rsid w:val="00C41F9D"/>
    <w:rsid w:val="00C618CC"/>
    <w:rsid w:val="00C645D4"/>
    <w:rsid w:val="00C679C8"/>
    <w:rsid w:val="00C80C30"/>
    <w:rsid w:val="00C865B3"/>
    <w:rsid w:val="00C86DB0"/>
    <w:rsid w:val="00C97E48"/>
    <w:rsid w:val="00CA29DD"/>
    <w:rsid w:val="00CA4A91"/>
    <w:rsid w:val="00CB0BE4"/>
    <w:rsid w:val="00CB141A"/>
    <w:rsid w:val="00CB2BCA"/>
    <w:rsid w:val="00CC482D"/>
    <w:rsid w:val="00CC7D8F"/>
    <w:rsid w:val="00CD6B35"/>
    <w:rsid w:val="00CD7665"/>
    <w:rsid w:val="00CE60BB"/>
    <w:rsid w:val="00CF49F0"/>
    <w:rsid w:val="00CF4D75"/>
    <w:rsid w:val="00CF6F44"/>
    <w:rsid w:val="00D003B9"/>
    <w:rsid w:val="00D02268"/>
    <w:rsid w:val="00D078A5"/>
    <w:rsid w:val="00D13680"/>
    <w:rsid w:val="00D15C41"/>
    <w:rsid w:val="00D16486"/>
    <w:rsid w:val="00D164C6"/>
    <w:rsid w:val="00D24199"/>
    <w:rsid w:val="00D241B4"/>
    <w:rsid w:val="00D423B1"/>
    <w:rsid w:val="00D45C5C"/>
    <w:rsid w:val="00D476E2"/>
    <w:rsid w:val="00D51333"/>
    <w:rsid w:val="00D61359"/>
    <w:rsid w:val="00D63541"/>
    <w:rsid w:val="00D63B68"/>
    <w:rsid w:val="00D77CB0"/>
    <w:rsid w:val="00DA3A6C"/>
    <w:rsid w:val="00DA4205"/>
    <w:rsid w:val="00DA6E71"/>
    <w:rsid w:val="00DB538C"/>
    <w:rsid w:val="00DB5A6E"/>
    <w:rsid w:val="00DB63D8"/>
    <w:rsid w:val="00DD02E3"/>
    <w:rsid w:val="00DD667D"/>
    <w:rsid w:val="00DE2658"/>
    <w:rsid w:val="00DF63E9"/>
    <w:rsid w:val="00E03971"/>
    <w:rsid w:val="00E03EEE"/>
    <w:rsid w:val="00E04C82"/>
    <w:rsid w:val="00E10DA9"/>
    <w:rsid w:val="00E15593"/>
    <w:rsid w:val="00E17B2D"/>
    <w:rsid w:val="00E2078E"/>
    <w:rsid w:val="00E271B7"/>
    <w:rsid w:val="00E30207"/>
    <w:rsid w:val="00E30515"/>
    <w:rsid w:val="00E310F6"/>
    <w:rsid w:val="00E33661"/>
    <w:rsid w:val="00E36398"/>
    <w:rsid w:val="00E419AF"/>
    <w:rsid w:val="00E44796"/>
    <w:rsid w:val="00E63500"/>
    <w:rsid w:val="00E64494"/>
    <w:rsid w:val="00E715EE"/>
    <w:rsid w:val="00E74BE1"/>
    <w:rsid w:val="00E81F57"/>
    <w:rsid w:val="00E826E0"/>
    <w:rsid w:val="00E874B3"/>
    <w:rsid w:val="00E95156"/>
    <w:rsid w:val="00EA1175"/>
    <w:rsid w:val="00EA6C1C"/>
    <w:rsid w:val="00EA7396"/>
    <w:rsid w:val="00EC14D3"/>
    <w:rsid w:val="00EE15A2"/>
    <w:rsid w:val="00EE78D1"/>
    <w:rsid w:val="00EF3EC6"/>
    <w:rsid w:val="00EF46A6"/>
    <w:rsid w:val="00F02CCF"/>
    <w:rsid w:val="00F02F7C"/>
    <w:rsid w:val="00F15DB2"/>
    <w:rsid w:val="00F179D4"/>
    <w:rsid w:val="00F318A9"/>
    <w:rsid w:val="00F32741"/>
    <w:rsid w:val="00F42AF4"/>
    <w:rsid w:val="00F44D1D"/>
    <w:rsid w:val="00F47ECC"/>
    <w:rsid w:val="00F653F3"/>
    <w:rsid w:val="00F715DD"/>
    <w:rsid w:val="00F72419"/>
    <w:rsid w:val="00F829D5"/>
    <w:rsid w:val="00F86AE6"/>
    <w:rsid w:val="00F86BD1"/>
    <w:rsid w:val="00FB6067"/>
    <w:rsid w:val="00FC1B60"/>
    <w:rsid w:val="00FC32BF"/>
    <w:rsid w:val="00FC53E2"/>
    <w:rsid w:val="00FD3503"/>
    <w:rsid w:val="00FD426B"/>
    <w:rsid w:val="00FD5989"/>
    <w:rsid w:val="00FE0910"/>
    <w:rsid w:val="00FE51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567D0"/>
  <w15:chartTrackingRefBased/>
  <w15:docId w15:val="{A343D1C9-0B4A-4BD9-BAE7-95048320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C6C83"/>
    <w:pPr>
      <w:tabs>
        <w:tab w:val="center" w:pos="4680"/>
        <w:tab w:val="right" w:pos="9360"/>
      </w:tabs>
      <w:spacing w:after="0" w:line="240" w:lineRule="auto"/>
    </w:pPr>
  </w:style>
  <w:style w:type="character" w:customStyle="1" w:styleId="HeaderChar">
    <w:name w:val="Header Char"/>
    <w:basedOn w:val="DefaultParagraphFont"/>
    <w:link w:val="Header"/>
    <w:rsid w:val="008C6C83"/>
  </w:style>
  <w:style w:type="paragraph" w:styleId="Footer">
    <w:name w:val="footer"/>
    <w:basedOn w:val="Normal"/>
    <w:link w:val="FooterChar"/>
    <w:uiPriority w:val="99"/>
    <w:unhideWhenUsed/>
    <w:rsid w:val="008C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C83"/>
  </w:style>
  <w:style w:type="character" w:styleId="Hyperlink">
    <w:name w:val="Hyperlink"/>
    <w:basedOn w:val="DefaultParagraphFont"/>
    <w:uiPriority w:val="99"/>
    <w:unhideWhenUsed/>
    <w:rsid w:val="008C6C83"/>
    <w:rPr>
      <w:color w:val="0563C1" w:themeColor="hyperlink"/>
      <w:u w:val="single"/>
    </w:rPr>
  </w:style>
  <w:style w:type="character" w:styleId="UnresolvedMention">
    <w:name w:val="Unresolved Mention"/>
    <w:basedOn w:val="DefaultParagraphFont"/>
    <w:uiPriority w:val="99"/>
    <w:semiHidden/>
    <w:unhideWhenUsed/>
    <w:rsid w:val="008C6C83"/>
    <w:rPr>
      <w:color w:val="808080"/>
      <w:shd w:val="clear" w:color="auto" w:fill="E6E6E6"/>
    </w:rPr>
  </w:style>
  <w:style w:type="table" w:styleId="TableGrid">
    <w:name w:val="Table Grid"/>
    <w:basedOn w:val="TableNormal"/>
    <w:uiPriority w:val="39"/>
    <w:rsid w:val="0032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2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5E23"/>
    <w:rPr>
      <w:color w:val="808080"/>
    </w:rPr>
  </w:style>
  <w:style w:type="paragraph" w:styleId="ListParagraph">
    <w:name w:val="List Paragraph"/>
    <w:aliases w:val="Table/Figure Heading,En tête 1,List Paragraph1"/>
    <w:basedOn w:val="Normal"/>
    <w:link w:val="ListParagraphChar"/>
    <w:uiPriority w:val="34"/>
    <w:qFormat/>
    <w:rsid w:val="00AD7442"/>
    <w:pPr>
      <w:ind w:left="720"/>
      <w:contextualSpacing/>
    </w:pPr>
  </w:style>
  <w:style w:type="character" w:customStyle="1" w:styleId="ListParagraphChar">
    <w:name w:val="List Paragraph Char"/>
    <w:aliases w:val="Table/Figure Heading Char,En tête 1 Char,List Paragraph1 Char"/>
    <w:basedOn w:val="DefaultParagraphFont"/>
    <w:link w:val="ListParagraph"/>
    <w:uiPriority w:val="34"/>
    <w:rsid w:val="00AD7442"/>
  </w:style>
  <w:style w:type="character" w:styleId="CommentReference">
    <w:name w:val="annotation reference"/>
    <w:basedOn w:val="DefaultParagraphFont"/>
    <w:uiPriority w:val="99"/>
    <w:unhideWhenUsed/>
    <w:rsid w:val="00333326"/>
    <w:rPr>
      <w:sz w:val="16"/>
      <w:szCs w:val="16"/>
    </w:rPr>
  </w:style>
  <w:style w:type="paragraph" w:styleId="CommentText">
    <w:name w:val="annotation text"/>
    <w:basedOn w:val="Normal"/>
    <w:link w:val="CommentTextChar"/>
    <w:uiPriority w:val="99"/>
    <w:unhideWhenUsed/>
    <w:rsid w:val="0033332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33326"/>
    <w:rPr>
      <w:rFonts w:ascii="Times New Roman" w:eastAsia="Times New Roman" w:hAnsi="Times New Roman" w:cs="Times New Roman"/>
      <w:sz w:val="20"/>
      <w:szCs w:val="20"/>
    </w:rPr>
  </w:style>
  <w:style w:type="paragraph" w:customStyle="1" w:styleId="H0">
    <w:name w:val="H0"/>
    <w:basedOn w:val="Normal"/>
    <w:link w:val="H0Zchn"/>
    <w:qFormat/>
    <w:rsid w:val="001270F9"/>
    <w:pPr>
      <w:tabs>
        <w:tab w:val="left" w:pos="425"/>
        <w:tab w:val="left" w:pos="709"/>
        <w:tab w:val="left" w:pos="1418"/>
        <w:tab w:val="left" w:pos="2126"/>
        <w:tab w:val="left" w:pos="2835"/>
      </w:tabs>
      <w:spacing w:after="0" w:line="284" w:lineRule="atLeast"/>
    </w:pPr>
    <w:rPr>
      <w:rFonts w:ascii="Cambria" w:eastAsia="Times New Roman" w:hAnsi="Cambria" w:cs="Times New Roman"/>
      <w:b/>
      <w:sz w:val="32"/>
      <w:szCs w:val="32"/>
      <w:lang w:val="en-GB" w:eastAsia="de-DE"/>
    </w:rPr>
  </w:style>
  <w:style w:type="character" w:customStyle="1" w:styleId="H0Zchn">
    <w:name w:val="H0 Zchn"/>
    <w:basedOn w:val="DefaultParagraphFont"/>
    <w:link w:val="H0"/>
    <w:rsid w:val="001270F9"/>
    <w:rPr>
      <w:rFonts w:ascii="Cambria" w:eastAsia="Times New Roman" w:hAnsi="Cambria" w:cs="Times New Roman"/>
      <w:b/>
      <w:sz w:val="32"/>
      <w:szCs w:val="32"/>
      <w:lang w:val="en-GB" w:eastAsia="de-DE"/>
    </w:rPr>
  </w:style>
  <w:style w:type="character" w:styleId="IntenseReference">
    <w:name w:val="Intense Reference"/>
    <w:basedOn w:val="DefaultParagraphFont"/>
    <w:uiPriority w:val="32"/>
    <w:qFormat/>
    <w:rsid w:val="00640EEF"/>
    <w:rPr>
      <w:b/>
      <w:bCs/>
      <w:smallCaps/>
      <w:color w:val="4472C4" w:themeColor="accent1"/>
      <w:spacing w:val="5"/>
    </w:rPr>
  </w:style>
  <w:style w:type="paragraph" w:styleId="BalloonText">
    <w:name w:val="Balloon Text"/>
    <w:basedOn w:val="Normal"/>
    <w:link w:val="BalloonTextChar"/>
    <w:uiPriority w:val="99"/>
    <w:semiHidden/>
    <w:unhideWhenUsed/>
    <w:rsid w:val="00A40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4B7"/>
    <w:rPr>
      <w:rFonts w:ascii="Segoe UI" w:hAnsi="Segoe UI" w:cs="Segoe UI"/>
      <w:sz w:val="18"/>
      <w:szCs w:val="18"/>
    </w:rPr>
  </w:style>
  <w:style w:type="character" w:customStyle="1" w:styleId="Style1">
    <w:name w:val="Style1"/>
    <w:basedOn w:val="DefaultParagraphFont"/>
    <w:uiPriority w:val="1"/>
    <w:rsid w:val="006E3ED5"/>
    <w:rPr>
      <w:rFonts w:ascii="Arial" w:hAnsi="Arial"/>
      <w:color w:val="auto"/>
      <w:sz w:val="18"/>
    </w:rPr>
  </w:style>
  <w:style w:type="paragraph" w:styleId="FootnoteText">
    <w:name w:val="footnote text"/>
    <w:aliases w:val="DFSListFootnote"/>
    <w:basedOn w:val="Normal"/>
    <w:link w:val="FootnoteTextChar"/>
    <w:uiPriority w:val="99"/>
    <w:unhideWhenUsed/>
    <w:rsid w:val="002B3D3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DFSListFootnote Char"/>
    <w:basedOn w:val="DefaultParagraphFont"/>
    <w:link w:val="FootnoteText"/>
    <w:uiPriority w:val="99"/>
    <w:rsid w:val="002B3D3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B3D30"/>
    <w:rPr>
      <w:vertAlign w:val="superscript"/>
    </w:rPr>
  </w:style>
  <w:style w:type="paragraph" w:styleId="Caption">
    <w:name w:val="caption"/>
    <w:basedOn w:val="Normal"/>
    <w:next w:val="Normal"/>
    <w:uiPriority w:val="35"/>
    <w:unhideWhenUsed/>
    <w:qFormat/>
    <w:rsid w:val="00CA29DD"/>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336F95"/>
    <w:rPr>
      <w:color w:val="954F72" w:themeColor="followedHyperlink"/>
      <w:u w:val="single"/>
    </w:rPr>
  </w:style>
  <w:style w:type="character" w:customStyle="1" w:styleId="GEFFieldtoFilloutChar">
    <w:name w:val="GEF Field to Fill out Char"/>
    <w:link w:val="GEFFieldtoFillout"/>
    <w:locked/>
    <w:rsid w:val="00CE60BB"/>
    <w:rPr>
      <w:rFonts w:ascii="Times New Roman" w:eastAsia="Times New Roman" w:hAnsi="Times New Roman" w:cs="Times New Roman"/>
      <w:color w:val="000000"/>
    </w:rPr>
  </w:style>
  <w:style w:type="paragraph" w:customStyle="1" w:styleId="GEFFieldtoFillout">
    <w:name w:val="GEF Field to Fill out"/>
    <w:basedOn w:val="Normal"/>
    <w:link w:val="GEFFieldtoFilloutChar"/>
    <w:qFormat/>
    <w:rsid w:val="00CE60BB"/>
    <w:pPr>
      <w:spacing w:after="0" w:line="240" w:lineRule="auto"/>
      <w:ind w:left="-720"/>
    </w:pPr>
    <w:rPr>
      <w:rFonts w:ascii="Times New Roman" w:eastAsia="Times New Roman" w:hAnsi="Times New Roman" w:cs="Times New Roman"/>
      <w:color w:val="000000"/>
    </w:rPr>
  </w:style>
  <w:style w:type="paragraph" w:styleId="BodyText">
    <w:name w:val="Body Text"/>
    <w:basedOn w:val="Normal"/>
    <w:link w:val="BodyTextChar"/>
    <w:qFormat/>
    <w:rsid w:val="005B0EEA"/>
    <w:pPr>
      <w:spacing w:before="40" w:after="140" w:line="280" w:lineRule="atLeast"/>
    </w:pPr>
    <w:rPr>
      <w:rFonts w:ascii="Verdana" w:hAnsi="Verdana" w:cs="Verdana"/>
      <w:sz w:val="18"/>
      <w:szCs w:val="18"/>
      <w:lang w:val="en-GB" w:eastAsia="zh-CN"/>
    </w:rPr>
  </w:style>
  <w:style w:type="character" w:customStyle="1" w:styleId="BodyTextChar">
    <w:name w:val="Body Text Char"/>
    <w:basedOn w:val="DefaultParagraphFont"/>
    <w:link w:val="BodyText"/>
    <w:rsid w:val="005B0EEA"/>
    <w:rPr>
      <w:rFonts w:ascii="Verdana" w:hAnsi="Verdana" w:cs="Verdana"/>
      <w:sz w:val="18"/>
      <w:szCs w:val="18"/>
      <w:lang w:val="en-GB" w:eastAsia="zh-CN"/>
    </w:rPr>
  </w:style>
  <w:style w:type="paragraph" w:customStyle="1" w:styleId="CTCN">
    <w:name w:val="CTCN"/>
    <w:basedOn w:val="BodyText"/>
    <w:link w:val="CTCNChar"/>
    <w:qFormat/>
    <w:rsid w:val="005B0EEA"/>
    <w:pPr>
      <w:jc w:val="both"/>
    </w:pPr>
  </w:style>
  <w:style w:type="character" w:customStyle="1" w:styleId="CTCNChar">
    <w:name w:val="CTCN Char"/>
    <w:basedOn w:val="BodyTextChar"/>
    <w:link w:val="CTCN"/>
    <w:rsid w:val="005B0EEA"/>
    <w:rPr>
      <w:rFonts w:ascii="Verdana" w:hAnsi="Verdana" w:cs="Verdana"/>
      <w:sz w:val="18"/>
      <w:szCs w:val="18"/>
      <w:lang w:val="en-GB" w:eastAsia="zh-CN"/>
    </w:rPr>
  </w:style>
  <w:style w:type="character" w:customStyle="1" w:styleId="UnresolvedMention1">
    <w:name w:val="Unresolved Mention1"/>
    <w:basedOn w:val="DefaultParagraphFont"/>
    <w:uiPriority w:val="99"/>
    <w:semiHidden/>
    <w:unhideWhenUsed/>
    <w:rsid w:val="0082199A"/>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2199A"/>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82199A"/>
    <w:rPr>
      <w:rFonts w:ascii="Times New Roman" w:eastAsia="Times New Roman" w:hAnsi="Times New Roman" w:cs="Times New Roman"/>
      <w:b/>
      <w:bCs/>
      <w:sz w:val="20"/>
      <w:szCs w:val="20"/>
    </w:rPr>
  </w:style>
  <w:style w:type="paragraph" w:styleId="Revision">
    <w:name w:val="Revision"/>
    <w:hidden/>
    <w:uiPriority w:val="99"/>
    <w:semiHidden/>
    <w:rsid w:val="0082199A"/>
    <w:pPr>
      <w:spacing w:after="0" w:line="240" w:lineRule="auto"/>
    </w:pPr>
  </w:style>
  <w:style w:type="paragraph" w:styleId="EndnoteText">
    <w:name w:val="endnote text"/>
    <w:basedOn w:val="Normal"/>
    <w:link w:val="EndnoteTextChar"/>
    <w:uiPriority w:val="99"/>
    <w:semiHidden/>
    <w:unhideWhenUsed/>
    <w:rsid w:val="008219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199A"/>
    <w:rPr>
      <w:sz w:val="20"/>
      <w:szCs w:val="20"/>
    </w:rPr>
  </w:style>
  <w:style w:type="character" w:styleId="EndnoteReference">
    <w:name w:val="endnote reference"/>
    <w:basedOn w:val="DefaultParagraphFont"/>
    <w:uiPriority w:val="99"/>
    <w:semiHidden/>
    <w:unhideWhenUsed/>
    <w:rsid w:val="0082199A"/>
    <w:rPr>
      <w:vertAlign w:val="superscript"/>
    </w:rPr>
  </w:style>
  <w:style w:type="paragraph" w:styleId="Bibliography">
    <w:name w:val="Bibliography"/>
    <w:basedOn w:val="Normal"/>
    <w:next w:val="Normal"/>
    <w:uiPriority w:val="37"/>
    <w:semiHidden/>
    <w:unhideWhenUsed/>
    <w:rsid w:val="0082199A"/>
  </w:style>
  <w:style w:type="paragraph" w:customStyle="1" w:styleId="TableParagraph">
    <w:name w:val="Table Paragraph"/>
    <w:basedOn w:val="Normal"/>
    <w:uiPriority w:val="1"/>
    <w:qFormat/>
    <w:rsid w:val="004A416A"/>
    <w:pPr>
      <w:widowControl w:val="0"/>
      <w:autoSpaceDE w:val="0"/>
      <w:autoSpaceDN w:val="0"/>
      <w:spacing w:after="0" w:line="240" w:lineRule="auto"/>
    </w:pPr>
    <w:rPr>
      <w:rFonts w:ascii="Arial" w:eastAsia="Arial" w:hAnsi="Arial" w:cs="Arial"/>
      <w:sz w:val="18"/>
      <w:lang w:eastAsia="en-US"/>
    </w:rPr>
  </w:style>
  <w:style w:type="table" w:customStyle="1" w:styleId="TableGrid1">
    <w:name w:val="Table Grid1"/>
    <w:basedOn w:val="TableNormal"/>
    <w:next w:val="TableGrid"/>
    <w:uiPriority w:val="39"/>
    <w:rsid w:val="00F31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E">
    <w:name w:val="USE"/>
    <w:basedOn w:val="Normal"/>
    <w:link w:val="USEChar"/>
    <w:qFormat/>
    <w:rsid w:val="00EE78D1"/>
    <w:pPr>
      <w:spacing w:before="40" w:after="140" w:line="280" w:lineRule="exact"/>
      <w:jc w:val="both"/>
    </w:pPr>
    <w:rPr>
      <w:rFonts w:ascii="Verdana" w:eastAsia="Arial" w:hAnsi="Verdana" w:cs="Arial"/>
      <w:sz w:val="18"/>
      <w:szCs w:val="18"/>
      <w:lang w:eastAsia="en-US"/>
    </w:rPr>
  </w:style>
  <w:style w:type="character" w:customStyle="1" w:styleId="USEChar">
    <w:name w:val="USE Char"/>
    <w:basedOn w:val="DefaultParagraphFont"/>
    <w:link w:val="USE"/>
    <w:rsid w:val="00EE78D1"/>
    <w:rPr>
      <w:rFonts w:ascii="Verdana" w:eastAsia="Arial" w:hAnsi="Verdana"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4584">
      <w:bodyDiv w:val="1"/>
      <w:marLeft w:val="0"/>
      <w:marRight w:val="0"/>
      <w:marTop w:val="0"/>
      <w:marBottom w:val="0"/>
      <w:divBdr>
        <w:top w:val="none" w:sz="0" w:space="0" w:color="auto"/>
        <w:left w:val="none" w:sz="0" w:space="0" w:color="auto"/>
        <w:bottom w:val="none" w:sz="0" w:space="0" w:color="auto"/>
        <w:right w:val="none" w:sz="0" w:space="0" w:color="auto"/>
      </w:divBdr>
    </w:div>
    <w:div w:id="72896489">
      <w:bodyDiv w:val="1"/>
      <w:marLeft w:val="0"/>
      <w:marRight w:val="0"/>
      <w:marTop w:val="0"/>
      <w:marBottom w:val="0"/>
      <w:divBdr>
        <w:top w:val="none" w:sz="0" w:space="0" w:color="auto"/>
        <w:left w:val="none" w:sz="0" w:space="0" w:color="auto"/>
        <w:bottom w:val="none" w:sz="0" w:space="0" w:color="auto"/>
        <w:right w:val="none" w:sz="0" w:space="0" w:color="auto"/>
      </w:divBdr>
    </w:div>
    <w:div w:id="220143824">
      <w:bodyDiv w:val="1"/>
      <w:marLeft w:val="0"/>
      <w:marRight w:val="0"/>
      <w:marTop w:val="0"/>
      <w:marBottom w:val="0"/>
      <w:divBdr>
        <w:top w:val="none" w:sz="0" w:space="0" w:color="auto"/>
        <w:left w:val="none" w:sz="0" w:space="0" w:color="auto"/>
        <w:bottom w:val="none" w:sz="0" w:space="0" w:color="auto"/>
        <w:right w:val="none" w:sz="0" w:space="0" w:color="auto"/>
      </w:divBdr>
    </w:div>
    <w:div w:id="305480081">
      <w:bodyDiv w:val="1"/>
      <w:marLeft w:val="0"/>
      <w:marRight w:val="0"/>
      <w:marTop w:val="0"/>
      <w:marBottom w:val="0"/>
      <w:divBdr>
        <w:top w:val="none" w:sz="0" w:space="0" w:color="auto"/>
        <w:left w:val="none" w:sz="0" w:space="0" w:color="auto"/>
        <w:bottom w:val="none" w:sz="0" w:space="0" w:color="auto"/>
        <w:right w:val="none" w:sz="0" w:space="0" w:color="auto"/>
      </w:divBdr>
    </w:div>
    <w:div w:id="309527716">
      <w:bodyDiv w:val="1"/>
      <w:marLeft w:val="0"/>
      <w:marRight w:val="0"/>
      <w:marTop w:val="0"/>
      <w:marBottom w:val="0"/>
      <w:divBdr>
        <w:top w:val="none" w:sz="0" w:space="0" w:color="auto"/>
        <w:left w:val="none" w:sz="0" w:space="0" w:color="auto"/>
        <w:bottom w:val="none" w:sz="0" w:space="0" w:color="auto"/>
        <w:right w:val="none" w:sz="0" w:space="0" w:color="auto"/>
      </w:divBdr>
    </w:div>
    <w:div w:id="325669457">
      <w:bodyDiv w:val="1"/>
      <w:marLeft w:val="0"/>
      <w:marRight w:val="0"/>
      <w:marTop w:val="0"/>
      <w:marBottom w:val="0"/>
      <w:divBdr>
        <w:top w:val="none" w:sz="0" w:space="0" w:color="auto"/>
        <w:left w:val="none" w:sz="0" w:space="0" w:color="auto"/>
        <w:bottom w:val="none" w:sz="0" w:space="0" w:color="auto"/>
        <w:right w:val="none" w:sz="0" w:space="0" w:color="auto"/>
      </w:divBdr>
    </w:div>
    <w:div w:id="494303108">
      <w:bodyDiv w:val="1"/>
      <w:marLeft w:val="0"/>
      <w:marRight w:val="0"/>
      <w:marTop w:val="0"/>
      <w:marBottom w:val="0"/>
      <w:divBdr>
        <w:top w:val="none" w:sz="0" w:space="0" w:color="auto"/>
        <w:left w:val="none" w:sz="0" w:space="0" w:color="auto"/>
        <w:bottom w:val="none" w:sz="0" w:space="0" w:color="auto"/>
        <w:right w:val="none" w:sz="0" w:space="0" w:color="auto"/>
      </w:divBdr>
    </w:div>
    <w:div w:id="758449066">
      <w:bodyDiv w:val="1"/>
      <w:marLeft w:val="0"/>
      <w:marRight w:val="0"/>
      <w:marTop w:val="0"/>
      <w:marBottom w:val="0"/>
      <w:divBdr>
        <w:top w:val="none" w:sz="0" w:space="0" w:color="auto"/>
        <w:left w:val="none" w:sz="0" w:space="0" w:color="auto"/>
        <w:bottom w:val="none" w:sz="0" w:space="0" w:color="auto"/>
        <w:right w:val="none" w:sz="0" w:space="0" w:color="auto"/>
      </w:divBdr>
    </w:div>
    <w:div w:id="771823883">
      <w:bodyDiv w:val="1"/>
      <w:marLeft w:val="0"/>
      <w:marRight w:val="0"/>
      <w:marTop w:val="0"/>
      <w:marBottom w:val="0"/>
      <w:divBdr>
        <w:top w:val="none" w:sz="0" w:space="0" w:color="auto"/>
        <w:left w:val="none" w:sz="0" w:space="0" w:color="auto"/>
        <w:bottom w:val="none" w:sz="0" w:space="0" w:color="auto"/>
        <w:right w:val="none" w:sz="0" w:space="0" w:color="auto"/>
      </w:divBdr>
    </w:div>
    <w:div w:id="890732011">
      <w:bodyDiv w:val="1"/>
      <w:marLeft w:val="0"/>
      <w:marRight w:val="0"/>
      <w:marTop w:val="0"/>
      <w:marBottom w:val="0"/>
      <w:divBdr>
        <w:top w:val="none" w:sz="0" w:space="0" w:color="auto"/>
        <w:left w:val="none" w:sz="0" w:space="0" w:color="auto"/>
        <w:bottom w:val="none" w:sz="0" w:space="0" w:color="auto"/>
        <w:right w:val="none" w:sz="0" w:space="0" w:color="auto"/>
      </w:divBdr>
    </w:div>
    <w:div w:id="1082797281">
      <w:bodyDiv w:val="1"/>
      <w:marLeft w:val="0"/>
      <w:marRight w:val="0"/>
      <w:marTop w:val="0"/>
      <w:marBottom w:val="0"/>
      <w:divBdr>
        <w:top w:val="none" w:sz="0" w:space="0" w:color="auto"/>
        <w:left w:val="none" w:sz="0" w:space="0" w:color="auto"/>
        <w:bottom w:val="none" w:sz="0" w:space="0" w:color="auto"/>
        <w:right w:val="none" w:sz="0" w:space="0" w:color="auto"/>
      </w:divBdr>
    </w:div>
    <w:div w:id="1180972939">
      <w:bodyDiv w:val="1"/>
      <w:marLeft w:val="0"/>
      <w:marRight w:val="0"/>
      <w:marTop w:val="0"/>
      <w:marBottom w:val="0"/>
      <w:divBdr>
        <w:top w:val="none" w:sz="0" w:space="0" w:color="auto"/>
        <w:left w:val="none" w:sz="0" w:space="0" w:color="auto"/>
        <w:bottom w:val="none" w:sz="0" w:space="0" w:color="auto"/>
        <w:right w:val="none" w:sz="0" w:space="0" w:color="auto"/>
      </w:divBdr>
    </w:div>
    <w:div w:id="1226722470">
      <w:bodyDiv w:val="1"/>
      <w:marLeft w:val="0"/>
      <w:marRight w:val="0"/>
      <w:marTop w:val="0"/>
      <w:marBottom w:val="0"/>
      <w:divBdr>
        <w:top w:val="none" w:sz="0" w:space="0" w:color="auto"/>
        <w:left w:val="none" w:sz="0" w:space="0" w:color="auto"/>
        <w:bottom w:val="none" w:sz="0" w:space="0" w:color="auto"/>
        <w:right w:val="none" w:sz="0" w:space="0" w:color="auto"/>
      </w:divBdr>
    </w:div>
    <w:div w:id="1304896010">
      <w:bodyDiv w:val="1"/>
      <w:marLeft w:val="0"/>
      <w:marRight w:val="0"/>
      <w:marTop w:val="0"/>
      <w:marBottom w:val="0"/>
      <w:divBdr>
        <w:top w:val="none" w:sz="0" w:space="0" w:color="auto"/>
        <w:left w:val="none" w:sz="0" w:space="0" w:color="auto"/>
        <w:bottom w:val="none" w:sz="0" w:space="0" w:color="auto"/>
        <w:right w:val="none" w:sz="0" w:space="0" w:color="auto"/>
      </w:divBdr>
    </w:div>
    <w:div w:id="1454640933">
      <w:bodyDiv w:val="1"/>
      <w:marLeft w:val="0"/>
      <w:marRight w:val="0"/>
      <w:marTop w:val="0"/>
      <w:marBottom w:val="0"/>
      <w:divBdr>
        <w:top w:val="none" w:sz="0" w:space="0" w:color="auto"/>
        <w:left w:val="none" w:sz="0" w:space="0" w:color="auto"/>
        <w:bottom w:val="none" w:sz="0" w:space="0" w:color="auto"/>
        <w:right w:val="none" w:sz="0" w:space="0" w:color="auto"/>
      </w:divBdr>
    </w:div>
    <w:div w:id="1515653436">
      <w:bodyDiv w:val="1"/>
      <w:marLeft w:val="0"/>
      <w:marRight w:val="0"/>
      <w:marTop w:val="0"/>
      <w:marBottom w:val="0"/>
      <w:divBdr>
        <w:top w:val="none" w:sz="0" w:space="0" w:color="auto"/>
        <w:left w:val="none" w:sz="0" w:space="0" w:color="auto"/>
        <w:bottom w:val="none" w:sz="0" w:space="0" w:color="auto"/>
        <w:right w:val="none" w:sz="0" w:space="0" w:color="auto"/>
      </w:divBdr>
    </w:div>
    <w:div w:id="1639261313">
      <w:bodyDiv w:val="1"/>
      <w:marLeft w:val="0"/>
      <w:marRight w:val="0"/>
      <w:marTop w:val="0"/>
      <w:marBottom w:val="0"/>
      <w:divBdr>
        <w:top w:val="none" w:sz="0" w:space="0" w:color="auto"/>
        <w:left w:val="none" w:sz="0" w:space="0" w:color="auto"/>
        <w:bottom w:val="none" w:sz="0" w:space="0" w:color="auto"/>
        <w:right w:val="none" w:sz="0" w:space="0" w:color="auto"/>
      </w:divBdr>
    </w:div>
    <w:div w:id="1696425692">
      <w:bodyDiv w:val="1"/>
      <w:marLeft w:val="0"/>
      <w:marRight w:val="0"/>
      <w:marTop w:val="0"/>
      <w:marBottom w:val="0"/>
      <w:divBdr>
        <w:top w:val="none" w:sz="0" w:space="0" w:color="auto"/>
        <w:left w:val="none" w:sz="0" w:space="0" w:color="auto"/>
        <w:bottom w:val="none" w:sz="0" w:space="0" w:color="auto"/>
        <w:right w:val="none" w:sz="0" w:space="0" w:color="auto"/>
      </w:divBdr>
    </w:div>
    <w:div w:id="1733576859">
      <w:bodyDiv w:val="1"/>
      <w:marLeft w:val="0"/>
      <w:marRight w:val="0"/>
      <w:marTop w:val="0"/>
      <w:marBottom w:val="0"/>
      <w:divBdr>
        <w:top w:val="none" w:sz="0" w:space="0" w:color="auto"/>
        <w:left w:val="none" w:sz="0" w:space="0" w:color="auto"/>
        <w:bottom w:val="none" w:sz="0" w:space="0" w:color="auto"/>
        <w:right w:val="none" w:sz="0" w:space="0" w:color="auto"/>
      </w:divBdr>
    </w:div>
    <w:div w:id="1734547657">
      <w:bodyDiv w:val="1"/>
      <w:marLeft w:val="0"/>
      <w:marRight w:val="0"/>
      <w:marTop w:val="0"/>
      <w:marBottom w:val="0"/>
      <w:divBdr>
        <w:top w:val="none" w:sz="0" w:space="0" w:color="auto"/>
        <w:left w:val="none" w:sz="0" w:space="0" w:color="auto"/>
        <w:bottom w:val="none" w:sz="0" w:space="0" w:color="auto"/>
        <w:right w:val="none" w:sz="0" w:space="0" w:color="auto"/>
      </w:divBdr>
    </w:div>
    <w:div w:id="1886209783">
      <w:bodyDiv w:val="1"/>
      <w:marLeft w:val="0"/>
      <w:marRight w:val="0"/>
      <w:marTop w:val="0"/>
      <w:marBottom w:val="0"/>
      <w:divBdr>
        <w:top w:val="none" w:sz="0" w:space="0" w:color="auto"/>
        <w:left w:val="none" w:sz="0" w:space="0" w:color="auto"/>
        <w:bottom w:val="none" w:sz="0" w:space="0" w:color="auto"/>
        <w:right w:val="none" w:sz="0" w:space="0" w:color="auto"/>
      </w:divBdr>
      <w:divsChild>
        <w:div w:id="203909094">
          <w:marLeft w:val="0"/>
          <w:marRight w:val="0"/>
          <w:marTop w:val="0"/>
          <w:marBottom w:val="0"/>
          <w:divBdr>
            <w:top w:val="none" w:sz="0" w:space="0" w:color="auto"/>
            <w:left w:val="none" w:sz="0" w:space="0" w:color="auto"/>
            <w:bottom w:val="none" w:sz="0" w:space="0" w:color="auto"/>
            <w:right w:val="none" w:sz="0" w:space="0" w:color="auto"/>
          </w:divBdr>
        </w:div>
        <w:div w:id="419984101">
          <w:marLeft w:val="0"/>
          <w:marRight w:val="0"/>
          <w:marTop w:val="0"/>
          <w:marBottom w:val="0"/>
          <w:divBdr>
            <w:top w:val="none" w:sz="0" w:space="0" w:color="auto"/>
            <w:left w:val="none" w:sz="0" w:space="0" w:color="auto"/>
            <w:bottom w:val="none" w:sz="0" w:space="0" w:color="auto"/>
            <w:right w:val="none" w:sz="0" w:space="0" w:color="auto"/>
          </w:divBdr>
        </w:div>
      </w:divsChild>
    </w:div>
    <w:div w:id="1946695367">
      <w:bodyDiv w:val="1"/>
      <w:marLeft w:val="0"/>
      <w:marRight w:val="0"/>
      <w:marTop w:val="0"/>
      <w:marBottom w:val="0"/>
      <w:divBdr>
        <w:top w:val="none" w:sz="0" w:space="0" w:color="auto"/>
        <w:left w:val="none" w:sz="0" w:space="0" w:color="auto"/>
        <w:bottom w:val="none" w:sz="0" w:space="0" w:color="auto"/>
        <w:right w:val="none" w:sz="0" w:space="0" w:color="auto"/>
      </w:divBdr>
    </w:div>
    <w:div w:id="1958097001">
      <w:bodyDiv w:val="1"/>
      <w:marLeft w:val="0"/>
      <w:marRight w:val="0"/>
      <w:marTop w:val="0"/>
      <w:marBottom w:val="0"/>
      <w:divBdr>
        <w:top w:val="none" w:sz="0" w:space="0" w:color="auto"/>
        <w:left w:val="none" w:sz="0" w:space="0" w:color="auto"/>
        <w:bottom w:val="none" w:sz="0" w:space="0" w:color="auto"/>
        <w:right w:val="none" w:sz="0" w:space="0" w:color="auto"/>
      </w:divBdr>
    </w:div>
    <w:div w:id="2030598833">
      <w:bodyDiv w:val="1"/>
      <w:marLeft w:val="0"/>
      <w:marRight w:val="0"/>
      <w:marTop w:val="0"/>
      <w:marBottom w:val="0"/>
      <w:divBdr>
        <w:top w:val="none" w:sz="0" w:space="0" w:color="auto"/>
        <w:left w:val="none" w:sz="0" w:space="0" w:color="auto"/>
        <w:bottom w:val="none" w:sz="0" w:space="0" w:color="auto"/>
        <w:right w:val="none" w:sz="0" w:space="0" w:color="auto"/>
      </w:divBdr>
    </w:div>
    <w:div w:id="210445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nclimate.fund/how-we-work/empowering-countries" TargetMode="External"/><Relationship Id="rId13" Type="http://schemas.openxmlformats.org/officeDocument/2006/relationships/hyperlink" Target="https://www.greenclimate.fund/countries" TargetMode="External"/><Relationship Id="rId18" Type="http://schemas.openxmlformats.org/officeDocument/2006/relationships/hyperlink" Target="mailto:Cirio.muarapaz@gmail.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ermira.fida@un.org" TargetMode="External"/><Relationship Id="rId7" Type="http://schemas.openxmlformats.org/officeDocument/2006/relationships/endnotes" Target="endnotes.xml"/><Relationship Id="rId12" Type="http://schemas.openxmlformats.org/officeDocument/2006/relationships/hyperlink" Target="mailto:countries@gcfund.org" TargetMode="External"/><Relationship Id="rId17" Type="http://schemas.openxmlformats.org/officeDocument/2006/relationships/hyperlink" Target="mailto:sgsilveira1@gmail.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miseriobanze@gmail.com" TargetMode="External"/><Relationship Id="rId20" Type="http://schemas.openxmlformats.org/officeDocument/2006/relationships/hyperlink" Target="mailto:gargr@un.org"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untries@gcfund.org"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ntonio.uaissone@mct.gov.mz" TargetMode="External"/><Relationship Id="rId23" Type="http://schemas.openxmlformats.org/officeDocument/2006/relationships/hyperlink" Target="mailto:manfredi.caltagirone@un.org" TargetMode="External"/><Relationship Id="rId28" Type="http://schemas.openxmlformats.org/officeDocument/2006/relationships/image" Target="media/image4.emf"/><Relationship Id="rId10" Type="http://schemas.openxmlformats.org/officeDocument/2006/relationships/hyperlink" Target="https://www.greenclimate.fund/library/-/docs/list/574044" TargetMode="External"/><Relationship Id="rId19" Type="http://schemas.openxmlformats.org/officeDocument/2006/relationships/hyperlink" Target="mailto:cirio.muarapaz@edm.co.mz"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countries@gcfund.org" TargetMode="External"/><Relationship Id="rId14" Type="http://schemas.openxmlformats.org/officeDocument/2006/relationships/hyperlink" Target="mailto:fundingproposal@gcfund.org" TargetMode="External"/><Relationship Id="rId22" Type="http://schemas.openxmlformats.org/officeDocument/2006/relationships/hyperlink" Target="mailto:Hemini.vorntamitis@un.org" TargetMode="External"/><Relationship Id="rId27" Type="http://schemas.openxmlformats.org/officeDocument/2006/relationships/image" Target="media/image3.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4.unfccc.int/sites/ndcstaging/PublishedDocuments/Mozambique%20First/MOZ_INDC_Final_Version.pdf" TargetMode="External"/><Relationship Id="rId2" Type="http://schemas.openxmlformats.org/officeDocument/2006/relationships/hyperlink" Target="https://www.ctc-n.org/technical-assistance/projects/development-regional-efficient-appliance-and-equipment-strategy" TargetMode="External"/><Relationship Id="rId1" Type="http://schemas.openxmlformats.org/officeDocument/2006/relationships/hyperlink" Target="https://data.worldbank.org/indicator/EG.ELC.ACCS.RU.ZS?locations=MZ&amp;view=chart" TargetMode="External"/><Relationship Id="rId6" Type="http://schemas.openxmlformats.org/officeDocument/2006/relationships/hyperlink" Target="https://united4efficiency.org/wp-content/uploads/2019/06/MANUAL-FINANCING-MECHANISMS_25-06-19_WEB.pdf" TargetMode="External"/><Relationship Id="rId5" Type="http://schemas.openxmlformats.org/officeDocument/2006/relationships/hyperlink" Target="https://united4efficiency.org/wp-content/uploads/2017/11/U4E-RefrigerationGuide-201801-Final-R1-1.pdfREFRIGERATORS" TargetMode="External"/><Relationship Id="rId4" Type="http://schemas.openxmlformats.org/officeDocument/2006/relationships/hyperlink" Target="https://united4efficiency.org/wp-content/uploads/2017/11/Transformers-Policy-Brie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1AFE85D61748598DC6EFED76E74D85"/>
        <w:category>
          <w:name w:val="General"/>
          <w:gallery w:val="placeholder"/>
        </w:category>
        <w:types>
          <w:type w:val="bbPlcHdr"/>
        </w:types>
        <w:behaviors>
          <w:behavior w:val="content"/>
        </w:behaviors>
        <w:guid w:val="{5B2683C3-A2DC-468B-9717-40A9B1C5AEF8}"/>
      </w:docPartPr>
      <w:docPartBody>
        <w:p w:rsidR="00AA28E5" w:rsidRDefault="00D961B5" w:rsidP="00D961B5">
          <w:pPr>
            <w:pStyle w:val="221AFE85D61748598DC6EFED76E74D85"/>
          </w:pPr>
          <w:r w:rsidRPr="00325AFB">
            <w:rPr>
              <w:rStyle w:val="PlaceholderText"/>
            </w:rPr>
            <w:t>Click or tap to enter a date.</w:t>
          </w:r>
        </w:p>
      </w:docPartBody>
    </w:docPart>
    <w:docPart>
      <w:docPartPr>
        <w:name w:val="A043D83562C04BB2AE4DB6AAC410B1CD"/>
        <w:category>
          <w:name w:val="General"/>
          <w:gallery w:val="placeholder"/>
        </w:category>
        <w:types>
          <w:type w:val="bbPlcHdr"/>
        </w:types>
        <w:behaviors>
          <w:behavior w:val="content"/>
        </w:behaviors>
        <w:guid w:val="{8810AC7A-B6A3-42B4-BF6A-E8DC0E037C61}"/>
      </w:docPartPr>
      <w:docPartBody>
        <w:p w:rsidR="00AA28E5" w:rsidRDefault="00D961B5" w:rsidP="00D961B5">
          <w:pPr>
            <w:pStyle w:val="A043D83562C04BB2AE4DB6AAC410B1CD"/>
          </w:pPr>
          <w:r w:rsidRPr="00325AFB">
            <w:rPr>
              <w:rStyle w:val="PlaceholderText"/>
            </w:rPr>
            <w:t>Click or tap to enter a date.</w:t>
          </w:r>
        </w:p>
      </w:docPartBody>
    </w:docPart>
    <w:docPart>
      <w:docPartPr>
        <w:name w:val="9C1A853C2B1E4871A72652091634169C"/>
        <w:category>
          <w:name w:val="General"/>
          <w:gallery w:val="placeholder"/>
        </w:category>
        <w:types>
          <w:type w:val="bbPlcHdr"/>
        </w:types>
        <w:behaviors>
          <w:behavior w:val="content"/>
        </w:behaviors>
        <w:guid w:val="{EE5B6998-D287-4217-B513-29050870CF01}"/>
      </w:docPartPr>
      <w:docPartBody>
        <w:p w:rsidR="00AA28E5" w:rsidRDefault="00D961B5" w:rsidP="00D961B5">
          <w:pPr>
            <w:pStyle w:val="9C1A853C2B1E4871A72652091634169C"/>
          </w:pPr>
          <w:r w:rsidRPr="007A7C56">
            <w:rPr>
              <w:rStyle w:val="PlaceholderText"/>
            </w:rPr>
            <w:t>Choose an item.</w:t>
          </w:r>
        </w:p>
      </w:docPartBody>
    </w:docPart>
    <w:docPart>
      <w:docPartPr>
        <w:name w:val="6E9862BC8FCE4C8AA3E18571DA6A8A92"/>
        <w:category>
          <w:name w:val="General"/>
          <w:gallery w:val="placeholder"/>
        </w:category>
        <w:types>
          <w:type w:val="bbPlcHdr"/>
        </w:types>
        <w:behaviors>
          <w:behavior w:val="content"/>
        </w:behaviors>
        <w:guid w:val="{6CFF65DF-E95A-4F59-AEDE-A8DEC8773EFC}"/>
      </w:docPartPr>
      <w:docPartBody>
        <w:p w:rsidR="00AA28E5" w:rsidRDefault="00D961B5" w:rsidP="00D961B5">
          <w:pPr>
            <w:pStyle w:val="6E9862BC8FCE4C8AA3E18571DA6A8A92"/>
          </w:pPr>
          <w:r w:rsidRPr="00325AFB">
            <w:rPr>
              <w:rStyle w:val="PlaceholderText"/>
            </w:rPr>
            <w:t>Click or tap to enter a date.</w:t>
          </w:r>
        </w:p>
      </w:docPartBody>
    </w:docPart>
    <w:docPart>
      <w:docPartPr>
        <w:name w:val="78B50EA34E3742F08F1D380675541E57"/>
        <w:category>
          <w:name w:val="General"/>
          <w:gallery w:val="placeholder"/>
        </w:category>
        <w:types>
          <w:type w:val="bbPlcHdr"/>
        </w:types>
        <w:behaviors>
          <w:behavior w:val="content"/>
        </w:behaviors>
        <w:guid w:val="{23C6A7BF-D726-4508-9EEC-596C96A96E73}"/>
      </w:docPartPr>
      <w:docPartBody>
        <w:p w:rsidR="00AA28E5" w:rsidRDefault="00D961B5" w:rsidP="00D961B5">
          <w:pPr>
            <w:pStyle w:val="78B50EA34E3742F08F1D380675541E57"/>
          </w:pPr>
          <w:r w:rsidRPr="00325AFB">
            <w:rPr>
              <w:rStyle w:val="PlaceholderText"/>
            </w:rPr>
            <w:t>Click or tap to enter a date.</w:t>
          </w:r>
        </w:p>
      </w:docPartBody>
    </w:docPart>
    <w:docPart>
      <w:docPartPr>
        <w:name w:val="FC63BA69C7AB4F92A3B54FD4DAA8D3C4"/>
        <w:category>
          <w:name w:val="General"/>
          <w:gallery w:val="placeholder"/>
        </w:category>
        <w:types>
          <w:type w:val="bbPlcHdr"/>
        </w:types>
        <w:behaviors>
          <w:behavior w:val="content"/>
        </w:behaviors>
        <w:guid w:val="{414D143C-24A0-4D27-B931-143702330F3B}"/>
      </w:docPartPr>
      <w:docPartBody>
        <w:p w:rsidR="00AA28E5" w:rsidRDefault="00D961B5" w:rsidP="00D961B5">
          <w:pPr>
            <w:pStyle w:val="FC63BA69C7AB4F92A3B54FD4DAA8D3C4"/>
          </w:pPr>
          <w:r w:rsidRPr="007A7C56">
            <w:rPr>
              <w:rStyle w:val="PlaceholderText"/>
            </w:rPr>
            <w:t>Choose an item.</w:t>
          </w:r>
        </w:p>
      </w:docPartBody>
    </w:docPart>
    <w:docPart>
      <w:docPartPr>
        <w:name w:val="9BB3E250B34E4B92A04F0817D67C6568"/>
        <w:category>
          <w:name w:val="General"/>
          <w:gallery w:val="placeholder"/>
        </w:category>
        <w:types>
          <w:type w:val="bbPlcHdr"/>
        </w:types>
        <w:behaviors>
          <w:behavior w:val="content"/>
        </w:behaviors>
        <w:guid w:val="{8B6251BC-F71C-44F9-AFDF-B50540FC11C5}"/>
      </w:docPartPr>
      <w:docPartBody>
        <w:p w:rsidR="00AA28E5" w:rsidRDefault="00D961B5" w:rsidP="00D961B5">
          <w:pPr>
            <w:pStyle w:val="9BB3E250B34E4B92A04F0817D67C6568"/>
          </w:pPr>
          <w:r>
            <w:rPr>
              <w:rFonts w:ascii="Arial" w:hAnsi="Arial" w:cs="Arial"/>
              <w:i/>
              <w:color w:val="808080" w:themeColor="background1" w:themeShade="80"/>
              <w:sz w:val="18"/>
              <w:szCs w:val="18"/>
            </w:rPr>
            <w:t>[T</w:t>
          </w:r>
          <w:r w:rsidRPr="0070394D">
            <w:rPr>
              <w:rFonts w:ascii="Arial" w:hAnsi="Arial" w:cs="Arial"/>
              <w:i/>
              <w:color w:val="808080" w:themeColor="background1" w:themeShade="80"/>
              <w:sz w:val="18"/>
              <w:szCs w:val="18"/>
            </w:rPr>
            <w:t xml:space="preserve">ype the </w:t>
          </w:r>
          <w:r>
            <w:rPr>
              <w:rFonts w:ascii="Arial" w:hAnsi="Arial" w:cs="Arial"/>
              <w:i/>
              <w:color w:val="808080" w:themeColor="background1" w:themeShade="80"/>
              <w:sz w:val="18"/>
              <w:szCs w:val="18"/>
            </w:rPr>
            <w:t>amount]</w:t>
          </w:r>
        </w:p>
      </w:docPartBody>
    </w:docPart>
    <w:docPart>
      <w:docPartPr>
        <w:name w:val="6518E7DD5F3743A7B2AD5434133E19F4"/>
        <w:category>
          <w:name w:val="General"/>
          <w:gallery w:val="placeholder"/>
        </w:category>
        <w:types>
          <w:type w:val="bbPlcHdr"/>
        </w:types>
        <w:behaviors>
          <w:behavior w:val="content"/>
        </w:behaviors>
        <w:guid w:val="{EA30157B-5EF3-4434-9981-8288C8E5901C}"/>
      </w:docPartPr>
      <w:docPartBody>
        <w:p w:rsidR="00AA28E5" w:rsidRDefault="00D961B5" w:rsidP="00D961B5">
          <w:pPr>
            <w:pStyle w:val="6518E7DD5F3743A7B2AD5434133E19F4"/>
          </w:pPr>
          <w:r w:rsidRPr="007A7C56">
            <w:rPr>
              <w:rStyle w:val="PlaceholderText"/>
            </w:rPr>
            <w:t>Choose an item.</w:t>
          </w:r>
        </w:p>
      </w:docPartBody>
    </w:docPart>
    <w:docPart>
      <w:docPartPr>
        <w:name w:val="553B1123CDF94224924F11E625B60433"/>
        <w:category>
          <w:name w:val="General"/>
          <w:gallery w:val="placeholder"/>
        </w:category>
        <w:types>
          <w:type w:val="bbPlcHdr"/>
        </w:types>
        <w:behaviors>
          <w:behavior w:val="content"/>
        </w:behaviors>
        <w:guid w:val="{47A0F8DD-F8B9-4632-9328-C54A9FB8AE07}"/>
      </w:docPartPr>
      <w:docPartBody>
        <w:p w:rsidR="00AA28E5" w:rsidRDefault="00D961B5" w:rsidP="00D961B5">
          <w:pPr>
            <w:pStyle w:val="553B1123CDF94224924F11E625B60433"/>
          </w:pPr>
          <w:r>
            <w:rPr>
              <w:rFonts w:ascii="Arial" w:hAnsi="Arial" w:cs="Arial"/>
              <w:i/>
              <w:color w:val="808080" w:themeColor="background1" w:themeShade="80"/>
              <w:sz w:val="18"/>
              <w:szCs w:val="18"/>
            </w:rPr>
            <w:t>[T</w:t>
          </w:r>
          <w:r w:rsidRPr="0070394D">
            <w:rPr>
              <w:rFonts w:ascii="Arial" w:hAnsi="Arial" w:cs="Arial"/>
              <w:i/>
              <w:color w:val="808080" w:themeColor="background1" w:themeShade="80"/>
              <w:sz w:val="18"/>
              <w:szCs w:val="18"/>
            </w:rPr>
            <w:t xml:space="preserve">ype the </w:t>
          </w:r>
          <w:r>
            <w:rPr>
              <w:rFonts w:ascii="Arial" w:hAnsi="Arial" w:cs="Arial"/>
              <w:i/>
              <w:color w:val="808080" w:themeColor="background1" w:themeShade="80"/>
              <w:sz w:val="18"/>
              <w:szCs w:val="18"/>
            </w:rPr>
            <w:t>amount]</w:t>
          </w:r>
        </w:p>
      </w:docPartBody>
    </w:docPart>
    <w:docPart>
      <w:docPartPr>
        <w:name w:val="986F2007D7084CBA89A413EE1C507EDD"/>
        <w:category>
          <w:name w:val="General"/>
          <w:gallery w:val="placeholder"/>
        </w:category>
        <w:types>
          <w:type w:val="bbPlcHdr"/>
        </w:types>
        <w:behaviors>
          <w:behavior w:val="content"/>
        </w:behaviors>
        <w:guid w:val="{F81C4D27-AFF1-4FD3-A878-66F8C34CE3C8}"/>
      </w:docPartPr>
      <w:docPartBody>
        <w:p w:rsidR="00AA28E5" w:rsidRDefault="00D961B5" w:rsidP="00D961B5">
          <w:pPr>
            <w:pStyle w:val="986F2007D7084CBA89A413EE1C507EDD"/>
          </w:pPr>
          <w:r w:rsidRPr="007A7C56">
            <w:rPr>
              <w:rStyle w:val="PlaceholderText"/>
            </w:rPr>
            <w:t>Choose an item.</w:t>
          </w:r>
        </w:p>
      </w:docPartBody>
    </w:docPart>
    <w:docPart>
      <w:docPartPr>
        <w:name w:val="3B40C5D89F8245BD82FA4A9EDABC088F"/>
        <w:category>
          <w:name w:val="General"/>
          <w:gallery w:val="placeholder"/>
        </w:category>
        <w:types>
          <w:type w:val="bbPlcHdr"/>
        </w:types>
        <w:behaviors>
          <w:behavior w:val="content"/>
        </w:behaviors>
        <w:guid w:val="{C95678F4-DA9F-469B-9A5C-248737F4E515}"/>
      </w:docPartPr>
      <w:docPartBody>
        <w:p w:rsidR="00AA28E5" w:rsidRDefault="00D961B5" w:rsidP="00D961B5">
          <w:pPr>
            <w:pStyle w:val="3B40C5D89F8245BD82FA4A9EDABC088F"/>
          </w:pPr>
          <w:r>
            <w:rPr>
              <w:rFonts w:ascii="Arial" w:hAnsi="Arial" w:cs="Arial"/>
              <w:i/>
              <w:color w:val="808080" w:themeColor="background1" w:themeShade="80"/>
              <w:sz w:val="18"/>
              <w:szCs w:val="18"/>
            </w:rPr>
            <w:t>[T</w:t>
          </w:r>
          <w:r w:rsidRPr="0070394D">
            <w:rPr>
              <w:rFonts w:ascii="Arial" w:hAnsi="Arial" w:cs="Arial"/>
              <w:i/>
              <w:color w:val="808080" w:themeColor="background1" w:themeShade="80"/>
              <w:sz w:val="18"/>
              <w:szCs w:val="18"/>
            </w:rPr>
            <w:t xml:space="preserve">ype the </w:t>
          </w:r>
          <w:r>
            <w:rPr>
              <w:rFonts w:ascii="Arial" w:hAnsi="Arial" w:cs="Arial"/>
              <w:i/>
              <w:color w:val="808080" w:themeColor="background1" w:themeShade="80"/>
              <w:sz w:val="18"/>
              <w:szCs w:val="18"/>
            </w:rPr>
            <w:t>amount]</w:t>
          </w:r>
        </w:p>
      </w:docPartBody>
    </w:docPart>
    <w:docPart>
      <w:docPartPr>
        <w:name w:val="5282B44DA79C49299DFED4907F4362D3"/>
        <w:category>
          <w:name w:val="General"/>
          <w:gallery w:val="placeholder"/>
        </w:category>
        <w:types>
          <w:type w:val="bbPlcHdr"/>
        </w:types>
        <w:behaviors>
          <w:behavior w:val="content"/>
        </w:behaviors>
        <w:guid w:val="{9BFD344C-5A9A-4ECE-BB78-48D920FCAD40}"/>
      </w:docPartPr>
      <w:docPartBody>
        <w:p w:rsidR="00972D2B" w:rsidRDefault="00972D2B" w:rsidP="00972D2B">
          <w:pPr>
            <w:pStyle w:val="5282B44DA79C49299DFED4907F4362D3"/>
          </w:pPr>
          <w:r w:rsidRPr="00325AF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1B5"/>
    <w:rsid w:val="0037691C"/>
    <w:rsid w:val="003D2A95"/>
    <w:rsid w:val="005654FC"/>
    <w:rsid w:val="00972D2B"/>
    <w:rsid w:val="00AA28E5"/>
    <w:rsid w:val="00AF090D"/>
    <w:rsid w:val="00B125FE"/>
    <w:rsid w:val="00B60542"/>
    <w:rsid w:val="00B624DD"/>
    <w:rsid w:val="00C413BF"/>
    <w:rsid w:val="00D961B5"/>
    <w:rsid w:val="00E06AAF"/>
    <w:rsid w:val="00E56DCD"/>
    <w:rsid w:val="00E635CF"/>
    <w:rsid w:val="00F40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2D2B"/>
    <w:rPr>
      <w:color w:val="808080"/>
    </w:rPr>
  </w:style>
  <w:style w:type="paragraph" w:customStyle="1" w:styleId="221AFE85D61748598DC6EFED76E74D85">
    <w:name w:val="221AFE85D61748598DC6EFED76E74D85"/>
    <w:rsid w:val="00D961B5"/>
  </w:style>
  <w:style w:type="paragraph" w:customStyle="1" w:styleId="A043D83562C04BB2AE4DB6AAC410B1CD">
    <w:name w:val="A043D83562C04BB2AE4DB6AAC410B1CD"/>
    <w:rsid w:val="00D961B5"/>
  </w:style>
  <w:style w:type="paragraph" w:customStyle="1" w:styleId="EF2DB42DD214407E9A930FF0C09E5167">
    <w:name w:val="EF2DB42DD214407E9A930FF0C09E5167"/>
    <w:rsid w:val="00D961B5"/>
  </w:style>
  <w:style w:type="paragraph" w:customStyle="1" w:styleId="9C1A853C2B1E4871A72652091634169C">
    <w:name w:val="9C1A853C2B1E4871A72652091634169C"/>
    <w:rsid w:val="00D961B5"/>
  </w:style>
  <w:style w:type="paragraph" w:customStyle="1" w:styleId="480112C0A0024B75A12DC981627341D4">
    <w:name w:val="480112C0A0024B75A12DC981627341D4"/>
    <w:rsid w:val="00D961B5"/>
  </w:style>
  <w:style w:type="paragraph" w:customStyle="1" w:styleId="7DA3D8887B584CF6B415CB05E4DE3576">
    <w:name w:val="7DA3D8887B584CF6B415CB05E4DE3576"/>
    <w:rsid w:val="00D961B5"/>
  </w:style>
  <w:style w:type="paragraph" w:customStyle="1" w:styleId="280D54542293467092D315C903B1370F">
    <w:name w:val="280D54542293467092D315C903B1370F"/>
    <w:rsid w:val="00D961B5"/>
  </w:style>
  <w:style w:type="paragraph" w:customStyle="1" w:styleId="6E9862BC8FCE4C8AA3E18571DA6A8A92">
    <w:name w:val="6E9862BC8FCE4C8AA3E18571DA6A8A92"/>
    <w:rsid w:val="00D961B5"/>
  </w:style>
  <w:style w:type="paragraph" w:customStyle="1" w:styleId="78B50EA34E3742F08F1D380675541E57">
    <w:name w:val="78B50EA34E3742F08F1D380675541E57"/>
    <w:rsid w:val="00D961B5"/>
  </w:style>
  <w:style w:type="paragraph" w:customStyle="1" w:styleId="69AE5223C49B40829A8B32B374B0888A">
    <w:name w:val="69AE5223C49B40829A8B32B374B0888A"/>
    <w:rsid w:val="00D961B5"/>
  </w:style>
  <w:style w:type="paragraph" w:customStyle="1" w:styleId="D082FDCDE58A4DF7A40C0B734F53F18D">
    <w:name w:val="D082FDCDE58A4DF7A40C0B734F53F18D"/>
    <w:rsid w:val="00D961B5"/>
  </w:style>
  <w:style w:type="paragraph" w:customStyle="1" w:styleId="B430A5CFAE2943958C910421FCF67015">
    <w:name w:val="B430A5CFAE2943958C910421FCF67015"/>
    <w:rsid w:val="00D961B5"/>
  </w:style>
  <w:style w:type="paragraph" w:customStyle="1" w:styleId="88CAE44184E8465EB9BC28E12A8EE172">
    <w:name w:val="88CAE44184E8465EB9BC28E12A8EE172"/>
    <w:rsid w:val="00D961B5"/>
  </w:style>
  <w:style w:type="paragraph" w:customStyle="1" w:styleId="B82C65786F594D4981E2E3AAF540034D">
    <w:name w:val="B82C65786F594D4981E2E3AAF540034D"/>
    <w:rsid w:val="00D961B5"/>
  </w:style>
  <w:style w:type="paragraph" w:customStyle="1" w:styleId="77325D406C9F47CEA871AF205E27CF48">
    <w:name w:val="77325D406C9F47CEA871AF205E27CF48"/>
    <w:rsid w:val="00D961B5"/>
  </w:style>
  <w:style w:type="paragraph" w:customStyle="1" w:styleId="FC63BA69C7AB4F92A3B54FD4DAA8D3C4">
    <w:name w:val="FC63BA69C7AB4F92A3B54FD4DAA8D3C4"/>
    <w:rsid w:val="00D961B5"/>
  </w:style>
  <w:style w:type="paragraph" w:customStyle="1" w:styleId="9BB3E250B34E4B92A04F0817D67C6568">
    <w:name w:val="9BB3E250B34E4B92A04F0817D67C6568"/>
    <w:rsid w:val="00D961B5"/>
  </w:style>
  <w:style w:type="paragraph" w:customStyle="1" w:styleId="6518E7DD5F3743A7B2AD5434133E19F4">
    <w:name w:val="6518E7DD5F3743A7B2AD5434133E19F4"/>
    <w:rsid w:val="00D961B5"/>
  </w:style>
  <w:style w:type="paragraph" w:customStyle="1" w:styleId="553B1123CDF94224924F11E625B60433">
    <w:name w:val="553B1123CDF94224924F11E625B60433"/>
    <w:rsid w:val="00D961B5"/>
  </w:style>
  <w:style w:type="paragraph" w:customStyle="1" w:styleId="986F2007D7084CBA89A413EE1C507EDD">
    <w:name w:val="986F2007D7084CBA89A413EE1C507EDD"/>
    <w:rsid w:val="00D961B5"/>
  </w:style>
  <w:style w:type="paragraph" w:customStyle="1" w:styleId="3B40C5D89F8245BD82FA4A9EDABC088F">
    <w:name w:val="3B40C5D89F8245BD82FA4A9EDABC088F"/>
    <w:rsid w:val="00D961B5"/>
  </w:style>
  <w:style w:type="paragraph" w:customStyle="1" w:styleId="13C597C91864491BB635F0B9D04E7F69">
    <w:name w:val="13C597C91864491BB635F0B9D04E7F69"/>
    <w:rsid w:val="00D961B5"/>
  </w:style>
  <w:style w:type="paragraph" w:customStyle="1" w:styleId="AFC40E3C0C2842C0BB67EC87EB4E342F">
    <w:name w:val="AFC40E3C0C2842C0BB67EC87EB4E342F"/>
    <w:rsid w:val="00D961B5"/>
  </w:style>
  <w:style w:type="paragraph" w:customStyle="1" w:styleId="5282B44DA79C49299DFED4907F4362D3">
    <w:name w:val="5282B44DA79C49299DFED4907F4362D3"/>
    <w:rsid w:val="00972D2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CA0ED-B176-479F-8768-F98ADF7B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7738</Words>
  <Characters>44108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Untalan</dc:creator>
  <cp:keywords/>
  <dc:description/>
  <cp:lastModifiedBy>Rajiv Garg</cp:lastModifiedBy>
  <cp:revision>2</cp:revision>
  <cp:lastPrinted>2018-06-21T00:12:00Z</cp:lastPrinted>
  <dcterms:created xsi:type="dcterms:W3CDTF">2019-08-13T13:47:00Z</dcterms:created>
  <dcterms:modified xsi:type="dcterms:W3CDTF">2019-08-13T13:47:00Z</dcterms:modified>
</cp:coreProperties>
</file>