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9F" w:rsidRDefault="009C121E">
      <w:pPr>
        <w:spacing w:before="0" w:after="200"/>
        <w:jc w:val="left"/>
        <w:rPr>
          <w:b/>
          <w:bCs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43180</wp:posOffset>
            </wp:positionV>
            <wp:extent cx="1413510" cy="1079500"/>
            <wp:effectExtent l="0" t="0" r="0" b="0"/>
            <wp:wrapSquare wrapText="bothSides"/>
            <wp:docPr id="33" name="Imagen 33" descr="CIMNE_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IMNE_pet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2000" contrast="-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inline distT="0" distB="0" distL="0" distR="0">
            <wp:extent cx="2297455" cy="1080000"/>
            <wp:effectExtent l="0" t="0" r="0" b="0"/>
            <wp:docPr id="4" name="Imagen 1" descr="https://surveymonkey-assets.s3.amazonaws.com/survey/66004873/58072841-9625-4dd7-9ed2-0c7459c577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rveymonkey-assets.s3.amazonaws.com/survey/66004873/58072841-9625-4dd7-9ed2-0c7459c5777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5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B9F" w:rsidRDefault="00FD4B9F">
      <w:pPr>
        <w:spacing w:before="0" w:after="200"/>
        <w:jc w:val="left"/>
        <w:rPr>
          <w:b/>
          <w:bCs/>
        </w:rPr>
      </w:pPr>
      <w:r>
        <w:rPr>
          <w:b/>
          <w:bCs/>
          <w:noProof/>
          <w:lang w:val="es-ES" w:eastAsia="es-ES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149860</wp:posOffset>
            </wp:positionV>
            <wp:extent cx="2257425" cy="1152525"/>
            <wp:effectExtent l="19050" t="0" r="9525" b="0"/>
            <wp:wrapSquare wrapText="bothSides"/>
            <wp:docPr id="23" name="Imagen 10" descr="http://repositorio.iniap.gob.ec/image/inia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positorio.iniap.gob.ec/image/iniap-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val="es-ES" w:eastAsia="es-ES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83185</wp:posOffset>
            </wp:positionV>
            <wp:extent cx="2114550" cy="1381125"/>
            <wp:effectExtent l="19050" t="0" r="0" b="0"/>
            <wp:wrapSquare wrapText="bothSides"/>
            <wp:docPr id="21" name="Imagen 7" descr="http://ugi.espe.edu.ec/ugi/wp-content/uploads/2013/07/ine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gi.espe.edu.ec/ugi/wp-content/uploads/2013/07/iner-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B9F" w:rsidRDefault="00FD4B9F">
      <w:pPr>
        <w:spacing w:before="0" w:after="200"/>
        <w:jc w:val="left"/>
        <w:rPr>
          <w:b/>
          <w:bCs/>
        </w:rPr>
      </w:pPr>
    </w:p>
    <w:p w:rsidR="00FD4B9F" w:rsidRDefault="00FD4B9F">
      <w:pPr>
        <w:spacing w:before="0" w:after="200"/>
        <w:jc w:val="left"/>
        <w:rPr>
          <w:b/>
          <w:bCs/>
        </w:rPr>
      </w:pPr>
    </w:p>
    <w:p w:rsidR="00FD4B9F" w:rsidRDefault="00FD4B9F">
      <w:pPr>
        <w:spacing w:before="0" w:after="200"/>
        <w:jc w:val="left"/>
        <w:rPr>
          <w:b/>
          <w:bCs/>
        </w:rPr>
      </w:pPr>
    </w:p>
    <w:p w:rsidR="00FD4B9F" w:rsidRDefault="00FD4B9F">
      <w:pPr>
        <w:spacing w:before="0" w:after="200"/>
        <w:jc w:val="left"/>
        <w:rPr>
          <w:b/>
          <w:bCs/>
        </w:rPr>
      </w:pPr>
    </w:p>
    <w:p w:rsidR="00FD4B9F" w:rsidRPr="009572F1" w:rsidRDefault="001276E7" w:rsidP="003C31FC">
      <w:pPr>
        <w:pStyle w:val="Ttulo"/>
        <w:rPr>
          <w:rFonts w:eastAsiaTheme="minorHAnsi"/>
          <w:lang w:val="es-EC"/>
        </w:rPr>
      </w:pPr>
      <w:r w:rsidRPr="009572F1">
        <w:rPr>
          <w:rFonts w:eastAsiaTheme="minorHAnsi"/>
          <w:lang w:val="es-EC"/>
        </w:rPr>
        <w:t>Actividad 2</w:t>
      </w:r>
      <w:r w:rsidR="00FD4B9F" w:rsidRPr="009572F1">
        <w:rPr>
          <w:rFonts w:eastAsiaTheme="minorHAnsi"/>
          <w:lang w:val="es-EC"/>
        </w:rPr>
        <w:t xml:space="preserve">: </w:t>
      </w:r>
      <w:r w:rsidR="003C31FC" w:rsidRPr="009572F1">
        <w:rPr>
          <w:rFonts w:eastAsiaTheme="minorHAnsi"/>
          <w:lang w:val="es-EC"/>
        </w:rPr>
        <w:t>"</w:t>
      </w:r>
      <w:r w:rsidR="009572F1" w:rsidRPr="009572F1">
        <w:rPr>
          <w:rFonts w:eastAsiaTheme="minorHAnsi"/>
          <w:lang w:val="es-EC"/>
        </w:rPr>
        <w:t>Análisis de tecnología</w:t>
      </w:r>
      <w:r w:rsidR="006857AC">
        <w:rPr>
          <w:rFonts w:eastAsiaTheme="minorHAnsi"/>
          <w:lang w:val="es-EC"/>
        </w:rPr>
        <w:t>s</w:t>
      </w:r>
      <w:r w:rsidR="009572F1" w:rsidRPr="009572F1">
        <w:rPr>
          <w:rFonts w:eastAsiaTheme="minorHAnsi"/>
          <w:lang w:val="es-EC"/>
        </w:rPr>
        <w:t xml:space="preserve"> de biodigestores</w:t>
      </w:r>
      <w:r w:rsidR="003C31FC" w:rsidRPr="009572F1">
        <w:rPr>
          <w:lang w:val="es-EC"/>
        </w:rPr>
        <w:t>"</w:t>
      </w:r>
    </w:p>
    <w:p w:rsidR="003C31FC" w:rsidRPr="009572F1" w:rsidRDefault="003C31FC" w:rsidP="003C31FC">
      <w:pPr>
        <w:autoSpaceDE w:val="0"/>
        <w:autoSpaceDN w:val="0"/>
        <w:adjustRightInd w:val="0"/>
        <w:spacing w:before="0" w:after="0" w:line="240" w:lineRule="auto"/>
        <w:jc w:val="left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3C31FC" w:rsidRPr="00093AC9" w:rsidRDefault="003C31FC" w:rsidP="00093AC9">
      <w:pPr>
        <w:autoSpaceDE w:val="0"/>
        <w:autoSpaceDN w:val="0"/>
        <w:adjustRightInd w:val="0"/>
        <w:spacing w:before="0" w:after="0" w:line="240" w:lineRule="auto"/>
        <w:rPr>
          <w:rFonts w:ascii="Calibri" w:eastAsiaTheme="minorHAnsi" w:hAnsi="Calibri" w:cs="Calibri"/>
          <w:b/>
          <w:color w:val="000000"/>
          <w:sz w:val="32"/>
          <w:lang w:eastAsia="en-US"/>
        </w:rPr>
      </w:pPr>
      <w:r w:rsidRPr="00093AC9">
        <w:rPr>
          <w:rFonts w:ascii="Calibri" w:eastAsiaTheme="minorHAnsi" w:hAnsi="Calibri" w:cs="Calibri"/>
          <w:b/>
          <w:i/>
          <w:iCs/>
          <w:color w:val="000000"/>
          <w:sz w:val="32"/>
          <w:lang w:eastAsia="en-US"/>
        </w:rPr>
        <w:t>"</w:t>
      </w:r>
      <w:r w:rsidR="00093AC9" w:rsidRPr="00093AC9">
        <w:rPr>
          <w:rFonts w:ascii="Calibri" w:eastAsiaTheme="minorHAnsi" w:hAnsi="Calibri" w:cs="Calibri"/>
          <w:b/>
          <w:i/>
          <w:iCs/>
          <w:color w:val="000000"/>
          <w:sz w:val="32"/>
          <w:lang w:eastAsia="en-US"/>
        </w:rPr>
        <w:t>Informe sobre el protocol</w:t>
      </w:r>
      <w:r w:rsidR="00093AC9">
        <w:rPr>
          <w:rFonts w:ascii="Calibri" w:eastAsiaTheme="minorHAnsi" w:hAnsi="Calibri" w:cs="Calibri"/>
          <w:b/>
          <w:i/>
          <w:iCs/>
          <w:color w:val="000000"/>
          <w:sz w:val="32"/>
          <w:lang w:eastAsia="en-US"/>
        </w:rPr>
        <w:t>o</w:t>
      </w:r>
      <w:r w:rsidR="00093AC9" w:rsidRPr="00093AC9">
        <w:rPr>
          <w:rFonts w:ascii="Calibri" w:eastAsiaTheme="minorHAnsi" w:hAnsi="Calibri" w:cs="Calibri"/>
          <w:b/>
          <w:i/>
          <w:iCs/>
          <w:color w:val="000000"/>
          <w:sz w:val="32"/>
          <w:lang w:eastAsia="en-US"/>
        </w:rPr>
        <w:t xml:space="preserve"> de control de calidad para los proveedores de servicios</w:t>
      </w:r>
      <w:r w:rsidRPr="00093AC9">
        <w:rPr>
          <w:rFonts w:ascii="Calibri" w:eastAsiaTheme="minorHAnsi" w:hAnsi="Calibri" w:cs="Calibri"/>
          <w:b/>
          <w:i/>
          <w:iCs/>
          <w:color w:val="000000"/>
          <w:sz w:val="32"/>
          <w:lang w:eastAsia="en-US"/>
        </w:rPr>
        <w:t xml:space="preserve">" </w:t>
      </w:r>
    </w:p>
    <w:p w:rsidR="003C31FC" w:rsidRPr="00093AC9" w:rsidRDefault="003C31FC" w:rsidP="00FD4B9F">
      <w:pPr>
        <w:spacing w:before="0" w:after="200"/>
        <w:jc w:val="left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FD4B9F" w:rsidRDefault="00FD4B9F" w:rsidP="00FD4B9F">
      <w:pPr>
        <w:spacing w:before="0" w:after="200"/>
        <w:jc w:val="left"/>
        <w:rPr>
          <w:rFonts w:ascii="Calibri" w:eastAsiaTheme="minorHAnsi" w:hAnsi="Calibri" w:cs="Calibri"/>
          <w:color w:val="000000"/>
          <w:lang w:val="en-US"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val="en-US" w:eastAsia="en-US"/>
        </w:rPr>
        <w:t>PROYECTO:</w:t>
      </w:r>
      <w:r w:rsidRPr="00FD4B9F">
        <w:rPr>
          <w:rFonts w:ascii="Calibri" w:eastAsiaTheme="minorHAnsi" w:hAnsi="Calibri" w:cs="Calibri"/>
          <w:color w:val="000000"/>
          <w:sz w:val="24"/>
          <w:szCs w:val="24"/>
          <w:lang w:val="en-US" w:eastAsia="en-US"/>
        </w:rPr>
        <w:t xml:space="preserve"> </w:t>
      </w:r>
      <w:r w:rsidRPr="00FD4B9F">
        <w:rPr>
          <w:rFonts w:ascii="Calibri" w:eastAsiaTheme="minorHAnsi" w:hAnsi="Calibri" w:cs="Calibri"/>
          <w:color w:val="000000"/>
          <w:lang w:val="en-US" w:eastAsia="en-US"/>
        </w:rPr>
        <w:t>DESIGN AND SCALE-UP OF CLIMATE RESILIENT WASTE MANA GEMENT AND ENERGY CAPTURE TECHNOLOGIES IN SMALL AND MEDIUM LIVESTOCK FARMS - REFERENCE NUMBER: 2015000061</w:t>
      </w:r>
    </w:p>
    <w:p w:rsidR="00FD4B9F" w:rsidRDefault="00FD4B9F">
      <w:pPr>
        <w:spacing w:before="0" w:after="200"/>
        <w:jc w:val="left"/>
        <w:rPr>
          <w:rFonts w:ascii="Calibri" w:eastAsiaTheme="minorHAnsi" w:hAnsi="Calibri" w:cs="Calibri"/>
          <w:color w:val="000000"/>
          <w:lang w:val="en-US" w:eastAsia="en-US"/>
        </w:rPr>
      </w:pPr>
    </w:p>
    <w:p w:rsidR="00FD4B9F" w:rsidRPr="00FD4B9F" w:rsidRDefault="00FD4B9F" w:rsidP="00FD4B9F">
      <w:pPr>
        <w:spacing w:before="0" w:after="200"/>
        <w:jc w:val="right"/>
        <w:rPr>
          <w:rFonts w:ascii="Calibri" w:eastAsiaTheme="minorHAnsi" w:hAnsi="Calibri" w:cs="Calibri"/>
          <w:b/>
          <w:color w:val="000000"/>
          <w:lang w:val="es-ES" w:eastAsia="en-US"/>
        </w:rPr>
      </w:pPr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 xml:space="preserve">Jaime Martí Herrero (CIMNE) </w:t>
      </w:r>
    </w:p>
    <w:p w:rsidR="00FD4B9F" w:rsidRPr="00FD4B9F" w:rsidRDefault="00FD4B9F" w:rsidP="00FD4B9F">
      <w:pPr>
        <w:spacing w:before="0" w:after="200"/>
        <w:jc w:val="right"/>
        <w:rPr>
          <w:rFonts w:ascii="Calibri" w:eastAsiaTheme="minorHAnsi" w:hAnsi="Calibri" w:cs="Calibri"/>
          <w:color w:val="000000"/>
          <w:lang w:val="es-ES" w:eastAsia="en-US"/>
        </w:rPr>
      </w:pPr>
      <w:r w:rsidRPr="00FD4B9F">
        <w:rPr>
          <w:rFonts w:ascii="Calibri" w:eastAsiaTheme="minorHAnsi" w:hAnsi="Calibri" w:cs="Calibri"/>
          <w:color w:val="000000"/>
          <w:lang w:val="es-ES" w:eastAsia="en-US"/>
        </w:rPr>
        <w:t>(jaimemarti@cimne.upc.edu)</w:t>
      </w:r>
    </w:p>
    <w:p w:rsidR="00FD4B9F" w:rsidRPr="00FD4B9F" w:rsidRDefault="005369C1" w:rsidP="00FD4B9F">
      <w:pPr>
        <w:spacing w:before="0" w:after="200"/>
        <w:jc w:val="right"/>
        <w:rPr>
          <w:rFonts w:ascii="Calibri" w:eastAsiaTheme="minorHAnsi" w:hAnsi="Calibri" w:cs="Calibri"/>
          <w:b/>
          <w:color w:val="000000"/>
          <w:lang w:val="es-ES" w:eastAsia="en-US"/>
        </w:rPr>
      </w:pPr>
      <w:r>
        <w:rPr>
          <w:rFonts w:ascii="Calibri" w:eastAsiaTheme="minorHAnsi" w:hAnsi="Calibri" w:cs="Calibri"/>
          <w:b/>
          <w:color w:val="000000"/>
          <w:lang w:val="es-ES" w:eastAsia="en-US"/>
        </w:rPr>
        <w:t>Juan Pablo Vargas</w:t>
      </w:r>
      <w:r w:rsidR="00FD4B9F" w:rsidRPr="00FD4B9F">
        <w:rPr>
          <w:rFonts w:ascii="Calibri" w:eastAsiaTheme="minorHAnsi" w:hAnsi="Calibri" w:cs="Calibri"/>
          <w:b/>
          <w:color w:val="000000"/>
          <w:lang w:val="es-ES" w:eastAsia="en-US"/>
        </w:rPr>
        <w:t xml:space="preserve"> (INIAP-CIMNE)</w:t>
      </w:r>
    </w:p>
    <w:p w:rsidR="00FD4B9F" w:rsidRPr="00FD4B9F" w:rsidRDefault="00FD4B9F" w:rsidP="00FD4B9F">
      <w:pPr>
        <w:spacing w:before="0" w:after="200"/>
        <w:jc w:val="right"/>
        <w:rPr>
          <w:rFonts w:ascii="Calibri" w:eastAsiaTheme="minorHAnsi" w:hAnsi="Calibri" w:cs="Calibri"/>
          <w:b/>
          <w:color w:val="000000"/>
          <w:lang w:val="es-ES" w:eastAsia="en-US"/>
        </w:rPr>
      </w:pPr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 xml:space="preserve">Paola </w:t>
      </w:r>
      <w:proofErr w:type="spellStart"/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>Cuji</w:t>
      </w:r>
      <w:proofErr w:type="spellEnd"/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 xml:space="preserve"> (</w:t>
      </w:r>
      <w:r w:rsidR="008F07F1">
        <w:rPr>
          <w:rFonts w:ascii="Calibri" w:eastAsiaTheme="minorHAnsi" w:hAnsi="Calibri" w:cs="Calibri"/>
          <w:b/>
          <w:color w:val="000000"/>
          <w:lang w:val="es-ES" w:eastAsia="en-US"/>
        </w:rPr>
        <w:t>IIGE</w:t>
      </w:r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>)</w:t>
      </w:r>
    </w:p>
    <w:p w:rsidR="00FD4B9F" w:rsidRPr="00FD4B9F" w:rsidRDefault="00FD4B9F" w:rsidP="00FD4B9F">
      <w:pPr>
        <w:spacing w:before="0" w:after="200"/>
        <w:jc w:val="right"/>
        <w:rPr>
          <w:rFonts w:ascii="Calibri" w:eastAsiaTheme="minorHAnsi" w:hAnsi="Calibri" w:cs="Calibri"/>
          <w:b/>
          <w:color w:val="000000"/>
          <w:lang w:val="es-ES" w:eastAsia="en-US"/>
        </w:rPr>
      </w:pPr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 xml:space="preserve">Valeria </w:t>
      </w:r>
      <w:r w:rsidR="004E5D08" w:rsidRPr="00FD4B9F">
        <w:rPr>
          <w:rFonts w:ascii="Calibri" w:eastAsiaTheme="minorHAnsi" w:hAnsi="Calibri" w:cs="Calibri"/>
          <w:b/>
          <w:color w:val="000000"/>
          <w:lang w:val="es-ES" w:eastAsia="en-US"/>
        </w:rPr>
        <w:t>Ramírez</w:t>
      </w:r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 xml:space="preserve"> (</w:t>
      </w:r>
      <w:r w:rsidR="008F07F1">
        <w:rPr>
          <w:rFonts w:ascii="Calibri" w:eastAsiaTheme="minorHAnsi" w:hAnsi="Calibri" w:cs="Calibri"/>
          <w:b/>
          <w:color w:val="000000"/>
          <w:lang w:val="es-ES" w:eastAsia="en-US"/>
        </w:rPr>
        <w:t>IIGE</w:t>
      </w:r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>)</w:t>
      </w:r>
    </w:p>
    <w:p w:rsidR="00FD4B9F" w:rsidRPr="00FD4B9F" w:rsidRDefault="00FD4B9F" w:rsidP="00FD4B9F">
      <w:pPr>
        <w:spacing w:before="0" w:after="200"/>
        <w:jc w:val="right"/>
        <w:rPr>
          <w:rFonts w:ascii="Calibri" w:eastAsiaTheme="minorHAnsi" w:hAnsi="Calibri" w:cs="Calibri"/>
          <w:b/>
          <w:color w:val="000000"/>
          <w:lang w:val="es-ES" w:eastAsia="en-US"/>
        </w:rPr>
      </w:pPr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 xml:space="preserve">Luis </w:t>
      </w:r>
      <w:r w:rsidR="004E5D08" w:rsidRPr="00FD4B9F">
        <w:rPr>
          <w:rFonts w:ascii="Calibri" w:eastAsiaTheme="minorHAnsi" w:hAnsi="Calibri" w:cs="Calibri"/>
          <w:b/>
          <w:color w:val="000000"/>
          <w:lang w:val="es-ES" w:eastAsia="en-US"/>
        </w:rPr>
        <w:t>Rodríguez</w:t>
      </w:r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 xml:space="preserve"> (INIAP)</w:t>
      </w:r>
    </w:p>
    <w:p w:rsidR="00FD4B9F" w:rsidRPr="00FD4B9F" w:rsidRDefault="00FD4B9F" w:rsidP="00FD4B9F">
      <w:pPr>
        <w:spacing w:before="0" w:after="200"/>
        <w:jc w:val="right"/>
        <w:rPr>
          <w:rFonts w:ascii="Calibri" w:eastAsiaTheme="minorHAnsi" w:hAnsi="Calibri" w:cs="Calibri"/>
          <w:b/>
          <w:color w:val="000000"/>
          <w:lang w:val="es-ES" w:eastAsia="en-US"/>
        </w:rPr>
      </w:pPr>
      <w:proofErr w:type="spellStart"/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>Duther</w:t>
      </w:r>
      <w:proofErr w:type="spellEnd"/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 xml:space="preserve"> </w:t>
      </w:r>
      <w:r w:rsidR="004E5D08" w:rsidRPr="00FD4B9F">
        <w:rPr>
          <w:rFonts w:ascii="Calibri" w:eastAsiaTheme="minorHAnsi" w:hAnsi="Calibri" w:cs="Calibri"/>
          <w:b/>
          <w:color w:val="000000"/>
          <w:lang w:val="es-ES" w:eastAsia="en-US"/>
        </w:rPr>
        <w:t>López</w:t>
      </w:r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 xml:space="preserve"> </w:t>
      </w:r>
      <w:r w:rsidR="004E5D08" w:rsidRPr="00FD4B9F">
        <w:rPr>
          <w:rFonts w:ascii="Calibri" w:eastAsiaTheme="minorHAnsi" w:hAnsi="Calibri" w:cs="Calibri"/>
          <w:b/>
          <w:color w:val="000000"/>
          <w:lang w:val="es-ES" w:eastAsia="en-US"/>
        </w:rPr>
        <w:t>Domínguez</w:t>
      </w:r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 xml:space="preserve"> (INIAP)</w:t>
      </w:r>
    </w:p>
    <w:p w:rsidR="00164139" w:rsidRDefault="00FD4B9F" w:rsidP="00164139">
      <w:pPr>
        <w:spacing w:before="0" w:after="200"/>
        <w:jc w:val="right"/>
        <w:rPr>
          <w:lang w:val="es-ES_tradnl"/>
        </w:rPr>
      </w:pPr>
      <w:r w:rsidRPr="00FD4B9F">
        <w:rPr>
          <w:rFonts w:ascii="Calibri" w:eastAsiaTheme="minorHAnsi" w:hAnsi="Calibri" w:cs="Calibri"/>
          <w:b/>
          <w:color w:val="000000"/>
          <w:lang w:val="es-ES" w:eastAsia="en-US"/>
        </w:rPr>
        <w:t>Jordi Cipriano (CIMNE)</w:t>
      </w:r>
      <w:bookmarkStart w:id="0" w:name="_Toc514404191"/>
      <w:r w:rsidR="00164139">
        <w:rPr>
          <w:lang w:val="es-ES_tradnl"/>
        </w:rPr>
        <w:t xml:space="preserve"> </w:t>
      </w:r>
    </w:p>
    <w:p w:rsidR="00164139" w:rsidRDefault="00164139" w:rsidP="00164139">
      <w:pPr>
        <w:pStyle w:val="Ttulo1"/>
        <w:numPr>
          <w:ilvl w:val="0"/>
          <w:numId w:val="2"/>
        </w:numPr>
      </w:pPr>
      <w:bookmarkStart w:id="1" w:name="_Toc515878610"/>
      <w:r>
        <w:lastRenderedPageBreak/>
        <w:t>Objetivo, metodología y limitantes de este documento</w:t>
      </w:r>
      <w:bookmarkEnd w:id="1"/>
    </w:p>
    <w:p w:rsidR="003C31FC" w:rsidRDefault="00B9528C" w:rsidP="00B9528C">
      <w:pPr>
        <w:rPr>
          <w:rFonts w:eastAsiaTheme="minorHAnsi"/>
          <w:lang w:eastAsia="en-US"/>
        </w:rPr>
      </w:pPr>
      <w:r w:rsidRPr="00B9528C">
        <w:rPr>
          <w:rFonts w:eastAsiaTheme="minorHAnsi"/>
          <w:lang w:val="en-US" w:eastAsia="en-US"/>
        </w:rPr>
        <w:t xml:space="preserve">Este </w:t>
      </w:r>
      <w:proofErr w:type="spellStart"/>
      <w:r w:rsidRPr="00B9528C">
        <w:rPr>
          <w:rFonts w:eastAsiaTheme="minorHAnsi"/>
          <w:lang w:val="en-US" w:eastAsia="en-US"/>
        </w:rPr>
        <w:t>documento</w:t>
      </w:r>
      <w:proofErr w:type="spellEnd"/>
      <w:r w:rsidRPr="00B9528C">
        <w:rPr>
          <w:rFonts w:eastAsiaTheme="minorHAnsi"/>
          <w:lang w:val="en-US" w:eastAsia="en-US"/>
        </w:rPr>
        <w:t xml:space="preserve"> se </w:t>
      </w:r>
      <w:proofErr w:type="spellStart"/>
      <w:r w:rsidRPr="00B9528C">
        <w:rPr>
          <w:rFonts w:eastAsiaTheme="minorHAnsi"/>
          <w:lang w:val="en-US" w:eastAsia="en-US"/>
        </w:rPr>
        <w:t>enmarca</w:t>
      </w:r>
      <w:proofErr w:type="spellEnd"/>
      <w:r w:rsidRPr="00B9528C">
        <w:rPr>
          <w:rFonts w:eastAsiaTheme="minorHAnsi"/>
          <w:lang w:val="en-US" w:eastAsia="en-US"/>
        </w:rPr>
        <w:t xml:space="preserve"> </w:t>
      </w:r>
      <w:proofErr w:type="spellStart"/>
      <w:r w:rsidRPr="00B9528C">
        <w:rPr>
          <w:rFonts w:eastAsiaTheme="minorHAnsi"/>
          <w:lang w:val="en-US" w:eastAsia="en-US"/>
        </w:rPr>
        <w:t>dentro</w:t>
      </w:r>
      <w:proofErr w:type="spellEnd"/>
      <w:r w:rsidRPr="00B9528C">
        <w:rPr>
          <w:rFonts w:eastAsiaTheme="minorHAnsi"/>
          <w:lang w:val="en-US" w:eastAsia="en-US"/>
        </w:rPr>
        <w:t xml:space="preserve"> del </w:t>
      </w:r>
      <w:proofErr w:type="spellStart"/>
      <w:r w:rsidRPr="00B9528C">
        <w:rPr>
          <w:rFonts w:eastAsiaTheme="minorHAnsi"/>
          <w:lang w:val="en-US" w:eastAsia="en-US"/>
        </w:rPr>
        <w:t>proyecto</w:t>
      </w:r>
      <w:proofErr w:type="spellEnd"/>
      <w:r w:rsidRPr="00B9528C">
        <w:rPr>
          <w:rFonts w:eastAsiaTheme="minorHAnsi"/>
          <w:lang w:val="en-US" w:eastAsia="en-US"/>
        </w:rPr>
        <w:t xml:space="preserve"> DESIGN AND SCALE-UP OF CLIMATE RESILIENT WASTE MANAGEMENT AND ENERGY CAPTURE TECHNOLOGIES IN SMALL AND MEDIUM LIVESTOCK FARMS - REFERENCE NUMBER: 2015000061, </w:t>
      </w:r>
      <w:proofErr w:type="spellStart"/>
      <w:r w:rsidRPr="00B9528C">
        <w:rPr>
          <w:rFonts w:eastAsiaTheme="minorHAnsi"/>
          <w:lang w:val="en-US" w:eastAsia="en-US"/>
        </w:rPr>
        <w:t>apoyado</w:t>
      </w:r>
      <w:proofErr w:type="spellEnd"/>
      <w:r w:rsidRPr="00B9528C">
        <w:rPr>
          <w:rFonts w:eastAsiaTheme="minorHAnsi"/>
          <w:lang w:val="en-US" w:eastAsia="en-US"/>
        </w:rPr>
        <w:t xml:space="preserve"> </w:t>
      </w:r>
      <w:proofErr w:type="spellStart"/>
      <w:r w:rsidRPr="00B9528C">
        <w:rPr>
          <w:rFonts w:eastAsiaTheme="minorHAnsi"/>
          <w:lang w:val="en-US" w:eastAsia="en-US"/>
        </w:rPr>
        <w:t>por</w:t>
      </w:r>
      <w:proofErr w:type="spellEnd"/>
      <w:r w:rsidRPr="00B9528C">
        <w:rPr>
          <w:rFonts w:eastAsiaTheme="minorHAnsi"/>
          <w:lang w:val="en-US" w:eastAsia="en-US"/>
        </w:rPr>
        <w:t xml:space="preserve"> el Climate Technology Centre &amp; Network (CTCN )</w:t>
      </w:r>
      <w:r>
        <w:rPr>
          <w:rFonts w:eastAsiaTheme="minorHAnsi"/>
          <w:lang w:val="en-US" w:eastAsia="en-US"/>
        </w:rPr>
        <w:t>.</w:t>
      </w:r>
      <w:r w:rsidR="003C31FC" w:rsidRPr="00B9528C">
        <w:rPr>
          <w:rFonts w:eastAsiaTheme="minorHAnsi"/>
          <w:lang w:val="en-US" w:eastAsia="en-US"/>
        </w:rPr>
        <w:t xml:space="preserve"> </w:t>
      </w:r>
      <w:r w:rsidR="003C31FC" w:rsidRPr="003C31FC">
        <w:rPr>
          <w:rFonts w:eastAsiaTheme="minorHAnsi"/>
          <w:lang w:eastAsia="en-US"/>
        </w:rPr>
        <w:t>El proyecto es coordinado por el Centro Internacional de métodos numéricos en ingeniería (CIMNE) siendo sus socios locales Instituto Nacional de Investigaciones Agropecuarias (INIAP) y el Instituto Nacional de Eficiencia Energética y Energías Renovables (INER).</w:t>
      </w:r>
    </w:p>
    <w:p w:rsidR="003C31FC" w:rsidRPr="003C31FC" w:rsidRDefault="003C31FC" w:rsidP="003C31FC">
      <w:pPr>
        <w:rPr>
          <w:rFonts w:eastAsiaTheme="minorHAnsi"/>
          <w:lang w:eastAsia="en-US"/>
        </w:rPr>
      </w:pPr>
      <w:r w:rsidRPr="003C31FC">
        <w:rPr>
          <w:rFonts w:eastAsiaTheme="minorHAnsi"/>
          <w:b/>
          <w:lang w:eastAsia="en-US"/>
        </w:rPr>
        <w:t>El objetivo del proyecto</w:t>
      </w:r>
      <w:r w:rsidRPr="003C31FC">
        <w:rPr>
          <w:rFonts w:eastAsiaTheme="minorHAnsi"/>
          <w:lang w:eastAsia="en-US"/>
        </w:rPr>
        <w:t xml:space="preserve"> es proveer de asistencia técnica, para el desarrollo de herramientas que promuevan de manera sostenible el sector de biodigestores en Ecuador, permitiendo la promoción y la implementación masiva de la tecnología, para aprovechar el potencial de la biomasa de la producción pecuaria.</w:t>
      </w:r>
    </w:p>
    <w:p w:rsidR="00164139" w:rsidRDefault="00164139" w:rsidP="00164139">
      <w:pPr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Este documento corresponde a la Actividad 2: </w:t>
      </w:r>
      <w:r w:rsidR="003C31FC">
        <w:rPr>
          <w:rFonts w:ascii="Calibri" w:eastAsiaTheme="minorHAnsi" w:hAnsi="Calibri" w:cs="Calibri"/>
          <w:color w:val="000000"/>
          <w:lang w:eastAsia="en-US"/>
        </w:rPr>
        <w:t>"</w:t>
      </w:r>
      <w:r w:rsidR="006857AC">
        <w:rPr>
          <w:rFonts w:ascii="Calibri" w:eastAsiaTheme="minorHAnsi" w:hAnsi="Calibri" w:cs="Calibri"/>
          <w:color w:val="000000"/>
          <w:lang w:eastAsia="en-US"/>
        </w:rPr>
        <w:t>Análisis de tecnologías de biodigestores</w:t>
      </w:r>
      <w:r w:rsidR="006857AC">
        <w:t xml:space="preserve">”. </w:t>
      </w:r>
      <w:r>
        <w:rPr>
          <w:rFonts w:ascii="Calibri" w:eastAsiaTheme="minorHAnsi" w:hAnsi="Calibri" w:cs="Calibri"/>
          <w:color w:val="000000"/>
          <w:lang w:eastAsia="en-US"/>
        </w:rPr>
        <w:t>E</w:t>
      </w:r>
      <w:r w:rsidRPr="00EB664B">
        <w:rPr>
          <w:rFonts w:ascii="Calibri" w:eastAsiaTheme="minorHAnsi" w:hAnsi="Calibri" w:cs="Calibri"/>
          <w:color w:val="000000"/>
          <w:lang w:eastAsia="en-US"/>
        </w:rPr>
        <w:t>l objetivo de este documento</w:t>
      </w:r>
      <w:r w:rsidR="006857AC">
        <w:rPr>
          <w:rFonts w:ascii="Calibri" w:eastAsiaTheme="minorHAnsi" w:hAnsi="Calibri" w:cs="Calibri"/>
          <w:color w:val="000000"/>
          <w:lang w:eastAsia="en-US"/>
        </w:rPr>
        <w:t xml:space="preserve"> es</w:t>
      </w:r>
      <w:r w:rsidRPr="00EB664B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0923F7">
        <w:rPr>
          <w:rFonts w:ascii="Calibri" w:eastAsiaTheme="minorHAnsi" w:hAnsi="Calibri" w:cs="Calibri"/>
          <w:color w:val="000000"/>
          <w:lang w:eastAsia="en-US"/>
        </w:rPr>
        <w:t>informar sobre el proceso de</w:t>
      </w:r>
      <w:r>
        <w:rPr>
          <w:rFonts w:ascii="Calibri" w:eastAsiaTheme="minorHAnsi" w:hAnsi="Calibri" w:cs="Calibri"/>
          <w:color w:val="000000"/>
          <w:lang w:eastAsia="en-US"/>
        </w:rPr>
        <w:t xml:space="preserve"> control de calidad de instalación de biodigestores</w:t>
      </w:r>
      <w:r w:rsidR="003C31FC">
        <w:rPr>
          <w:rFonts w:ascii="Calibri" w:eastAsiaTheme="minorHAnsi" w:hAnsi="Calibri" w:cs="Calibri"/>
          <w:color w:val="000000"/>
          <w:lang w:eastAsia="en-US"/>
        </w:rPr>
        <w:t xml:space="preserve"> de la Actividad 3: "</w:t>
      </w:r>
      <w:r w:rsidR="006857AC">
        <w:rPr>
          <w:rFonts w:ascii="Calibri" w:eastAsiaTheme="minorHAnsi" w:hAnsi="Calibri" w:cs="Calibri"/>
          <w:color w:val="000000"/>
          <w:lang w:eastAsia="en-US"/>
        </w:rPr>
        <w:t>Implementación, monitoreo y caracterización de biodigestores</w:t>
      </w:r>
      <w:r w:rsidR="006857AC">
        <w:t>”</w:t>
      </w: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164139" w:rsidRDefault="00070684" w:rsidP="00164139">
      <w:pPr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b/>
          <w:color w:val="000000"/>
          <w:lang w:eastAsia="en-US"/>
        </w:rPr>
        <w:t>El</w:t>
      </w:r>
      <w:r w:rsidR="00164139" w:rsidRPr="00EB664B">
        <w:rPr>
          <w:rFonts w:ascii="Calibri" w:eastAsiaTheme="minorHAnsi" w:hAnsi="Calibri" w:cs="Calibri"/>
          <w:b/>
          <w:color w:val="000000"/>
          <w:lang w:eastAsia="en-US"/>
        </w:rPr>
        <w:t xml:space="preserve"> objetivo específico del documento </w:t>
      </w:r>
      <w:r>
        <w:rPr>
          <w:rFonts w:ascii="Calibri" w:eastAsiaTheme="minorHAnsi" w:hAnsi="Calibri" w:cs="Calibri"/>
          <w:b/>
          <w:color w:val="000000"/>
          <w:lang w:eastAsia="en-US"/>
        </w:rPr>
        <w:t>es</w:t>
      </w:r>
      <w:r w:rsidR="00164139" w:rsidRPr="00EB664B">
        <w:rPr>
          <w:rFonts w:ascii="Calibri" w:eastAsiaTheme="minorHAnsi" w:hAnsi="Calibri" w:cs="Calibri"/>
          <w:color w:val="000000"/>
          <w:lang w:eastAsia="en-US"/>
        </w:rPr>
        <w:t xml:space="preserve">: </w:t>
      </w:r>
    </w:p>
    <w:p w:rsidR="00164139" w:rsidRPr="00ED6870" w:rsidRDefault="00E25DFA" w:rsidP="00164139">
      <w:pPr>
        <w:pStyle w:val="Prrafodelista"/>
        <w:numPr>
          <w:ilvl w:val="0"/>
          <w:numId w:val="30"/>
        </w:numPr>
        <w:rPr>
          <w:rFonts w:ascii="Calibri" w:eastAsiaTheme="minorHAnsi" w:hAnsi="Calibri" w:cs="Calibri"/>
          <w:color w:val="000000"/>
          <w:lang w:val="es-ES"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I</w:t>
      </w:r>
      <w:r w:rsidR="000923F7">
        <w:rPr>
          <w:rFonts w:ascii="Calibri" w:eastAsiaTheme="minorHAnsi" w:hAnsi="Calibri" w:cs="Calibri"/>
          <w:color w:val="000000"/>
          <w:lang w:eastAsia="en-US"/>
        </w:rPr>
        <w:t>nformar sobre el</w:t>
      </w:r>
      <w:r w:rsidR="003C31FC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1873B6">
        <w:rPr>
          <w:rFonts w:ascii="Calibri" w:eastAsiaTheme="minorHAnsi" w:hAnsi="Calibri" w:cs="Calibri"/>
          <w:color w:val="000000"/>
          <w:lang w:eastAsia="en-US"/>
        </w:rPr>
        <w:t>protocolo</w:t>
      </w:r>
      <w:r w:rsidR="00164139">
        <w:rPr>
          <w:rFonts w:ascii="Calibri" w:eastAsiaTheme="minorHAnsi" w:hAnsi="Calibri" w:cs="Calibri"/>
          <w:color w:val="000000"/>
          <w:lang w:eastAsia="en-US"/>
        </w:rPr>
        <w:t xml:space="preserve"> de control de calidad</w:t>
      </w:r>
      <w:r w:rsidR="001873B6">
        <w:rPr>
          <w:rFonts w:ascii="Calibri" w:eastAsiaTheme="minorHAnsi" w:hAnsi="Calibri" w:cs="Calibri"/>
          <w:color w:val="000000"/>
          <w:lang w:eastAsia="en-US"/>
        </w:rPr>
        <w:t xml:space="preserve"> de biodigestores</w:t>
      </w:r>
      <w:r>
        <w:rPr>
          <w:rFonts w:ascii="Calibri" w:eastAsiaTheme="minorHAnsi" w:hAnsi="Calibri" w:cs="Calibri"/>
          <w:color w:val="000000"/>
          <w:lang w:eastAsia="en-US"/>
        </w:rPr>
        <w:t>.</w:t>
      </w:r>
    </w:p>
    <w:p w:rsidR="00164139" w:rsidRDefault="00164139" w:rsidP="00164139">
      <w:r w:rsidRPr="00EB664B">
        <w:rPr>
          <w:b/>
        </w:rPr>
        <w:t>La metodología</w:t>
      </w:r>
      <w:r>
        <w:t xml:space="preserve"> para establecer </w:t>
      </w:r>
      <w:r w:rsidR="000923F7">
        <w:t>este proceso</w:t>
      </w:r>
      <w:r>
        <w:t xml:space="preserve"> está basada en las experiencias previas en proyectos y programas de difusión de biodigestores</w:t>
      </w:r>
    </w:p>
    <w:p w:rsidR="001873B6" w:rsidRDefault="001873B6" w:rsidP="001873B6">
      <w:pPr>
        <w:pStyle w:val="Ttulo1"/>
        <w:numPr>
          <w:ilvl w:val="0"/>
          <w:numId w:val="2"/>
        </w:numPr>
      </w:pPr>
      <w:r>
        <w:t>Control de calidad Biodigestores de bajo costo</w:t>
      </w:r>
    </w:p>
    <w:p w:rsidR="001873B6" w:rsidRDefault="001873B6" w:rsidP="001873B6">
      <w:r>
        <w:t xml:space="preserve">Los biodigestores de bajo costo son aquellos que evitan la </w:t>
      </w:r>
      <w:r w:rsidR="00E200EC">
        <w:t>incorporación</w:t>
      </w:r>
      <w:r>
        <w:t xml:space="preserve"> de sistemas </w:t>
      </w:r>
      <w:r w:rsidR="00E200EC">
        <w:t>activos</w:t>
      </w:r>
      <w:r>
        <w:t xml:space="preserve"> de agitación y/o </w:t>
      </w:r>
      <w:r w:rsidR="00E200EC">
        <w:t>calefacción</w:t>
      </w:r>
      <w:r w:rsidR="003C31FC">
        <w:rPr>
          <w:rStyle w:val="Refdenotaalpie"/>
        </w:rPr>
        <w:footnoteReference w:id="1"/>
      </w:r>
      <w:r>
        <w:t xml:space="preserve">. En general, estos sistemas tratan de aprovechar fenómenos naturales para el buen funcionamiento de los biodigestores (gravedad, </w:t>
      </w:r>
      <w:r w:rsidR="00E200EC">
        <w:t>hidráulica</w:t>
      </w:r>
      <w:r>
        <w:t xml:space="preserve">, calefacción solar, </w:t>
      </w:r>
      <w:r w:rsidR="00E200EC">
        <w:t>etc.</w:t>
      </w:r>
      <w:r>
        <w:t>)</w:t>
      </w:r>
      <w:r w:rsidR="00E200EC">
        <w:t>. Los modelos de biodigestores de bajo costo más conocidos son los</w:t>
      </w:r>
      <w:r w:rsidR="00CA0CF0">
        <w:t xml:space="preserve"> de</w:t>
      </w:r>
      <w:r w:rsidR="00894537">
        <w:t xml:space="preserve"> domo fijo, </w:t>
      </w:r>
      <w:r w:rsidR="00E200EC">
        <w:t>domo flotante y los biodigestores plásticos</w:t>
      </w:r>
      <w:r w:rsidR="00163B0D">
        <w:rPr>
          <w:rStyle w:val="Refdenotaalpie"/>
        </w:rPr>
        <w:footnoteReference w:id="2"/>
      </w:r>
      <w:r w:rsidR="00E200EC">
        <w:t>.</w:t>
      </w:r>
    </w:p>
    <w:p w:rsidR="00AB4597" w:rsidRDefault="00E200EC" w:rsidP="001873B6">
      <w:r>
        <w:t>En Ecuador</w:t>
      </w:r>
      <w:r w:rsidR="00483A96">
        <w:t>,</w:t>
      </w:r>
      <w:r>
        <w:t xml:space="preserve"> </w:t>
      </w:r>
      <w:r w:rsidR="00483A96">
        <w:t>l</w:t>
      </w:r>
      <w:r>
        <w:t>os biodigestores de bajo costo que se vienen instalando son los plásticos, ya</w:t>
      </w:r>
      <w:r w:rsidR="00894537">
        <w:t xml:space="preserve"> sean de geomembrana de PVC, polietileno</w:t>
      </w:r>
      <w:r>
        <w:t xml:space="preserve"> o plástico de invernadero. Han existido múltiples experiencias de instalación de biodigestores, pero nunca se ha realizado un </w:t>
      </w:r>
      <w:r w:rsidR="00894537">
        <w:t>C</w:t>
      </w:r>
      <w:r>
        <w:t xml:space="preserve">ontrol de </w:t>
      </w:r>
      <w:r w:rsidR="00894537">
        <w:t>C</w:t>
      </w:r>
      <w:r>
        <w:t xml:space="preserve">alidad </w:t>
      </w:r>
      <w:r w:rsidR="00AB4597">
        <w:t>(</w:t>
      </w:r>
      <w:proofErr w:type="spellStart"/>
      <w:r w:rsidR="00160D44">
        <w:t>CdC</w:t>
      </w:r>
      <w:proofErr w:type="spellEnd"/>
      <w:r w:rsidR="00AB4597">
        <w:t xml:space="preserve">) </w:t>
      </w:r>
      <w:r>
        <w:t>externo</w:t>
      </w:r>
      <w:r w:rsidR="00F629A1">
        <w:t xml:space="preserve"> de las mismas. </w:t>
      </w:r>
      <w:r w:rsidR="00AB4597">
        <w:t xml:space="preserve">Este </w:t>
      </w:r>
      <w:proofErr w:type="spellStart"/>
      <w:r w:rsidR="00160D44">
        <w:t>CdC</w:t>
      </w:r>
      <w:proofErr w:type="spellEnd"/>
      <w:r w:rsidR="00AB4597">
        <w:t xml:space="preserve"> se realiza ya en campo, con el sistema instalado, y no considera los protocolos internos de cada empresa proveedora de tecnología o de los fabricantes de materiales, antes de la instalación del biodigestor.</w:t>
      </w:r>
    </w:p>
    <w:p w:rsidR="00F018DA" w:rsidRDefault="00F018DA" w:rsidP="001873B6">
      <w:r>
        <w:t xml:space="preserve">Para el presente </w:t>
      </w:r>
      <w:r w:rsidR="00483A96">
        <w:t>proyecto</w:t>
      </w:r>
      <w:r>
        <w:t xml:space="preserve"> se realizará</w:t>
      </w:r>
      <w:r w:rsidR="00E25DFA">
        <w:t>n</w:t>
      </w:r>
      <w:r>
        <w:t xml:space="preserve"> dos actividades de control de calidad, una puntual de validación de la instalación</w:t>
      </w:r>
      <w:r w:rsidR="00572FF9">
        <w:t xml:space="preserve"> mediante una visita</w:t>
      </w:r>
      <w:r>
        <w:t>, y otr</w:t>
      </w:r>
      <w:r w:rsidR="00320800">
        <w:t>a</w:t>
      </w:r>
      <w:r>
        <w:t xml:space="preserve"> prolongad</w:t>
      </w:r>
      <w:r w:rsidR="00ED3316">
        <w:t>a</w:t>
      </w:r>
      <w:r>
        <w:t xml:space="preserve"> en el tipo para </w:t>
      </w:r>
      <w:r w:rsidR="005E3C30">
        <w:t>evaluar</w:t>
      </w:r>
      <w:r>
        <w:t xml:space="preserve"> e</w:t>
      </w:r>
      <w:r w:rsidR="00ED3316">
        <w:t>l</w:t>
      </w:r>
      <w:r>
        <w:t xml:space="preserve"> </w:t>
      </w:r>
      <w:r w:rsidR="005E3C30">
        <w:t>funcionamiento</w:t>
      </w:r>
      <w:r>
        <w:t xml:space="preserve"> del </w:t>
      </w:r>
      <w:r w:rsidR="005E3C30">
        <w:t>biodigestor</w:t>
      </w:r>
      <w:r w:rsidR="00572FF9">
        <w:t xml:space="preserve"> mediante monitoreo</w:t>
      </w:r>
      <w:r>
        <w:t>.</w:t>
      </w:r>
    </w:p>
    <w:bookmarkEnd w:id="0"/>
    <w:p w:rsidR="00F018DA" w:rsidRPr="00F018DA" w:rsidRDefault="00160D44" w:rsidP="00423E6A">
      <w:pPr>
        <w:pStyle w:val="Ttulo2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lastRenderedPageBreak/>
        <w:t>C</w:t>
      </w:r>
      <w:r w:rsidR="000F6522">
        <w:rPr>
          <w:lang w:val="es-ES_tradnl"/>
        </w:rPr>
        <w:t xml:space="preserve">ontrol de </w:t>
      </w:r>
      <w:r>
        <w:rPr>
          <w:lang w:val="es-ES_tradnl"/>
        </w:rPr>
        <w:t>C</w:t>
      </w:r>
      <w:r w:rsidR="000F6522">
        <w:rPr>
          <w:lang w:val="es-ES_tradnl"/>
        </w:rPr>
        <w:t>alidad de</w:t>
      </w:r>
      <w:r w:rsidR="00F018DA">
        <w:rPr>
          <w:lang w:val="es-ES_tradnl"/>
        </w:rPr>
        <w:t xml:space="preserve"> instalación</w:t>
      </w:r>
    </w:p>
    <w:p w:rsidR="0072711D" w:rsidRDefault="0072711D" w:rsidP="00A970EE">
      <w:pPr>
        <w:rPr>
          <w:lang w:val="es-ES_tradnl"/>
        </w:rPr>
      </w:pPr>
      <w:r>
        <w:rPr>
          <w:lang w:val="es-ES_tradnl"/>
        </w:rPr>
        <w:t xml:space="preserve">El proceso de control </w:t>
      </w:r>
      <w:r w:rsidR="00164139">
        <w:rPr>
          <w:lang w:val="es-ES_tradnl"/>
        </w:rPr>
        <w:t>d</w:t>
      </w:r>
      <w:r>
        <w:rPr>
          <w:lang w:val="es-ES_tradnl"/>
        </w:rPr>
        <w:t xml:space="preserve">e calidad </w:t>
      </w:r>
      <w:r w:rsidR="00F018DA">
        <w:rPr>
          <w:lang w:val="es-ES_tradnl"/>
        </w:rPr>
        <w:t xml:space="preserve">de la instalación se realizará </w:t>
      </w:r>
      <w:r w:rsidR="001A3ECB">
        <w:rPr>
          <w:lang w:val="es-ES_tradnl"/>
        </w:rPr>
        <w:t xml:space="preserve">cuando haya </w:t>
      </w:r>
      <w:r w:rsidR="00F018DA">
        <w:rPr>
          <w:lang w:val="es-ES_tradnl"/>
        </w:rPr>
        <w:t>transcurrido al menos un Tiempo de Retención Hidráulico</w:t>
      </w:r>
      <w:r w:rsidR="005B6EC0">
        <w:rPr>
          <w:rStyle w:val="Refdenotaalpie"/>
          <w:lang w:val="es-ES_tradnl"/>
        </w:rPr>
        <w:footnoteReference w:id="3"/>
      </w:r>
      <w:r w:rsidR="00F018DA">
        <w:rPr>
          <w:lang w:val="es-ES_tradnl"/>
        </w:rPr>
        <w:t xml:space="preserve"> (establecido en el diseño del biodigestor) desde la instalación. También se puede realizar antes </w:t>
      </w:r>
      <w:r w:rsidR="001A3ECB">
        <w:rPr>
          <w:lang w:val="es-ES_tradnl"/>
        </w:rPr>
        <w:t>bajo</w:t>
      </w:r>
      <w:r w:rsidR="00F018DA">
        <w:rPr>
          <w:lang w:val="es-ES_tradnl"/>
        </w:rPr>
        <w:t xml:space="preserve"> propuesta del proveedor de tecnología.</w:t>
      </w:r>
    </w:p>
    <w:p w:rsidR="00D5783B" w:rsidRDefault="0072711D" w:rsidP="00A970EE">
      <w:pPr>
        <w:pStyle w:val="Prrafodelista"/>
        <w:numPr>
          <w:ilvl w:val="0"/>
          <w:numId w:val="32"/>
        </w:numPr>
        <w:rPr>
          <w:lang w:val="es-ES_tradnl"/>
        </w:rPr>
      </w:pPr>
      <w:r w:rsidRPr="009818A7">
        <w:rPr>
          <w:lang w:val="es-ES_tradnl"/>
        </w:rPr>
        <w:t>Verificación de la calidad del material usado para el biodigestor</w:t>
      </w:r>
      <w:r w:rsidR="00AB4597">
        <w:rPr>
          <w:lang w:val="es-ES_tradnl"/>
        </w:rPr>
        <w:t xml:space="preserve">: </w:t>
      </w:r>
    </w:p>
    <w:p w:rsidR="00EE6A3B" w:rsidRPr="00EE6A3B" w:rsidRDefault="00050E05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 xml:space="preserve">Estado del biodigestor.- </w:t>
      </w:r>
      <w:r w:rsidR="00163B0D">
        <w:rPr>
          <w:lang w:val="es-ES_tradnl"/>
        </w:rPr>
        <w:t xml:space="preserve">Si el </w:t>
      </w:r>
      <w:r w:rsidR="001A3ECB">
        <w:rPr>
          <w:lang w:val="es-ES_tradnl"/>
        </w:rPr>
        <w:t>b</w:t>
      </w:r>
      <w:r w:rsidR="00EE6A3B">
        <w:rPr>
          <w:lang w:val="es-ES_tradnl"/>
        </w:rPr>
        <w:t>iodigestor</w:t>
      </w:r>
      <w:r w:rsidR="00163B0D">
        <w:rPr>
          <w:lang w:val="es-ES_tradnl"/>
        </w:rPr>
        <w:t xml:space="preserve"> está</w:t>
      </w:r>
      <w:r w:rsidR="00EE6A3B">
        <w:rPr>
          <w:lang w:val="es-ES_tradnl"/>
        </w:rPr>
        <w:t xml:space="preserve"> inflado</w:t>
      </w:r>
      <w:r w:rsidR="00163B0D">
        <w:rPr>
          <w:lang w:val="es-ES_tradnl"/>
        </w:rPr>
        <w:t xml:space="preserve"> es un buen indicador de hermeticidad.</w:t>
      </w:r>
      <w:r w:rsidR="000B6D5B">
        <w:rPr>
          <w:lang w:val="es-ES_tradnl"/>
        </w:rPr>
        <w:t xml:space="preserve"> </w:t>
      </w:r>
      <w:r w:rsidR="001A3ECB">
        <w:rPr>
          <w:lang w:val="es-ES_tradnl"/>
        </w:rPr>
        <w:t>Este parámetro adicionalmente se evaluará en</w:t>
      </w:r>
      <w:r>
        <w:rPr>
          <w:lang w:val="es-ES_tradnl"/>
        </w:rPr>
        <w:t xml:space="preserve"> uniones, amarres y soldaduras</w:t>
      </w:r>
      <w:r w:rsidR="001A3ECB">
        <w:rPr>
          <w:lang w:val="es-ES_tradnl"/>
        </w:rPr>
        <w:t>, como recurso se utilizará una mezcla</w:t>
      </w:r>
      <w:r w:rsidDel="00050E05">
        <w:rPr>
          <w:lang w:val="es-ES_tradnl"/>
        </w:rPr>
        <w:t xml:space="preserve"> </w:t>
      </w:r>
      <w:r w:rsidR="001A3ECB">
        <w:rPr>
          <w:lang w:val="es-ES_tradnl"/>
        </w:rPr>
        <w:t>de</w:t>
      </w:r>
      <w:r w:rsidR="000B6D5B">
        <w:rPr>
          <w:lang w:val="es-ES_tradnl"/>
        </w:rPr>
        <w:t xml:space="preserve"> </w:t>
      </w:r>
      <w:r w:rsidR="00B83316">
        <w:rPr>
          <w:lang w:val="es-ES_tradnl"/>
        </w:rPr>
        <w:t xml:space="preserve">agua </w:t>
      </w:r>
      <w:r w:rsidR="000B6D5B">
        <w:rPr>
          <w:lang w:val="es-ES_tradnl"/>
        </w:rPr>
        <w:t>y jabón</w:t>
      </w:r>
      <w:r w:rsidR="00B83316">
        <w:rPr>
          <w:lang w:val="es-ES_tradnl"/>
        </w:rPr>
        <w:t xml:space="preserve">, la presencia de </w:t>
      </w:r>
      <w:r w:rsidR="00CE18BF">
        <w:rPr>
          <w:lang w:val="es-ES_tradnl"/>
        </w:rPr>
        <w:t>burbujas</w:t>
      </w:r>
      <w:r w:rsidR="00B83316">
        <w:rPr>
          <w:lang w:val="es-ES_tradnl"/>
        </w:rPr>
        <w:t xml:space="preserve"> será un indicio de fugas</w:t>
      </w:r>
      <w:r w:rsidR="000B6D5B">
        <w:rPr>
          <w:lang w:val="es-ES_tradnl"/>
        </w:rPr>
        <w:t>.</w:t>
      </w:r>
    </w:p>
    <w:p w:rsidR="0072711D" w:rsidRDefault="00AB4597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 xml:space="preserve">Tipo de plástico </w:t>
      </w:r>
      <w:r w:rsidR="00D5783B">
        <w:rPr>
          <w:lang w:val="es-ES_tradnl"/>
        </w:rPr>
        <w:t>(</w:t>
      </w:r>
      <w:r>
        <w:rPr>
          <w:lang w:val="es-ES_tradnl"/>
        </w:rPr>
        <w:t>plástico de invernadero, geomembra</w:t>
      </w:r>
      <w:r w:rsidR="00D5783B">
        <w:rPr>
          <w:lang w:val="es-ES_tradnl"/>
        </w:rPr>
        <w:t>na de PVC o de polietileno)</w:t>
      </w:r>
      <w:r w:rsidR="00E25DFA">
        <w:rPr>
          <w:lang w:val="es-ES_tradnl"/>
        </w:rPr>
        <w:t>.</w:t>
      </w:r>
      <w:r w:rsidR="00050E05">
        <w:rPr>
          <w:lang w:val="es-ES_tradnl"/>
        </w:rPr>
        <w:t xml:space="preserve">- </w:t>
      </w:r>
      <w:r w:rsidR="00CE18BF">
        <w:rPr>
          <w:lang w:val="es-ES_tradnl"/>
        </w:rPr>
        <w:t>Se evaluará en función de lo ofertado (cumple o no cumple).</w:t>
      </w:r>
    </w:p>
    <w:p w:rsidR="00D5783B" w:rsidRDefault="00D5783B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Color</w:t>
      </w:r>
      <w:r w:rsidR="00C36E45">
        <w:rPr>
          <w:lang w:val="es-ES_tradnl"/>
        </w:rPr>
        <w:t xml:space="preserve"> del plástico o geomembrana</w:t>
      </w:r>
      <w:r w:rsidR="00E25DFA">
        <w:rPr>
          <w:lang w:val="es-ES_tradnl"/>
        </w:rPr>
        <w:t>.</w:t>
      </w:r>
      <w:r w:rsidR="007B548B">
        <w:rPr>
          <w:lang w:val="es-ES_tradnl"/>
        </w:rPr>
        <w:t>-</w:t>
      </w:r>
      <w:r w:rsidR="00CE18BF">
        <w:rPr>
          <w:lang w:val="es-ES_tradnl"/>
        </w:rPr>
        <w:t xml:space="preserve"> Se evaluará en función de lo ofertado (cumple o no cumple).</w:t>
      </w:r>
    </w:p>
    <w:p w:rsidR="00D5783B" w:rsidRDefault="00D5783B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Grosor</w:t>
      </w:r>
      <w:r w:rsidR="00C36E45">
        <w:rPr>
          <w:lang w:val="es-ES_tradnl"/>
        </w:rPr>
        <w:t xml:space="preserve"> del plástico o geomembrana</w:t>
      </w:r>
      <w:r w:rsidR="00E25DFA">
        <w:rPr>
          <w:lang w:val="es-ES_tradnl"/>
        </w:rPr>
        <w:t>.</w:t>
      </w:r>
      <w:r w:rsidR="007B548B">
        <w:rPr>
          <w:lang w:val="es-ES_tradnl"/>
        </w:rPr>
        <w:t>-</w:t>
      </w:r>
      <w:r w:rsidR="00CE18BF" w:rsidRPr="00CE18BF">
        <w:rPr>
          <w:lang w:val="es-ES_tradnl"/>
        </w:rPr>
        <w:t xml:space="preserve"> </w:t>
      </w:r>
      <w:r w:rsidR="00CE18BF">
        <w:rPr>
          <w:lang w:val="es-ES_tradnl"/>
        </w:rPr>
        <w:t>Se evaluará en función de lo ofertado (cumple o no cumple).</w:t>
      </w:r>
    </w:p>
    <w:p w:rsidR="00F018DA" w:rsidRDefault="00F018DA" w:rsidP="00A970EE">
      <w:pPr>
        <w:pStyle w:val="Prrafodelista"/>
        <w:numPr>
          <w:ilvl w:val="0"/>
          <w:numId w:val="32"/>
        </w:numPr>
        <w:rPr>
          <w:lang w:val="es-ES_tradnl"/>
        </w:rPr>
      </w:pPr>
      <w:r w:rsidRPr="009818A7">
        <w:rPr>
          <w:lang w:val="es-ES_tradnl"/>
        </w:rPr>
        <w:t>Verificación de las medidas de protección de</w:t>
      </w:r>
      <w:r>
        <w:rPr>
          <w:lang w:val="es-ES_tradnl"/>
        </w:rPr>
        <w:t>l</w:t>
      </w:r>
      <w:r w:rsidRPr="009818A7">
        <w:rPr>
          <w:lang w:val="es-ES_tradnl"/>
        </w:rPr>
        <w:t xml:space="preserve"> biodigestor (vallado y cubierta</w:t>
      </w:r>
      <w:r>
        <w:rPr>
          <w:lang w:val="es-ES_tradnl"/>
        </w:rPr>
        <w:t>)</w:t>
      </w:r>
      <w:r w:rsidR="00CA0CF0">
        <w:rPr>
          <w:lang w:val="es-ES_tradnl"/>
        </w:rPr>
        <w:t>.</w:t>
      </w:r>
    </w:p>
    <w:p w:rsidR="00F018DA" w:rsidRDefault="00F018DA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 xml:space="preserve">Si el biodigestor usa geomembrana de polietileno no es imprescindible el vallado y cubierta. </w:t>
      </w:r>
    </w:p>
    <w:p w:rsidR="00F018DA" w:rsidRDefault="00F018DA" w:rsidP="00A970EE">
      <w:pPr>
        <w:pStyle w:val="Prrafodelista"/>
        <w:numPr>
          <w:ilvl w:val="1"/>
          <w:numId w:val="32"/>
        </w:numPr>
        <w:rPr>
          <w:lang w:val="es-ES_tradnl"/>
        </w:rPr>
      </w:pPr>
      <w:r w:rsidRPr="002B481E">
        <w:rPr>
          <w:lang w:val="es-ES_tradnl"/>
        </w:rPr>
        <w:t>Si el biodigestor se encuentra por encima de 3000msnm, la cubierta debe ser translúcida</w:t>
      </w:r>
      <w:r w:rsidR="00E25DFA">
        <w:rPr>
          <w:lang w:val="es-ES_tradnl"/>
        </w:rPr>
        <w:t>.</w:t>
      </w:r>
    </w:p>
    <w:p w:rsidR="00F018DA" w:rsidRPr="00F018DA" w:rsidRDefault="00F018DA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Verificar que el vallado impide el acceso de animales pequeños como cachorros</w:t>
      </w:r>
      <w:r w:rsidR="00E25DFA">
        <w:rPr>
          <w:lang w:val="es-ES_tradnl"/>
        </w:rPr>
        <w:t>.</w:t>
      </w:r>
    </w:p>
    <w:p w:rsidR="0072711D" w:rsidRDefault="0072711D" w:rsidP="00A970EE">
      <w:pPr>
        <w:pStyle w:val="Prrafodelista"/>
        <w:numPr>
          <w:ilvl w:val="0"/>
          <w:numId w:val="32"/>
        </w:numPr>
        <w:rPr>
          <w:lang w:val="es-ES_tradnl"/>
        </w:rPr>
      </w:pPr>
      <w:r w:rsidRPr="009818A7">
        <w:rPr>
          <w:lang w:val="es-ES_tradnl"/>
        </w:rPr>
        <w:t>Verificación de las dimensiones de biodigestor</w:t>
      </w:r>
      <w:r w:rsidR="00AB4597">
        <w:rPr>
          <w:lang w:val="es-ES_tradnl"/>
        </w:rPr>
        <w:t xml:space="preserve">: </w:t>
      </w:r>
    </w:p>
    <w:p w:rsidR="00D5783B" w:rsidRDefault="00D5783B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Ancho, largo y profundidad</w:t>
      </w:r>
      <w:r w:rsidR="00E25DFA">
        <w:rPr>
          <w:lang w:val="es-ES_tradnl"/>
        </w:rPr>
        <w:t>.</w:t>
      </w:r>
      <w:r>
        <w:rPr>
          <w:lang w:val="es-ES_tradnl"/>
        </w:rPr>
        <w:t xml:space="preserve"> </w:t>
      </w:r>
    </w:p>
    <w:p w:rsidR="00D5783B" w:rsidRDefault="00D5783B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Estimación volumen de zanja</w:t>
      </w:r>
      <w:r w:rsidR="00E25DFA">
        <w:rPr>
          <w:lang w:val="es-ES_tradnl"/>
        </w:rPr>
        <w:t>.</w:t>
      </w:r>
    </w:p>
    <w:p w:rsidR="00F018DA" w:rsidRDefault="00F018DA" w:rsidP="00A970EE">
      <w:pPr>
        <w:pStyle w:val="Prrafodelista"/>
        <w:numPr>
          <w:ilvl w:val="0"/>
          <w:numId w:val="32"/>
        </w:numPr>
        <w:rPr>
          <w:lang w:val="es-ES_tradnl"/>
        </w:rPr>
      </w:pPr>
      <w:r w:rsidRPr="009818A7">
        <w:rPr>
          <w:lang w:val="es-ES_tradnl"/>
        </w:rPr>
        <w:t>Verificación de que el usuario conoce la operación y mantenimiento</w:t>
      </w:r>
    </w:p>
    <w:p w:rsidR="00F018DA" w:rsidRDefault="00483A96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C</w:t>
      </w:r>
      <w:r w:rsidR="00F018DA">
        <w:rPr>
          <w:lang w:val="es-ES_tradnl"/>
        </w:rPr>
        <w:t>arga diaria (cuanto estiércol y cuanto agua)</w:t>
      </w:r>
      <w:r w:rsidR="00E25DFA">
        <w:rPr>
          <w:lang w:val="es-ES_tradnl"/>
        </w:rPr>
        <w:t>.</w:t>
      </w:r>
    </w:p>
    <w:p w:rsidR="00F018DA" w:rsidRDefault="00483A96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A</w:t>
      </w:r>
      <w:r w:rsidR="00F018DA">
        <w:rPr>
          <w:lang w:val="es-ES_tradnl"/>
        </w:rPr>
        <w:t>ctividades de mantenimiento (válvula de alivio, filtro sulfhídrico y condensación agua en tuberías)</w:t>
      </w:r>
      <w:r w:rsidR="00E25DFA">
        <w:rPr>
          <w:lang w:val="es-ES_tradnl"/>
        </w:rPr>
        <w:t>.</w:t>
      </w:r>
    </w:p>
    <w:p w:rsidR="00F018DA" w:rsidRPr="00F018DA" w:rsidRDefault="00483A96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C</w:t>
      </w:r>
      <w:r w:rsidR="00F018DA">
        <w:rPr>
          <w:lang w:val="es-ES_tradnl"/>
        </w:rPr>
        <w:t xml:space="preserve">omprobar Tiempo de Retención </w:t>
      </w:r>
      <w:r w:rsidR="005E3C30">
        <w:rPr>
          <w:lang w:val="es-ES_tradnl"/>
        </w:rPr>
        <w:t>hidráulico</w:t>
      </w:r>
      <w:r w:rsidR="00F018DA">
        <w:rPr>
          <w:lang w:val="es-ES_tradnl"/>
        </w:rPr>
        <w:t xml:space="preserve"> a partir de volumen de zanja estimado y carga diaria.</w:t>
      </w:r>
    </w:p>
    <w:p w:rsidR="0072711D" w:rsidRDefault="0072711D" w:rsidP="00A970EE">
      <w:pPr>
        <w:pStyle w:val="Prrafodelista"/>
        <w:numPr>
          <w:ilvl w:val="0"/>
          <w:numId w:val="32"/>
        </w:numPr>
        <w:rPr>
          <w:lang w:val="es-ES_tradnl"/>
        </w:rPr>
      </w:pPr>
      <w:r w:rsidRPr="009818A7">
        <w:rPr>
          <w:lang w:val="es-ES_tradnl"/>
        </w:rPr>
        <w:t xml:space="preserve">Verificación de que se produce biogás y este </w:t>
      </w:r>
      <w:proofErr w:type="spellStart"/>
      <w:r w:rsidRPr="009818A7">
        <w:rPr>
          <w:lang w:val="es-ES_tradnl"/>
        </w:rPr>
        <w:t>combustiona</w:t>
      </w:r>
      <w:proofErr w:type="spellEnd"/>
      <w:r w:rsidRPr="009818A7">
        <w:rPr>
          <w:lang w:val="es-ES_tradnl"/>
        </w:rPr>
        <w:t xml:space="preserve"> en el lugar de uso</w:t>
      </w:r>
    </w:p>
    <w:p w:rsidR="002B481E" w:rsidRPr="009818A7" w:rsidRDefault="002B481E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Abriendo la llave en el punto de consumo</w:t>
      </w:r>
      <w:r w:rsidR="00EE6A3B">
        <w:rPr>
          <w:lang w:val="es-ES_tradnl"/>
        </w:rPr>
        <w:t>,</w:t>
      </w:r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combustionar</w:t>
      </w:r>
      <w:proofErr w:type="spellEnd"/>
      <w:r>
        <w:rPr>
          <w:lang w:val="es-ES_tradnl"/>
        </w:rPr>
        <w:t xml:space="preserve"> el biogás y comprobar que se mantiene estable la llama</w:t>
      </w:r>
      <w:r w:rsidR="00E25DFA">
        <w:rPr>
          <w:lang w:val="es-ES_tradnl"/>
        </w:rPr>
        <w:t>.</w:t>
      </w:r>
    </w:p>
    <w:p w:rsidR="0072711D" w:rsidRDefault="0072711D" w:rsidP="00A970EE">
      <w:pPr>
        <w:pStyle w:val="Prrafodelista"/>
        <w:numPr>
          <w:ilvl w:val="0"/>
          <w:numId w:val="32"/>
        </w:numPr>
        <w:rPr>
          <w:lang w:val="es-ES_tradnl"/>
        </w:rPr>
      </w:pPr>
      <w:r w:rsidRPr="009818A7">
        <w:rPr>
          <w:lang w:val="es-ES_tradnl"/>
        </w:rPr>
        <w:t>Verificación de que el biol no produce olores</w:t>
      </w:r>
    </w:p>
    <w:p w:rsidR="002B481E" w:rsidRDefault="00483A96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T</w:t>
      </w:r>
      <w:r w:rsidR="002B481E">
        <w:rPr>
          <w:lang w:val="es-ES_tradnl"/>
        </w:rPr>
        <w:t xml:space="preserve">omar una </w:t>
      </w:r>
      <w:r w:rsidR="00A970EE">
        <w:rPr>
          <w:lang w:val="es-ES_tradnl"/>
        </w:rPr>
        <w:t>muestra de biol e identificar la presencia de olores</w:t>
      </w:r>
      <w:r w:rsidR="00EE6A3B">
        <w:rPr>
          <w:lang w:val="es-ES_tradnl"/>
        </w:rPr>
        <w:t xml:space="preserve">. </w:t>
      </w:r>
      <w:r w:rsidR="00A970EE">
        <w:rPr>
          <w:lang w:val="es-ES_tradnl"/>
        </w:rPr>
        <w:t xml:space="preserve"> El mismo no debe ser semejante</w:t>
      </w:r>
      <w:r w:rsidR="00EE6A3B">
        <w:rPr>
          <w:lang w:val="es-ES_tradnl"/>
        </w:rPr>
        <w:t xml:space="preserve"> a estiércol fresco</w:t>
      </w:r>
      <w:r w:rsidR="00E25DFA">
        <w:rPr>
          <w:lang w:val="es-ES_tradnl"/>
        </w:rPr>
        <w:t>.</w:t>
      </w:r>
    </w:p>
    <w:p w:rsidR="00EE6A3B" w:rsidRPr="009818A7" w:rsidRDefault="00483A96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V</w:t>
      </w:r>
      <w:r w:rsidR="00EE6A3B">
        <w:rPr>
          <w:lang w:val="es-ES_tradnl"/>
        </w:rPr>
        <w:t>erificar ausencia de moscas en torno a la salida de biol</w:t>
      </w:r>
      <w:r w:rsidR="00E25DFA">
        <w:rPr>
          <w:lang w:val="es-ES_tradnl"/>
        </w:rPr>
        <w:t>.</w:t>
      </w:r>
    </w:p>
    <w:p w:rsidR="0072711D" w:rsidRDefault="0072711D" w:rsidP="00A970EE">
      <w:pPr>
        <w:pStyle w:val="Prrafodelista"/>
        <w:numPr>
          <w:ilvl w:val="0"/>
          <w:numId w:val="32"/>
        </w:numPr>
        <w:rPr>
          <w:lang w:val="es-ES_tradnl"/>
        </w:rPr>
      </w:pPr>
      <w:r w:rsidRPr="009818A7">
        <w:rPr>
          <w:lang w:val="es-ES_tradnl"/>
        </w:rPr>
        <w:t>Verificación de que el usuario conoce el aprovechamiento del biogás y biol</w:t>
      </w:r>
    </w:p>
    <w:p w:rsidR="00EE6A3B" w:rsidRDefault="00483A96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lastRenderedPageBreak/>
        <w:t>U</w:t>
      </w:r>
      <w:r w:rsidR="00EE6A3B">
        <w:rPr>
          <w:lang w:val="es-ES_tradnl"/>
        </w:rPr>
        <w:t>so del biogás: Muestra de encendido y uso por parte del usuario</w:t>
      </w:r>
      <w:r w:rsidR="00CA0CF0">
        <w:rPr>
          <w:lang w:val="es-ES_tradnl"/>
        </w:rPr>
        <w:t>,</w:t>
      </w:r>
      <w:r w:rsidR="00EE6A3B">
        <w:rPr>
          <w:lang w:val="es-ES_tradnl"/>
        </w:rPr>
        <w:t xml:space="preserve"> uso potencial del biogás en la finca</w:t>
      </w:r>
      <w:r w:rsidR="00E25DFA">
        <w:rPr>
          <w:lang w:val="es-ES_tradnl"/>
        </w:rPr>
        <w:t>.</w:t>
      </w:r>
    </w:p>
    <w:p w:rsidR="00EE6A3B" w:rsidRPr="00EE6A3B" w:rsidRDefault="00483A96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U</w:t>
      </w:r>
      <w:r w:rsidR="00EE6A3B">
        <w:rPr>
          <w:lang w:val="es-ES_tradnl"/>
        </w:rPr>
        <w:t>so del biol: muestra de uso actual de biol, y uso potencial</w:t>
      </w:r>
      <w:r w:rsidR="00E25DFA">
        <w:rPr>
          <w:lang w:val="es-ES_tradnl"/>
        </w:rPr>
        <w:t>.</w:t>
      </w:r>
    </w:p>
    <w:p w:rsidR="0072711D" w:rsidRDefault="0072711D" w:rsidP="00A970EE">
      <w:pPr>
        <w:pStyle w:val="Prrafodelista"/>
        <w:numPr>
          <w:ilvl w:val="0"/>
          <w:numId w:val="32"/>
        </w:numPr>
        <w:rPr>
          <w:lang w:val="es-ES_tradnl"/>
        </w:rPr>
      </w:pPr>
      <w:r w:rsidRPr="009818A7">
        <w:rPr>
          <w:lang w:val="es-ES_tradnl"/>
        </w:rPr>
        <w:t>Verificación de satisfacción de usuario</w:t>
      </w:r>
    </w:p>
    <w:p w:rsidR="00EE6A3B" w:rsidRDefault="00EE6A3B" w:rsidP="00A970EE">
      <w:pPr>
        <w:pStyle w:val="Prrafodelista"/>
        <w:numPr>
          <w:ilvl w:val="1"/>
          <w:numId w:val="32"/>
        </w:numPr>
        <w:rPr>
          <w:lang w:val="es-ES_tradnl"/>
        </w:rPr>
      </w:pPr>
      <w:r>
        <w:rPr>
          <w:lang w:val="es-ES_tradnl"/>
        </w:rPr>
        <w:t>¿</w:t>
      </w:r>
      <w:r w:rsidR="00483A96">
        <w:rPr>
          <w:lang w:val="es-ES_tradnl"/>
        </w:rPr>
        <w:t>V</w:t>
      </w:r>
      <w:r>
        <w:rPr>
          <w:lang w:val="es-ES_tradnl"/>
        </w:rPr>
        <w:t>olvería a invertir en un biodigestor?¿se lo ha recomendado a alguno vecino, conocido o familiar?</w:t>
      </w:r>
    </w:p>
    <w:p w:rsidR="005E3C30" w:rsidRDefault="00160D44" w:rsidP="00423E6A">
      <w:pPr>
        <w:pStyle w:val="Ttulo2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C</w:t>
      </w:r>
      <w:r w:rsidR="00A970EE">
        <w:rPr>
          <w:lang w:val="es-ES_tradnl"/>
        </w:rPr>
        <w:t xml:space="preserve">ontrol de </w:t>
      </w:r>
      <w:r>
        <w:rPr>
          <w:lang w:val="es-ES_tradnl"/>
        </w:rPr>
        <w:t>C</w:t>
      </w:r>
      <w:r w:rsidR="00A970EE">
        <w:rPr>
          <w:lang w:val="es-ES_tradnl"/>
        </w:rPr>
        <w:t>alidad de</w:t>
      </w:r>
      <w:r w:rsidR="005E3C30">
        <w:rPr>
          <w:lang w:val="es-ES_tradnl"/>
        </w:rPr>
        <w:t xml:space="preserve"> funcionamiento</w:t>
      </w:r>
    </w:p>
    <w:p w:rsidR="0072711D" w:rsidRPr="005E3C30" w:rsidRDefault="0072711D" w:rsidP="005E3C30">
      <w:pPr>
        <w:spacing w:before="0" w:after="200"/>
        <w:ind w:left="360"/>
        <w:rPr>
          <w:lang w:val="es-ES_tradnl"/>
        </w:rPr>
      </w:pPr>
      <w:r w:rsidRPr="005E3C30">
        <w:rPr>
          <w:lang w:val="es-ES_tradnl"/>
        </w:rPr>
        <w:t>Se realizará un proceso de monitoreo</w:t>
      </w:r>
      <w:r w:rsidR="00F86857">
        <w:rPr>
          <w:rStyle w:val="Refdenotaalpie"/>
          <w:lang w:val="es-ES_tradnl"/>
        </w:rPr>
        <w:footnoteReference w:id="4"/>
      </w:r>
      <w:r w:rsidRPr="005E3C30">
        <w:rPr>
          <w:lang w:val="es-ES_tradnl"/>
        </w:rPr>
        <w:t xml:space="preserve"> de producción de biogás, contenido de metano, y toma de muestras de entradas y salidas al biodigestor durante </w:t>
      </w:r>
      <w:r w:rsidR="005E3C30">
        <w:rPr>
          <w:lang w:val="es-ES_tradnl"/>
        </w:rPr>
        <w:t>varios</w:t>
      </w:r>
      <w:r w:rsidRPr="005E3C30">
        <w:rPr>
          <w:lang w:val="es-ES_tradnl"/>
        </w:rPr>
        <w:t xml:space="preserve"> meses.</w:t>
      </w:r>
      <w:r w:rsidR="005E3C30">
        <w:rPr>
          <w:lang w:val="es-ES_tradnl"/>
        </w:rPr>
        <w:t xml:space="preserve"> Para establecer el funcionamiento del biodigestor este debe estar estabilizado y por tanto las mediciones deben realizarse al menos, a partir de que ya hayan sucedido tres </w:t>
      </w:r>
      <w:r w:rsidR="00D011A0">
        <w:rPr>
          <w:lang w:val="es-ES_tradnl"/>
        </w:rPr>
        <w:t>Tiempos de Retención Hidráulico</w:t>
      </w:r>
      <w:r w:rsidR="005E3C30">
        <w:rPr>
          <w:lang w:val="es-ES_tradnl"/>
        </w:rPr>
        <w:t xml:space="preserve"> </w:t>
      </w:r>
      <w:r w:rsidR="00D011A0">
        <w:rPr>
          <w:lang w:val="es-ES_tradnl"/>
        </w:rPr>
        <w:t>(</w:t>
      </w:r>
      <w:r w:rsidR="00A970EE">
        <w:rPr>
          <w:lang w:val="es-ES_tradnl"/>
        </w:rPr>
        <w:t>establecidos</w:t>
      </w:r>
      <w:r w:rsidR="00D011A0">
        <w:rPr>
          <w:lang w:val="es-ES_tradnl"/>
        </w:rPr>
        <w:t xml:space="preserve"> en el diseño del biodigestor).</w:t>
      </w:r>
      <w:r w:rsidR="00B9528C">
        <w:rPr>
          <w:lang w:val="es-ES_tradnl"/>
        </w:rPr>
        <w:t xml:space="preserve"> Para este monitoreo se requerirá de datos de al menos una semana completa, siendo preferible obtener datos de 1 mes completo.</w:t>
      </w:r>
    </w:p>
    <w:p w:rsidR="005E3C30" w:rsidRDefault="005E3C30" w:rsidP="0072711D">
      <w:pPr>
        <w:pStyle w:val="Prrafodelista"/>
        <w:numPr>
          <w:ilvl w:val="0"/>
          <w:numId w:val="32"/>
        </w:numPr>
        <w:spacing w:before="0" w:after="200"/>
        <w:rPr>
          <w:lang w:val="es-ES_tradnl"/>
        </w:rPr>
      </w:pPr>
      <w:r>
        <w:rPr>
          <w:lang w:val="es-ES_tradnl"/>
        </w:rPr>
        <w:t>Se registrará la masa de estiércol (kg) y agua (l) cargados por día al biodigestor</w:t>
      </w:r>
      <w:r w:rsidR="00E25DFA">
        <w:rPr>
          <w:lang w:val="es-ES_tradnl"/>
        </w:rPr>
        <w:t>.</w:t>
      </w:r>
    </w:p>
    <w:p w:rsidR="005E3C30" w:rsidRDefault="005E3C30" w:rsidP="0072711D">
      <w:pPr>
        <w:pStyle w:val="Prrafodelista"/>
        <w:numPr>
          <w:ilvl w:val="0"/>
          <w:numId w:val="32"/>
        </w:numPr>
        <w:spacing w:before="0" w:after="200"/>
        <w:rPr>
          <w:lang w:val="es-ES_tradnl"/>
        </w:rPr>
      </w:pPr>
      <w:r>
        <w:rPr>
          <w:lang w:val="es-ES_tradnl"/>
        </w:rPr>
        <w:t>Se registrará la producción acumulada de biogás (m</w:t>
      </w:r>
      <w:r w:rsidRPr="005E3C30">
        <w:rPr>
          <w:vertAlign w:val="superscript"/>
          <w:lang w:val="es-ES_tradnl"/>
        </w:rPr>
        <w:t>3</w:t>
      </w:r>
      <w:r>
        <w:rPr>
          <w:lang w:val="es-ES_tradnl"/>
        </w:rPr>
        <w:t>)</w:t>
      </w:r>
      <w:r w:rsidR="00E25DFA">
        <w:rPr>
          <w:lang w:val="es-ES_tradnl"/>
        </w:rPr>
        <w:t>.</w:t>
      </w:r>
    </w:p>
    <w:p w:rsidR="005E3C30" w:rsidRDefault="005E3C30" w:rsidP="0072711D">
      <w:pPr>
        <w:pStyle w:val="Prrafodelista"/>
        <w:numPr>
          <w:ilvl w:val="0"/>
          <w:numId w:val="32"/>
        </w:numPr>
        <w:spacing w:before="0" w:after="200"/>
        <w:rPr>
          <w:lang w:val="es-ES_tradnl"/>
        </w:rPr>
      </w:pPr>
      <w:r>
        <w:rPr>
          <w:lang w:val="es-ES_tradnl"/>
        </w:rPr>
        <w:t>Se tomará una muestra de biogás y se evaluará su contenido de metano (%CH</w:t>
      </w:r>
      <w:r w:rsidRPr="005E3C30">
        <w:rPr>
          <w:vertAlign w:val="subscript"/>
          <w:lang w:val="es-ES_tradnl"/>
        </w:rPr>
        <w:t>4</w:t>
      </w:r>
      <w:r>
        <w:rPr>
          <w:lang w:val="es-ES_tradnl"/>
        </w:rPr>
        <w:t>)</w:t>
      </w:r>
      <w:r w:rsidR="00E25DFA">
        <w:rPr>
          <w:lang w:val="es-ES_tradnl"/>
        </w:rPr>
        <w:t>.</w:t>
      </w:r>
    </w:p>
    <w:p w:rsidR="005E3C30" w:rsidRDefault="0085373E" w:rsidP="0072711D">
      <w:pPr>
        <w:pStyle w:val="Prrafodelista"/>
        <w:numPr>
          <w:ilvl w:val="0"/>
          <w:numId w:val="32"/>
        </w:numPr>
        <w:spacing w:before="0" w:after="200"/>
        <w:rPr>
          <w:lang w:val="es-ES_tradnl"/>
        </w:rPr>
      </w:pPr>
      <w:r>
        <w:rPr>
          <w:lang w:val="es-ES_tradnl"/>
        </w:rPr>
        <w:t>Se tomará</w:t>
      </w:r>
      <w:r w:rsidR="005E3C30">
        <w:rPr>
          <w:lang w:val="es-ES_tradnl"/>
        </w:rPr>
        <w:t xml:space="preserve"> una muestra de estiércol fresco y se analizará para con</w:t>
      </w:r>
      <w:r>
        <w:rPr>
          <w:lang w:val="es-ES_tradnl"/>
        </w:rPr>
        <w:t>ocer los sólidos totales (% ST)</w:t>
      </w:r>
      <w:r w:rsidR="005E3C30">
        <w:rPr>
          <w:lang w:val="es-ES_tradnl"/>
        </w:rPr>
        <w:t>, sólidos volátiles (%SV en base húmeda) y pH</w:t>
      </w:r>
      <w:r w:rsidR="00E25DFA">
        <w:rPr>
          <w:lang w:val="es-ES_tradnl"/>
        </w:rPr>
        <w:t>.</w:t>
      </w:r>
    </w:p>
    <w:p w:rsidR="005E3C30" w:rsidRDefault="005E3C30" w:rsidP="005E3C30">
      <w:pPr>
        <w:pStyle w:val="Prrafodelista"/>
        <w:numPr>
          <w:ilvl w:val="0"/>
          <w:numId w:val="32"/>
        </w:numPr>
        <w:spacing w:before="0" w:after="200"/>
        <w:rPr>
          <w:lang w:val="es-ES_tradnl"/>
        </w:rPr>
      </w:pPr>
      <w:r>
        <w:rPr>
          <w:lang w:val="es-ES_tradnl"/>
        </w:rPr>
        <w:t>Se tomará una muestra de la mezcla que entra al biodigestor (agua+ estiércol) y se analizará para conocer los sólidos totales (% ST), sólidos volátiles (%SV en base húmeda), pH y NPK</w:t>
      </w:r>
      <w:r w:rsidR="00E25DFA">
        <w:rPr>
          <w:lang w:val="es-ES_tradnl"/>
        </w:rPr>
        <w:t>.</w:t>
      </w:r>
    </w:p>
    <w:p w:rsidR="005E3C30" w:rsidRDefault="005E3C30" w:rsidP="005E3C30">
      <w:pPr>
        <w:pStyle w:val="Prrafodelista"/>
        <w:numPr>
          <w:ilvl w:val="0"/>
          <w:numId w:val="32"/>
        </w:numPr>
        <w:spacing w:before="0" w:after="200"/>
        <w:rPr>
          <w:lang w:val="es-ES_tradnl"/>
        </w:rPr>
      </w:pPr>
      <w:r>
        <w:rPr>
          <w:lang w:val="es-ES_tradnl"/>
        </w:rPr>
        <w:t>Se tomará una muestra de biol y se analizará para conocer los sólidos totales (% ST</w:t>
      </w:r>
      <w:r w:rsidR="0085373E">
        <w:rPr>
          <w:lang w:val="es-ES_tradnl"/>
        </w:rPr>
        <w:t>)</w:t>
      </w:r>
      <w:r>
        <w:rPr>
          <w:lang w:val="es-ES_tradnl"/>
        </w:rPr>
        <w:t>, sólidos volátiles (%SV en base húmeda), pH y NPK</w:t>
      </w:r>
      <w:r w:rsidR="00E25DFA">
        <w:rPr>
          <w:lang w:val="es-ES_tradnl"/>
        </w:rPr>
        <w:t>.</w:t>
      </w:r>
    </w:p>
    <w:p w:rsidR="005E3C30" w:rsidRDefault="005E3C30" w:rsidP="0072711D">
      <w:pPr>
        <w:pStyle w:val="Prrafodelista"/>
        <w:numPr>
          <w:ilvl w:val="0"/>
          <w:numId w:val="32"/>
        </w:numPr>
        <w:spacing w:before="0" w:after="200"/>
        <w:rPr>
          <w:lang w:val="es-ES_tradnl"/>
        </w:rPr>
      </w:pPr>
      <w:r>
        <w:rPr>
          <w:lang w:val="es-ES_tradnl"/>
        </w:rPr>
        <w:t xml:space="preserve">Se registrará la </w:t>
      </w:r>
      <w:r w:rsidR="00E25DFA">
        <w:rPr>
          <w:lang w:val="es-ES_tradnl"/>
        </w:rPr>
        <w:t>t</w:t>
      </w:r>
      <w:r>
        <w:rPr>
          <w:lang w:val="es-ES_tradnl"/>
        </w:rPr>
        <w:t>emperatura ambiente y la temperatura del biodigestor</w:t>
      </w:r>
      <w:r w:rsidR="00E25DFA">
        <w:rPr>
          <w:lang w:val="es-ES_tradnl"/>
        </w:rPr>
        <w:t>.</w:t>
      </w:r>
    </w:p>
    <w:p w:rsidR="005E3C30" w:rsidRDefault="005E3C30" w:rsidP="0072711D">
      <w:pPr>
        <w:pStyle w:val="Prrafodelista"/>
        <w:numPr>
          <w:ilvl w:val="0"/>
          <w:numId w:val="32"/>
        </w:numPr>
        <w:spacing w:before="0" w:after="200"/>
        <w:rPr>
          <w:lang w:val="es-ES_tradnl"/>
        </w:rPr>
      </w:pPr>
      <w:r>
        <w:rPr>
          <w:lang w:val="es-ES_tradnl"/>
        </w:rPr>
        <w:t>Se calcularán los parámetros</w:t>
      </w:r>
      <w:r w:rsidR="00423E6A" w:rsidRPr="00423E6A">
        <w:rPr>
          <w:vertAlign w:val="superscript"/>
          <w:lang w:val="es-ES_tradnl"/>
        </w:rPr>
        <w:t>4</w:t>
      </w:r>
      <w:r>
        <w:rPr>
          <w:lang w:val="es-ES_tradnl"/>
        </w:rPr>
        <w:t xml:space="preserve"> </w:t>
      </w:r>
    </w:p>
    <w:p w:rsidR="005E3C30" w:rsidRPr="0085373E" w:rsidRDefault="0085373E" w:rsidP="005E3C30">
      <w:pPr>
        <w:pStyle w:val="Prrafodelista"/>
        <w:numPr>
          <w:ilvl w:val="1"/>
          <w:numId w:val="32"/>
        </w:numPr>
        <w:spacing w:before="0" w:after="200"/>
      </w:pPr>
      <w:r w:rsidRPr="0085373E">
        <w:t>Tasa de carga orgánica</w:t>
      </w:r>
      <w:r w:rsidR="005E3C30" w:rsidRPr="0085373E">
        <w:t xml:space="preserve"> (kg</w:t>
      </w:r>
      <w:r w:rsidR="005E3C30" w:rsidRPr="0085373E">
        <w:rPr>
          <w:vertAlign w:val="subscript"/>
        </w:rPr>
        <w:t>SV</w:t>
      </w:r>
      <w:r w:rsidR="005E3C30" w:rsidRPr="0085373E">
        <w:t>/m</w:t>
      </w:r>
      <w:r w:rsidR="005E3C30" w:rsidRPr="0085373E">
        <w:rPr>
          <w:vertAlign w:val="superscript"/>
        </w:rPr>
        <w:t>3</w:t>
      </w:r>
      <w:r w:rsidR="005E3C30" w:rsidRPr="0085373E">
        <w:rPr>
          <w:vertAlign w:val="subscript"/>
        </w:rPr>
        <w:t>biodigestor</w:t>
      </w:r>
      <w:r w:rsidR="005E3C30" w:rsidRPr="0085373E">
        <w:t>/d)</w:t>
      </w:r>
    </w:p>
    <w:p w:rsidR="005E3C30" w:rsidRDefault="0085373E" w:rsidP="005E3C30">
      <w:pPr>
        <w:pStyle w:val="Prrafodelista"/>
        <w:numPr>
          <w:ilvl w:val="1"/>
          <w:numId w:val="32"/>
        </w:numPr>
        <w:spacing w:before="0" w:after="200"/>
        <w:rPr>
          <w:lang w:val="es-ES_tradnl"/>
        </w:rPr>
      </w:pPr>
      <w:r>
        <w:rPr>
          <w:lang w:val="es-ES_tradnl"/>
        </w:rPr>
        <w:t>Tiempo de retención hidráulico</w:t>
      </w:r>
      <w:r w:rsidR="005E3C30">
        <w:rPr>
          <w:lang w:val="es-ES_tradnl"/>
        </w:rPr>
        <w:t xml:space="preserve"> (d)</w:t>
      </w:r>
    </w:p>
    <w:p w:rsidR="005E3C30" w:rsidRPr="0085373E" w:rsidRDefault="0085373E" w:rsidP="005E3C30">
      <w:pPr>
        <w:pStyle w:val="Prrafodelista"/>
        <w:numPr>
          <w:ilvl w:val="1"/>
          <w:numId w:val="32"/>
        </w:numPr>
        <w:spacing w:before="0" w:after="200"/>
      </w:pPr>
      <w:r w:rsidRPr="0085373E">
        <w:t>Producción específica de biog</w:t>
      </w:r>
      <w:r>
        <w:t>ás</w:t>
      </w:r>
      <w:r w:rsidR="005E3C30" w:rsidRPr="0085373E">
        <w:t xml:space="preserve"> (m</w:t>
      </w:r>
      <w:r w:rsidR="005E3C30" w:rsidRPr="0085373E">
        <w:rPr>
          <w:vertAlign w:val="superscript"/>
        </w:rPr>
        <w:t>3</w:t>
      </w:r>
      <w:r w:rsidR="005E3C30" w:rsidRPr="0085373E">
        <w:rPr>
          <w:vertAlign w:val="subscript"/>
        </w:rPr>
        <w:t>biogas</w:t>
      </w:r>
      <w:r w:rsidR="005E3C30" w:rsidRPr="0085373E">
        <w:t>/kg</w:t>
      </w:r>
      <w:r w:rsidR="005E3C30" w:rsidRPr="0085373E">
        <w:rPr>
          <w:vertAlign w:val="subscript"/>
        </w:rPr>
        <w:t>SV</w:t>
      </w:r>
      <w:r w:rsidR="005E3C30" w:rsidRPr="0085373E">
        <w:t>)</w:t>
      </w:r>
    </w:p>
    <w:p w:rsidR="005E3C30" w:rsidRPr="0085373E" w:rsidRDefault="0085373E" w:rsidP="005E3C30">
      <w:pPr>
        <w:pStyle w:val="Prrafodelista"/>
        <w:numPr>
          <w:ilvl w:val="1"/>
          <w:numId w:val="32"/>
        </w:numPr>
        <w:spacing w:before="0" w:after="200"/>
      </w:pPr>
      <w:r w:rsidRPr="0085373E">
        <w:t>Tasa de producción de biogás</w:t>
      </w:r>
      <w:r w:rsidR="005E3C30" w:rsidRPr="0085373E">
        <w:t xml:space="preserve"> (m</w:t>
      </w:r>
      <w:r w:rsidR="005E3C30" w:rsidRPr="0085373E">
        <w:rPr>
          <w:vertAlign w:val="superscript"/>
        </w:rPr>
        <w:t>3</w:t>
      </w:r>
      <w:r w:rsidR="005E3C30" w:rsidRPr="0085373E">
        <w:rPr>
          <w:vertAlign w:val="subscript"/>
        </w:rPr>
        <w:t>biogas</w:t>
      </w:r>
      <w:r w:rsidR="005E3C30" w:rsidRPr="0085373E">
        <w:t>/m</w:t>
      </w:r>
      <w:r w:rsidR="005E3C30" w:rsidRPr="0085373E">
        <w:rPr>
          <w:vertAlign w:val="superscript"/>
        </w:rPr>
        <w:t>3</w:t>
      </w:r>
      <w:r w:rsidR="005E3C30" w:rsidRPr="0085373E">
        <w:rPr>
          <w:vertAlign w:val="subscript"/>
        </w:rPr>
        <w:t>biodigestor</w:t>
      </w:r>
      <w:r w:rsidR="005E3C30" w:rsidRPr="005E3C30">
        <w:rPr>
          <w:lang w:val="es-ES_tradnl"/>
        </w:rPr>
        <w:t>/</w:t>
      </w:r>
      <w:r w:rsidR="005E3C30" w:rsidRPr="0085373E">
        <w:t>d)</w:t>
      </w:r>
    </w:p>
    <w:p w:rsidR="00FD4B9F" w:rsidRPr="00B77BA8" w:rsidRDefault="0085373E" w:rsidP="00B77BA8">
      <w:pPr>
        <w:pStyle w:val="Prrafodelista"/>
        <w:numPr>
          <w:ilvl w:val="1"/>
          <w:numId w:val="32"/>
        </w:numPr>
        <w:spacing w:before="0" w:after="200"/>
        <w:rPr>
          <w:lang w:val="en-US"/>
        </w:rPr>
      </w:pPr>
      <w:proofErr w:type="spellStart"/>
      <w:r>
        <w:rPr>
          <w:lang w:val="en-US"/>
        </w:rPr>
        <w:t>Temperatura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trabajo</w:t>
      </w:r>
      <w:proofErr w:type="spellEnd"/>
      <w:r>
        <w:rPr>
          <w:lang w:val="en-US"/>
        </w:rPr>
        <w:t xml:space="preserve"> (°</w:t>
      </w:r>
      <w:r w:rsidR="005E3C30">
        <w:rPr>
          <w:lang w:val="en-US"/>
        </w:rPr>
        <w:t>C)</w:t>
      </w:r>
    </w:p>
    <w:sectPr w:rsidR="00FD4B9F" w:rsidRPr="00B77BA8" w:rsidSect="00D12153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D9F512" w15:done="0"/>
  <w15:commentEx w15:paraId="345F7D1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31B" w:rsidRDefault="00A3131B" w:rsidP="00F9184A">
      <w:pPr>
        <w:spacing w:after="0" w:line="240" w:lineRule="auto"/>
      </w:pPr>
      <w:r>
        <w:separator/>
      </w:r>
    </w:p>
  </w:endnote>
  <w:endnote w:type="continuationSeparator" w:id="0">
    <w:p w:rsidR="00A3131B" w:rsidRDefault="00A3131B" w:rsidP="00F9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Std-Ligh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1749"/>
      <w:docPartObj>
        <w:docPartGallery w:val="Page Numbers (Bottom of Page)"/>
        <w:docPartUnique/>
      </w:docPartObj>
    </w:sdtPr>
    <w:sdtContent>
      <w:p w:rsidR="00F86857" w:rsidRDefault="00FC73DA">
        <w:pPr>
          <w:pStyle w:val="Piedepgina"/>
          <w:jc w:val="center"/>
        </w:pPr>
        <w:r>
          <w:fldChar w:fldCharType="begin"/>
        </w:r>
        <w:r w:rsidR="006643D0">
          <w:instrText xml:space="preserve"> PAGE   \* MERGEFORMAT </w:instrText>
        </w:r>
        <w:r>
          <w:fldChar w:fldCharType="separate"/>
        </w:r>
        <w:r w:rsidR="004E1A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6857" w:rsidRDefault="00F8685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31B" w:rsidRDefault="00A3131B" w:rsidP="00F9184A">
      <w:pPr>
        <w:spacing w:after="0" w:line="240" w:lineRule="auto"/>
      </w:pPr>
      <w:r>
        <w:separator/>
      </w:r>
    </w:p>
  </w:footnote>
  <w:footnote w:type="continuationSeparator" w:id="0">
    <w:p w:rsidR="00A3131B" w:rsidRDefault="00A3131B" w:rsidP="00F9184A">
      <w:pPr>
        <w:spacing w:after="0" w:line="240" w:lineRule="auto"/>
      </w:pPr>
      <w:r>
        <w:continuationSeparator/>
      </w:r>
    </w:p>
  </w:footnote>
  <w:footnote w:id="1">
    <w:p w:rsidR="00F86857" w:rsidRPr="00894537" w:rsidRDefault="00F86857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3C31FC">
        <w:rPr>
          <w:lang w:val="en-US"/>
        </w:rPr>
        <w:t xml:space="preserve"> </w:t>
      </w:r>
      <w:proofErr w:type="spellStart"/>
      <w:r w:rsidRPr="00894537">
        <w:rPr>
          <w:rFonts w:cs="Arial"/>
          <w:color w:val="222222"/>
          <w:shd w:val="clear" w:color="auto" w:fill="FFFFFF"/>
          <w:lang w:val="en-US"/>
        </w:rPr>
        <w:t>Martí-Herrero</w:t>
      </w:r>
      <w:proofErr w:type="spellEnd"/>
      <w:r w:rsidRPr="00894537">
        <w:rPr>
          <w:rFonts w:cs="Arial"/>
          <w:color w:val="222222"/>
          <w:shd w:val="clear" w:color="auto" w:fill="FFFFFF"/>
          <w:lang w:val="en-US"/>
        </w:rPr>
        <w:t>, J. (2011). Reduced hydraulic retention times in low-cost tubular digesters: two issues. </w:t>
      </w:r>
      <w:r w:rsidRPr="00894537">
        <w:rPr>
          <w:rFonts w:cs="Arial"/>
          <w:i/>
          <w:iCs/>
          <w:color w:val="222222"/>
          <w:shd w:val="clear" w:color="auto" w:fill="FFFFFF"/>
          <w:lang w:val="en-US"/>
        </w:rPr>
        <w:t xml:space="preserve">biomass and </w:t>
      </w:r>
      <w:proofErr w:type="spellStart"/>
      <w:r w:rsidRPr="00894537">
        <w:rPr>
          <w:rFonts w:cs="Arial"/>
          <w:i/>
          <w:iCs/>
          <w:color w:val="222222"/>
          <w:shd w:val="clear" w:color="auto" w:fill="FFFFFF"/>
          <w:lang w:val="en-US"/>
        </w:rPr>
        <w:t>bioenergy</w:t>
      </w:r>
      <w:proofErr w:type="spellEnd"/>
      <w:r w:rsidRPr="00894537">
        <w:rPr>
          <w:rFonts w:cs="Arial"/>
          <w:color w:val="222222"/>
          <w:shd w:val="clear" w:color="auto" w:fill="FFFFFF"/>
          <w:lang w:val="en-US"/>
        </w:rPr>
        <w:t>, </w:t>
      </w:r>
      <w:r w:rsidRPr="00894537">
        <w:rPr>
          <w:rFonts w:cs="Arial"/>
          <w:i/>
          <w:iCs/>
          <w:color w:val="222222"/>
          <w:shd w:val="clear" w:color="auto" w:fill="FFFFFF"/>
          <w:lang w:val="en-US"/>
        </w:rPr>
        <w:t>35</w:t>
      </w:r>
      <w:r w:rsidRPr="00894537">
        <w:rPr>
          <w:rFonts w:cs="Arial"/>
          <w:color w:val="222222"/>
          <w:shd w:val="clear" w:color="auto" w:fill="FFFFFF"/>
          <w:lang w:val="en-US"/>
        </w:rPr>
        <w:t>(10), 4481-4484.</w:t>
      </w:r>
    </w:p>
  </w:footnote>
  <w:footnote w:id="2">
    <w:p w:rsidR="00F86857" w:rsidRPr="00894537" w:rsidRDefault="00F86857">
      <w:pPr>
        <w:pStyle w:val="Textonotapie"/>
        <w:rPr>
          <w:lang w:val="en-US"/>
        </w:rPr>
      </w:pPr>
      <w:r w:rsidRPr="00894537">
        <w:rPr>
          <w:rStyle w:val="Refdenotaalpie"/>
        </w:rPr>
        <w:footnoteRef/>
      </w:r>
      <w:r w:rsidRPr="00894537">
        <w:rPr>
          <w:lang w:val="en-US"/>
        </w:rPr>
        <w:t xml:space="preserve"> http://beegroup-cimne.com/kt-content/uploads/2018/06/Guia-Biogas-sector-lechero-2018.pdf</w:t>
      </w:r>
    </w:p>
  </w:footnote>
  <w:footnote w:id="3">
    <w:p w:rsidR="005B6EC0" w:rsidRPr="005B6EC0" w:rsidRDefault="005B6EC0" w:rsidP="005B6EC0">
      <w:pPr>
        <w:autoSpaceDE w:val="0"/>
        <w:autoSpaceDN w:val="0"/>
        <w:adjustRightInd w:val="0"/>
        <w:spacing w:before="0" w:after="0" w:line="240" w:lineRule="auto"/>
        <w:jc w:val="left"/>
      </w:pPr>
      <w:r>
        <w:rPr>
          <w:rStyle w:val="Refdenotaalpie"/>
        </w:rPr>
        <w:footnoteRef/>
      </w:r>
      <w:r>
        <w:t xml:space="preserve"> </w:t>
      </w:r>
      <w:r w:rsidRPr="005B6EC0">
        <w:rPr>
          <w:rFonts w:eastAsiaTheme="minorHAnsi" w:cs="FuturaStd-Bold"/>
          <w:bCs/>
          <w:sz w:val="20"/>
          <w:szCs w:val="24"/>
          <w:lang w:val="es-ES" w:eastAsia="en-US"/>
        </w:rPr>
        <w:t>Tiempo de Retención Hidráulico (THR)</w:t>
      </w:r>
      <w:r w:rsidRPr="005B6EC0">
        <w:rPr>
          <w:rFonts w:eastAsia="FuturaStd-Light" w:cs="FuturaStd-Light"/>
          <w:sz w:val="20"/>
          <w:szCs w:val="24"/>
          <w:lang w:val="es-ES" w:eastAsia="en-US"/>
        </w:rPr>
        <w:t>:</w:t>
      </w:r>
      <w:r>
        <w:rPr>
          <w:rFonts w:eastAsia="FuturaStd-Light" w:cs="FuturaStd-Light"/>
          <w:sz w:val="20"/>
          <w:szCs w:val="24"/>
          <w:lang w:val="es-ES" w:eastAsia="en-US"/>
        </w:rPr>
        <w:t xml:space="preserve"> T</w:t>
      </w:r>
      <w:r w:rsidRPr="005B6EC0">
        <w:rPr>
          <w:rFonts w:eastAsia="FuturaStd-Light" w:cs="FuturaStd-Light"/>
          <w:sz w:val="20"/>
          <w:szCs w:val="24"/>
          <w:lang w:val="es-ES" w:eastAsia="en-US"/>
        </w:rPr>
        <w:t>iempo promedio que tarda el sustrato desde que entr</w:t>
      </w:r>
      <w:r>
        <w:rPr>
          <w:rFonts w:eastAsia="FuturaStd-Light" w:cs="FuturaStd-Light"/>
          <w:sz w:val="20"/>
          <w:szCs w:val="24"/>
          <w:lang w:val="es-ES" w:eastAsia="en-US"/>
        </w:rPr>
        <w:t>ó</w:t>
      </w:r>
      <w:r w:rsidRPr="005B6EC0">
        <w:rPr>
          <w:rFonts w:eastAsia="FuturaStd-Light" w:cs="FuturaStd-Light"/>
          <w:sz w:val="20"/>
          <w:szCs w:val="24"/>
          <w:lang w:val="es-ES" w:eastAsia="en-US"/>
        </w:rPr>
        <w:t xml:space="preserve"> y sali</w:t>
      </w:r>
      <w:r>
        <w:rPr>
          <w:rFonts w:eastAsia="FuturaStd-Light" w:cs="FuturaStd-Light"/>
          <w:sz w:val="20"/>
          <w:szCs w:val="24"/>
          <w:lang w:val="es-ES" w:eastAsia="en-US"/>
        </w:rPr>
        <w:t xml:space="preserve">ó del sistema, </w:t>
      </w:r>
      <w:r w:rsidRPr="005B6EC0">
        <w:rPr>
          <w:rFonts w:eastAsia="FuturaStd-Light" w:cs="FuturaStd-Light"/>
          <w:sz w:val="20"/>
          <w:szCs w:val="24"/>
          <w:lang w:val="es-ES" w:eastAsia="en-US"/>
        </w:rPr>
        <w:t>o bien</w:t>
      </w:r>
      <w:r>
        <w:rPr>
          <w:rFonts w:eastAsia="FuturaStd-Light" w:cs="FuturaStd-Light"/>
          <w:sz w:val="20"/>
          <w:szCs w:val="24"/>
          <w:lang w:val="es-ES" w:eastAsia="en-US"/>
        </w:rPr>
        <w:t xml:space="preserve"> </w:t>
      </w:r>
      <w:r w:rsidRPr="005B6EC0">
        <w:rPr>
          <w:rFonts w:eastAsia="FuturaStd-Light" w:cs="FuturaStd-Light"/>
          <w:sz w:val="20"/>
          <w:szCs w:val="24"/>
          <w:lang w:val="es-ES" w:eastAsia="en-US"/>
        </w:rPr>
        <w:t>relación aritmética entre el</w:t>
      </w:r>
      <w:r>
        <w:rPr>
          <w:rFonts w:eastAsia="FuturaStd-Light" w:cs="FuturaStd-Light"/>
          <w:sz w:val="20"/>
          <w:szCs w:val="24"/>
          <w:lang w:val="es-ES" w:eastAsia="en-US"/>
        </w:rPr>
        <w:t xml:space="preserve"> </w:t>
      </w:r>
      <w:r w:rsidRPr="005B6EC0">
        <w:rPr>
          <w:rFonts w:eastAsia="FuturaStd-Light" w:cs="FuturaStd-Light"/>
          <w:sz w:val="20"/>
          <w:szCs w:val="24"/>
          <w:lang w:val="es-ES" w:eastAsia="en-US"/>
        </w:rPr>
        <w:t>volumen liquido (útil) o solido del biodigestor y el caudal promedio</w:t>
      </w:r>
      <w:r>
        <w:rPr>
          <w:rFonts w:eastAsia="FuturaStd-Light" w:cs="FuturaStd-Light"/>
          <w:sz w:val="20"/>
          <w:szCs w:val="24"/>
          <w:lang w:val="es-ES" w:eastAsia="en-US"/>
        </w:rPr>
        <w:t>. (</w:t>
      </w:r>
      <w:r w:rsidRPr="005B6EC0">
        <w:rPr>
          <w:rFonts w:eastAsia="FuturaStd-Light" w:cs="FuturaStd-Light"/>
          <w:sz w:val="20"/>
          <w:szCs w:val="24"/>
          <w:lang w:val="es-ES" w:eastAsia="en-US"/>
        </w:rPr>
        <w:t>http://beegroup-cimne.com/kt-content/uploads/2018/06/Guia-Biogas-sector-lechero-2018.pdf</w:t>
      </w:r>
      <w:r>
        <w:rPr>
          <w:rFonts w:eastAsia="FuturaStd-Light" w:cs="FuturaStd-Light"/>
          <w:sz w:val="20"/>
          <w:szCs w:val="24"/>
          <w:lang w:val="es-ES" w:eastAsia="en-US"/>
        </w:rPr>
        <w:t>)</w:t>
      </w:r>
    </w:p>
  </w:footnote>
  <w:footnote w:id="4">
    <w:p w:rsidR="00F86857" w:rsidRPr="00F86857" w:rsidRDefault="00F86857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 xml:space="preserve">a modo de referencia se puede consultar el </w:t>
      </w:r>
      <w:r w:rsidR="00423E6A">
        <w:rPr>
          <w:lang w:val="es-ES_tradnl"/>
        </w:rPr>
        <w:t>siguiente</w:t>
      </w:r>
      <w:r>
        <w:rPr>
          <w:lang w:val="es-ES_tradnl"/>
        </w:rPr>
        <w:t xml:space="preserve"> art</w:t>
      </w:r>
      <w:r w:rsidR="00E25DFA">
        <w:rPr>
          <w:lang w:val="es-ES_tradnl"/>
        </w:rPr>
        <w:t>í</w:t>
      </w:r>
      <w:r>
        <w:rPr>
          <w:lang w:val="es-ES_tradnl"/>
        </w:rPr>
        <w:t xml:space="preserve">culo sobre monitoreo </w:t>
      </w:r>
      <w:r w:rsidR="00423E6A">
        <w:rPr>
          <w:lang w:val="es-ES_tradnl"/>
        </w:rPr>
        <w:t xml:space="preserve">y caracterización </w:t>
      </w:r>
      <w:r>
        <w:rPr>
          <w:lang w:val="es-ES_tradnl"/>
        </w:rPr>
        <w:t xml:space="preserve">de biodigestores: </w:t>
      </w:r>
      <w:r>
        <w:rPr>
          <w:rFonts w:ascii="Arial" w:hAnsi="Arial" w:cs="Arial"/>
          <w:color w:val="222222"/>
          <w:shd w:val="clear" w:color="auto" w:fill="FFFFFF"/>
        </w:rPr>
        <w:t xml:space="preserve">Martí-Herrero, J.,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Ceron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M.,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Garcia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R.,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Pracejus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L.,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Alvarez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R., &amp; Cipriano, X. (2015). </w:t>
      </w:r>
      <w:r w:rsidRPr="00F86857">
        <w:rPr>
          <w:rFonts w:ascii="Arial" w:hAnsi="Arial" w:cs="Arial"/>
          <w:color w:val="222222"/>
          <w:shd w:val="clear" w:color="auto" w:fill="FFFFFF"/>
          <w:lang w:val="en-US"/>
        </w:rPr>
        <w:t>The influence of users' behavior on biogas production from low cost tubular digesters: A technical and socio-cultural field analysis. 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Energy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Sustainable</w:t>
      </w:r>
      <w:proofErr w:type="spellEnd"/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hd w:val="clear" w:color="auto" w:fill="FFFFFF"/>
        </w:rPr>
        <w:t>Development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27</w:t>
      </w:r>
      <w:r>
        <w:rPr>
          <w:rFonts w:ascii="Arial" w:hAnsi="Arial" w:cs="Arial"/>
          <w:color w:val="222222"/>
          <w:shd w:val="clear" w:color="auto" w:fill="FFFFFF"/>
        </w:rPr>
        <w:t>, 73-83.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857" w:rsidRPr="001276E7" w:rsidRDefault="00F86857">
    <w:pPr>
      <w:pStyle w:val="Encabezado"/>
      <w:rPr>
        <w:u w:val="single"/>
      </w:rPr>
    </w:pPr>
    <w:r w:rsidRPr="001276E7">
      <w:rPr>
        <w:u w:val="single"/>
      </w:rPr>
      <w:t>Plan PNB-Ecuador</w:t>
    </w:r>
    <w:r w:rsidRPr="001276E7">
      <w:rPr>
        <w:u w:val="single"/>
      </w:rPr>
      <w:ptab w:relativeTo="margin" w:alignment="center" w:leader="none"/>
    </w:r>
    <w:r w:rsidRPr="001276E7">
      <w:rPr>
        <w:u w:val="single"/>
      </w:rPr>
      <w:t>CTCN-CIMNE-</w:t>
    </w:r>
    <w:r w:rsidR="009511D1">
      <w:rPr>
        <w:u w:val="single"/>
      </w:rPr>
      <w:t>IIGE</w:t>
    </w:r>
    <w:r w:rsidRPr="001276E7">
      <w:rPr>
        <w:u w:val="single"/>
      </w:rPr>
      <w:t>-INIAP</w:t>
    </w:r>
    <w:r w:rsidRPr="001276E7">
      <w:rPr>
        <w:u w:val="single"/>
      </w:rPr>
      <w:ptab w:relativeTo="margin" w:alignment="right" w:leader="none"/>
    </w:r>
    <w:r>
      <w:rPr>
        <w:u w:val="single"/>
      </w:rPr>
      <w:t>Control de calidad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533"/>
    <w:multiLevelType w:val="hybridMultilevel"/>
    <w:tmpl w:val="457066C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5A210E"/>
    <w:multiLevelType w:val="hybridMultilevel"/>
    <w:tmpl w:val="0388C79E"/>
    <w:lvl w:ilvl="0" w:tplc="0C0A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3632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E72CDC"/>
    <w:multiLevelType w:val="hybridMultilevel"/>
    <w:tmpl w:val="79AC4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F5F7E"/>
    <w:multiLevelType w:val="hybridMultilevel"/>
    <w:tmpl w:val="E5B4DFF6"/>
    <w:lvl w:ilvl="0" w:tplc="0C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8E7887"/>
    <w:multiLevelType w:val="hybridMultilevel"/>
    <w:tmpl w:val="64EAD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B310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268237D"/>
    <w:multiLevelType w:val="hybridMultilevel"/>
    <w:tmpl w:val="6804D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052F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0968F3"/>
    <w:multiLevelType w:val="hybridMultilevel"/>
    <w:tmpl w:val="FAB21FDE"/>
    <w:lvl w:ilvl="0" w:tplc="0C0A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4AB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EEE28D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150EC3"/>
    <w:multiLevelType w:val="hybridMultilevel"/>
    <w:tmpl w:val="E0E42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72BDC"/>
    <w:multiLevelType w:val="hybridMultilevel"/>
    <w:tmpl w:val="B1220B7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1D3A2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76352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B7D5D98"/>
    <w:multiLevelType w:val="multilevel"/>
    <w:tmpl w:val="6BF8A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C537956"/>
    <w:multiLevelType w:val="hybridMultilevel"/>
    <w:tmpl w:val="6B80739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765BD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A34E04"/>
    <w:multiLevelType w:val="hybridMultilevel"/>
    <w:tmpl w:val="4E0EC3CE"/>
    <w:lvl w:ilvl="0" w:tplc="7D2432C0">
      <w:numFmt w:val="bullet"/>
      <w:lvlText w:val="•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39418A"/>
    <w:multiLevelType w:val="hybridMultilevel"/>
    <w:tmpl w:val="F9084312"/>
    <w:lvl w:ilvl="0" w:tplc="5184CCA8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A0C4E"/>
    <w:multiLevelType w:val="hybridMultilevel"/>
    <w:tmpl w:val="74B24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853EE"/>
    <w:multiLevelType w:val="hybridMultilevel"/>
    <w:tmpl w:val="2C564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534B0"/>
    <w:multiLevelType w:val="hybridMultilevel"/>
    <w:tmpl w:val="1CD8D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93F76"/>
    <w:multiLevelType w:val="hybridMultilevel"/>
    <w:tmpl w:val="8FBA720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FD159D"/>
    <w:multiLevelType w:val="hybridMultilevel"/>
    <w:tmpl w:val="9F282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B6419"/>
    <w:multiLevelType w:val="hybridMultilevel"/>
    <w:tmpl w:val="24621794"/>
    <w:lvl w:ilvl="0" w:tplc="FC6448A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020DE9"/>
    <w:multiLevelType w:val="hybridMultilevel"/>
    <w:tmpl w:val="D2104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554BF3"/>
    <w:multiLevelType w:val="hybridMultilevel"/>
    <w:tmpl w:val="EA464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5A22FD"/>
    <w:multiLevelType w:val="hybridMultilevel"/>
    <w:tmpl w:val="3216C35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2D4C90"/>
    <w:multiLevelType w:val="hybridMultilevel"/>
    <w:tmpl w:val="0FA44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000B0"/>
    <w:multiLevelType w:val="hybridMultilevel"/>
    <w:tmpl w:val="7CBA8B30"/>
    <w:lvl w:ilvl="0" w:tplc="7D2432C0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E41E7E"/>
    <w:multiLevelType w:val="hybridMultilevel"/>
    <w:tmpl w:val="223CA0A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6"/>
  </w:num>
  <w:num w:numId="5">
    <w:abstractNumId w:val="29"/>
  </w:num>
  <w:num w:numId="6">
    <w:abstractNumId w:val="17"/>
  </w:num>
  <w:num w:numId="7">
    <w:abstractNumId w:val="13"/>
  </w:num>
  <w:num w:numId="8">
    <w:abstractNumId w:val="24"/>
  </w:num>
  <w:num w:numId="9">
    <w:abstractNumId w:val="32"/>
  </w:num>
  <w:num w:numId="10">
    <w:abstractNumId w:val="20"/>
  </w:num>
  <w:num w:numId="11">
    <w:abstractNumId w:val="1"/>
  </w:num>
  <w:num w:numId="12">
    <w:abstractNumId w:val="9"/>
  </w:num>
  <w:num w:numId="13">
    <w:abstractNumId w:val="26"/>
  </w:num>
  <w:num w:numId="14">
    <w:abstractNumId w:val="2"/>
  </w:num>
  <w:num w:numId="15">
    <w:abstractNumId w:val="25"/>
  </w:num>
  <w:num w:numId="16">
    <w:abstractNumId w:val="23"/>
  </w:num>
  <w:num w:numId="17">
    <w:abstractNumId w:val="31"/>
  </w:num>
  <w:num w:numId="18">
    <w:abstractNumId w:val="19"/>
  </w:num>
  <w:num w:numId="19">
    <w:abstractNumId w:val="3"/>
  </w:num>
  <w:num w:numId="20">
    <w:abstractNumId w:val="27"/>
  </w:num>
  <w:num w:numId="21">
    <w:abstractNumId w:val="21"/>
  </w:num>
  <w:num w:numId="22">
    <w:abstractNumId w:val="8"/>
  </w:num>
  <w:num w:numId="23">
    <w:abstractNumId w:val="18"/>
  </w:num>
  <w:num w:numId="24">
    <w:abstractNumId w:val="6"/>
  </w:num>
  <w:num w:numId="25">
    <w:abstractNumId w:val="5"/>
  </w:num>
  <w:num w:numId="26">
    <w:abstractNumId w:val="22"/>
  </w:num>
  <w:num w:numId="27">
    <w:abstractNumId w:val="12"/>
  </w:num>
  <w:num w:numId="28">
    <w:abstractNumId w:val="14"/>
  </w:num>
  <w:num w:numId="29">
    <w:abstractNumId w:val="10"/>
  </w:num>
  <w:num w:numId="30">
    <w:abstractNumId w:val="28"/>
  </w:num>
  <w:num w:numId="31">
    <w:abstractNumId w:val="7"/>
  </w:num>
  <w:num w:numId="32">
    <w:abstractNumId w:val="30"/>
  </w:num>
  <w:num w:numId="3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rgas luna gabriela jeanneth">
    <w15:presenceInfo w15:providerId="AD" w15:userId="S-1-5-21-831221755-2532350400-1621219388-80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4A"/>
    <w:rsid w:val="00000320"/>
    <w:rsid w:val="00000EDA"/>
    <w:rsid w:val="00004959"/>
    <w:rsid w:val="000135F2"/>
    <w:rsid w:val="00016522"/>
    <w:rsid w:val="000165DA"/>
    <w:rsid w:val="00030770"/>
    <w:rsid w:val="00032135"/>
    <w:rsid w:val="00032364"/>
    <w:rsid w:val="00034717"/>
    <w:rsid w:val="00040948"/>
    <w:rsid w:val="00050E05"/>
    <w:rsid w:val="00053B5F"/>
    <w:rsid w:val="000543EE"/>
    <w:rsid w:val="00061C07"/>
    <w:rsid w:val="00070684"/>
    <w:rsid w:val="000775AF"/>
    <w:rsid w:val="00077B32"/>
    <w:rsid w:val="000813C1"/>
    <w:rsid w:val="00085610"/>
    <w:rsid w:val="000923F7"/>
    <w:rsid w:val="000925FE"/>
    <w:rsid w:val="00093AC9"/>
    <w:rsid w:val="00096496"/>
    <w:rsid w:val="000A3D71"/>
    <w:rsid w:val="000B1B3A"/>
    <w:rsid w:val="000B6D5B"/>
    <w:rsid w:val="000C29B5"/>
    <w:rsid w:val="000C7309"/>
    <w:rsid w:val="000D07EE"/>
    <w:rsid w:val="000F6522"/>
    <w:rsid w:val="001036E8"/>
    <w:rsid w:val="00103E41"/>
    <w:rsid w:val="0010584A"/>
    <w:rsid w:val="001276E7"/>
    <w:rsid w:val="001304BA"/>
    <w:rsid w:val="00141995"/>
    <w:rsid w:val="0014342B"/>
    <w:rsid w:val="00160D44"/>
    <w:rsid w:val="00162D8D"/>
    <w:rsid w:val="00163B0D"/>
    <w:rsid w:val="00164139"/>
    <w:rsid w:val="00165B54"/>
    <w:rsid w:val="00176658"/>
    <w:rsid w:val="00177260"/>
    <w:rsid w:val="00177C71"/>
    <w:rsid w:val="001873B6"/>
    <w:rsid w:val="001921DC"/>
    <w:rsid w:val="0019255B"/>
    <w:rsid w:val="001A00E3"/>
    <w:rsid w:val="001A3ECB"/>
    <w:rsid w:val="001A6AA3"/>
    <w:rsid w:val="001C4158"/>
    <w:rsid w:val="001E6193"/>
    <w:rsid w:val="001F0306"/>
    <w:rsid w:val="00213C01"/>
    <w:rsid w:val="00216514"/>
    <w:rsid w:val="00216B1C"/>
    <w:rsid w:val="002171A2"/>
    <w:rsid w:val="00223842"/>
    <w:rsid w:val="002357F5"/>
    <w:rsid w:val="00272F07"/>
    <w:rsid w:val="002748C8"/>
    <w:rsid w:val="00280E5E"/>
    <w:rsid w:val="00281D5C"/>
    <w:rsid w:val="00287CD8"/>
    <w:rsid w:val="002A142D"/>
    <w:rsid w:val="002B2BB7"/>
    <w:rsid w:val="002B481E"/>
    <w:rsid w:val="002C1AEB"/>
    <w:rsid w:val="002C2A81"/>
    <w:rsid w:val="002C3BCD"/>
    <w:rsid w:val="002E09AE"/>
    <w:rsid w:val="002E7590"/>
    <w:rsid w:val="002F2F66"/>
    <w:rsid w:val="003001AE"/>
    <w:rsid w:val="00310EFF"/>
    <w:rsid w:val="00320800"/>
    <w:rsid w:val="0033634A"/>
    <w:rsid w:val="003454DB"/>
    <w:rsid w:val="003457E2"/>
    <w:rsid w:val="0034721D"/>
    <w:rsid w:val="003568A0"/>
    <w:rsid w:val="00357F69"/>
    <w:rsid w:val="00365AE2"/>
    <w:rsid w:val="00366625"/>
    <w:rsid w:val="00366646"/>
    <w:rsid w:val="00366668"/>
    <w:rsid w:val="003673FF"/>
    <w:rsid w:val="003866C7"/>
    <w:rsid w:val="00396FED"/>
    <w:rsid w:val="003A558C"/>
    <w:rsid w:val="003B0A9A"/>
    <w:rsid w:val="003B7996"/>
    <w:rsid w:val="003B7FA7"/>
    <w:rsid w:val="003C31FC"/>
    <w:rsid w:val="003E2F61"/>
    <w:rsid w:val="003F1467"/>
    <w:rsid w:val="00403122"/>
    <w:rsid w:val="00410569"/>
    <w:rsid w:val="004200A6"/>
    <w:rsid w:val="00423E6A"/>
    <w:rsid w:val="0043226B"/>
    <w:rsid w:val="00442C51"/>
    <w:rsid w:val="004439D1"/>
    <w:rsid w:val="00456D57"/>
    <w:rsid w:val="004632E1"/>
    <w:rsid w:val="00470C45"/>
    <w:rsid w:val="00472BAF"/>
    <w:rsid w:val="00472EAD"/>
    <w:rsid w:val="00481506"/>
    <w:rsid w:val="00482B4B"/>
    <w:rsid w:val="00483A96"/>
    <w:rsid w:val="004A6EC9"/>
    <w:rsid w:val="004A794C"/>
    <w:rsid w:val="004C7EE8"/>
    <w:rsid w:val="004D0963"/>
    <w:rsid w:val="004D7629"/>
    <w:rsid w:val="004D7E21"/>
    <w:rsid w:val="004E1AD3"/>
    <w:rsid w:val="004E554B"/>
    <w:rsid w:val="004E5D08"/>
    <w:rsid w:val="005206A6"/>
    <w:rsid w:val="00532B18"/>
    <w:rsid w:val="0053322E"/>
    <w:rsid w:val="00534898"/>
    <w:rsid w:val="005369C1"/>
    <w:rsid w:val="005371B7"/>
    <w:rsid w:val="00543185"/>
    <w:rsid w:val="00552AAC"/>
    <w:rsid w:val="00556B80"/>
    <w:rsid w:val="00562114"/>
    <w:rsid w:val="00562676"/>
    <w:rsid w:val="00563F4E"/>
    <w:rsid w:val="00567DAE"/>
    <w:rsid w:val="00572FF9"/>
    <w:rsid w:val="0057384D"/>
    <w:rsid w:val="005827D6"/>
    <w:rsid w:val="0058393F"/>
    <w:rsid w:val="00587893"/>
    <w:rsid w:val="00591604"/>
    <w:rsid w:val="005A07C2"/>
    <w:rsid w:val="005A18A9"/>
    <w:rsid w:val="005A611C"/>
    <w:rsid w:val="005A66CC"/>
    <w:rsid w:val="005B1145"/>
    <w:rsid w:val="005B5E9C"/>
    <w:rsid w:val="005B6EC0"/>
    <w:rsid w:val="005C7BE4"/>
    <w:rsid w:val="005E247D"/>
    <w:rsid w:val="005E3C30"/>
    <w:rsid w:val="0060437D"/>
    <w:rsid w:val="0061193E"/>
    <w:rsid w:val="006244B3"/>
    <w:rsid w:val="00633B71"/>
    <w:rsid w:val="00636AC0"/>
    <w:rsid w:val="0064725A"/>
    <w:rsid w:val="0065589C"/>
    <w:rsid w:val="00662BDC"/>
    <w:rsid w:val="006643D0"/>
    <w:rsid w:val="006649D2"/>
    <w:rsid w:val="00675143"/>
    <w:rsid w:val="00682F82"/>
    <w:rsid w:val="006857AC"/>
    <w:rsid w:val="0069234F"/>
    <w:rsid w:val="0069313B"/>
    <w:rsid w:val="006A008B"/>
    <w:rsid w:val="006A41F4"/>
    <w:rsid w:val="006B08F5"/>
    <w:rsid w:val="006B0B16"/>
    <w:rsid w:val="006B1956"/>
    <w:rsid w:val="006B75E9"/>
    <w:rsid w:val="006D4505"/>
    <w:rsid w:val="006E2D37"/>
    <w:rsid w:val="006E7B2D"/>
    <w:rsid w:val="006F158C"/>
    <w:rsid w:val="006F2BCA"/>
    <w:rsid w:val="006F2D28"/>
    <w:rsid w:val="006F4537"/>
    <w:rsid w:val="006F72A7"/>
    <w:rsid w:val="00707340"/>
    <w:rsid w:val="00707BB1"/>
    <w:rsid w:val="00717619"/>
    <w:rsid w:val="00720DF8"/>
    <w:rsid w:val="00724B3D"/>
    <w:rsid w:val="0072711D"/>
    <w:rsid w:val="0073640C"/>
    <w:rsid w:val="00746A28"/>
    <w:rsid w:val="00753937"/>
    <w:rsid w:val="00760C1D"/>
    <w:rsid w:val="00760CCB"/>
    <w:rsid w:val="00765F2F"/>
    <w:rsid w:val="007868A7"/>
    <w:rsid w:val="0079178E"/>
    <w:rsid w:val="007929A6"/>
    <w:rsid w:val="00797706"/>
    <w:rsid w:val="007A1205"/>
    <w:rsid w:val="007A1D9E"/>
    <w:rsid w:val="007A3E4C"/>
    <w:rsid w:val="007A5B03"/>
    <w:rsid w:val="007B548B"/>
    <w:rsid w:val="007D43CA"/>
    <w:rsid w:val="007E5059"/>
    <w:rsid w:val="007F31EF"/>
    <w:rsid w:val="007F72BC"/>
    <w:rsid w:val="00803708"/>
    <w:rsid w:val="0082386B"/>
    <w:rsid w:val="008265FD"/>
    <w:rsid w:val="0085373E"/>
    <w:rsid w:val="00857EA5"/>
    <w:rsid w:val="00862F57"/>
    <w:rsid w:val="0087067D"/>
    <w:rsid w:val="00872909"/>
    <w:rsid w:val="00873E2A"/>
    <w:rsid w:val="00881366"/>
    <w:rsid w:val="0088629B"/>
    <w:rsid w:val="00886979"/>
    <w:rsid w:val="00893E48"/>
    <w:rsid w:val="00893F44"/>
    <w:rsid w:val="00894537"/>
    <w:rsid w:val="00894AC2"/>
    <w:rsid w:val="008A0E60"/>
    <w:rsid w:val="008A16ED"/>
    <w:rsid w:val="008A7A18"/>
    <w:rsid w:val="008B0408"/>
    <w:rsid w:val="008D2D09"/>
    <w:rsid w:val="008E5FF2"/>
    <w:rsid w:val="008F07F1"/>
    <w:rsid w:val="008F6C43"/>
    <w:rsid w:val="0092278E"/>
    <w:rsid w:val="00932D46"/>
    <w:rsid w:val="009419AA"/>
    <w:rsid w:val="00941E2F"/>
    <w:rsid w:val="00943D6A"/>
    <w:rsid w:val="00944B99"/>
    <w:rsid w:val="009466D4"/>
    <w:rsid w:val="009511D1"/>
    <w:rsid w:val="009572F1"/>
    <w:rsid w:val="00996952"/>
    <w:rsid w:val="00997B51"/>
    <w:rsid w:val="00997ED0"/>
    <w:rsid w:val="009A4721"/>
    <w:rsid w:val="009A5ED0"/>
    <w:rsid w:val="009B7396"/>
    <w:rsid w:val="009C121E"/>
    <w:rsid w:val="009C5972"/>
    <w:rsid w:val="009C6EE4"/>
    <w:rsid w:val="009D4359"/>
    <w:rsid w:val="009D44C6"/>
    <w:rsid w:val="009E30C8"/>
    <w:rsid w:val="00A013C9"/>
    <w:rsid w:val="00A01D7D"/>
    <w:rsid w:val="00A02AF6"/>
    <w:rsid w:val="00A10CF4"/>
    <w:rsid w:val="00A14AD2"/>
    <w:rsid w:val="00A1571C"/>
    <w:rsid w:val="00A16081"/>
    <w:rsid w:val="00A17CE2"/>
    <w:rsid w:val="00A22259"/>
    <w:rsid w:val="00A23CC4"/>
    <w:rsid w:val="00A30C62"/>
    <w:rsid w:val="00A3131B"/>
    <w:rsid w:val="00A3387F"/>
    <w:rsid w:val="00A375EB"/>
    <w:rsid w:val="00A40A41"/>
    <w:rsid w:val="00A40C6F"/>
    <w:rsid w:val="00A41717"/>
    <w:rsid w:val="00A47675"/>
    <w:rsid w:val="00A539BE"/>
    <w:rsid w:val="00A615F1"/>
    <w:rsid w:val="00A6634A"/>
    <w:rsid w:val="00A67903"/>
    <w:rsid w:val="00A76E5D"/>
    <w:rsid w:val="00A804D1"/>
    <w:rsid w:val="00A925EF"/>
    <w:rsid w:val="00A94B80"/>
    <w:rsid w:val="00A970EE"/>
    <w:rsid w:val="00AA0188"/>
    <w:rsid w:val="00AA172F"/>
    <w:rsid w:val="00AA1AE0"/>
    <w:rsid w:val="00AA550A"/>
    <w:rsid w:val="00AB4597"/>
    <w:rsid w:val="00AC3DD5"/>
    <w:rsid w:val="00AC631E"/>
    <w:rsid w:val="00AC7BA4"/>
    <w:rsid w:val="00AE1228"/>
    <w:rsid w:val="00AE29F8"/>
    <w:rsid w:val="00AF08A9"/>
    <w:rsid w:val="00AF1A74"/>
    <w:rsid w:val="00AF705C"/>
    <w:rsid w:val="00B079BB"/>
    <w:rsid w:val="00B21190"/>
    <w:rsid w:val="00B26C44"/>
    <w:rsid w:val="00B273B9"/>
    <w:rsid w:val="00B35A58"/>
    <w:rsid w:val="00B47A1D"/>
    <w:rsid w:val="00B5068D"/>
    <w:rsid w:val="00B61FC7"/>
    <w:rsid w:val="00B7326B"/>
    <w:rsid w:val="00B77BA8"/>
    <w:rsid w:val="00B83316"/>
    <w:rsid w:val="00B90D2C"/>
    <w:rsid w:val="00B9528C"/>
    <w:rsid w:val="00BA31D8"/>
    <w:rsid w:val="00BA529A"/>
    <w:rsid w:val="00BC44FC"/>
    <w:rsid w:val="00BC5E6D"/>
    <w:rsid w:val="00BD37F5"/>
    <w:rsid w:val="00BE06C2"/>
    <w:rsid w:val="00C1472E"/>
    <w:rsid w:val="00C32EF4"/>
    <w:rsid w:val="00C36E45"/>
    <w:rsid w:val="00C40CE2"/>
    <w:rsid w:val="00C42691"/>
    <w:rsid w:val="00C43988"/>
    <w:rsid w:val="00C60CEF"/>
    <w:rsid w:val="00C632D1"/>
    <w:rsid w:val="00C668A7"/>
    <w:rsid w:val="00C9190A"/>
    <w:rsid w:val="00C93E11"/>
    <w:rsid w:val="00C95565"/>
    <w:rsid w:val="00CA0CF0"/>
    <w:rsid w:val="00CA1BF3"/>
    <w:rsid w:val="00CB0346"/>
    <w:rsid w:val="00CB0A5F"/>
    <w:rsid w:val="00CC2B16"/>
    <w:rsid w:val="00CC657F"/>
    <w:rsid w:val="00CD0333"/>
    <w:rsid w:val="00CD09C7"/>
    <w:rsid w:val="00CD0C09"/>
    <w:rsid w:val="00CD1C72"/>
    <w:rsid w:val="00CD3592"/>
    <w:rsid w:val="00CD4CB6"/>
    <w:rsid w:val="00CE18BF"/>
    <w:rsid w:val="00CE1ED2"/>
    <w:rsid w:val="00CF2242"/>
    <w:rsid w:val="00CF442F"/>
    <w:rsid w:val="00CF55C1"/>
    <w:rsid w:val="00D011A0"/>
    <w:rsid w:val="00D039E5"/>
    <w:rsid w:val="00D0688D"/>
    <w:rsid w:val="00D071C6"/>
    <w:rsid w:val="00D116AE"/>
    <w:rsid w:val="00D12153"/>
    <w:rsid w:val="00D12B62"/>
    <w:rsid w:val="00D15B29"/>
    <w:rsid w:val="00D278BD"/>
    <w:rsid w:val="00D33246"/>
    <w:rsid w:val="00D35997"/>
    <w:rsid w:val="00D41841"/>
    <w:rsid w:val="00D46093"/>
    <w:rsid w:val="00D5783B"/>
    <w:rsid w:val="00D8040F"/>
    <w:rsid w:val="00D84B78"/>
    <w:rsid w:val="00D85F98"/>
    <w:rsid w:val="00DA78DE"/>
    <w:rsid w:val="00DC58D6"/>
    <w:rsid w:val="00DE43CA"/>
    <w:rsid w:val="00DF5AC3"/>
    <w:rsid w:val="00DF646A"/>
    <w:rsid w:val="00E0114C"/>
    <w:rsid w:val="00E078A8"/>
    <w:rsid w:val="00E1047B"/>
    <w:rsid w:val="00E146C5"/>
    <w:rsid w:val="00E200EC"/>
    <w:rsid w:val="00E209F9"/>
    <w:rsid w:val="00E21A85"/>
    <w:rsid w:val="00E2444B"/>
    <w:rsid w:val="00E25DFA"/>
    <w:rsid w:val="00E27093"/>
    <w:rsid w:val="00E34820"/>
    <w:rsid w:val="00E36772"/>
    <w:rsid w:val="00E438DE"/>
    <w:rsid w:val="00E46C04"/>
    <w:rsid w:val="00E65466"/>
    <w:rsid w:val="00E86952"/>
    <w:rsid w:val="00E9030D"/>
    <w:rsid w:val="00E911B4"/>
    <w:rsid w:val="00EB664B"/>
    <w:rsid w:val="00EC0DA9"/>
    <w:rsid w:val="00EC237E"/>
    <w:rsid w:val="00EC40C4"/>
    <w:rsid w:val="00ED1E42"/>
    <w:rsid w:val="00ED3316"/>
    <w:rsid w:val="00ED6870"/>
    <w:rsid w:val="00ED755A"/>
    <w:rsid w:val="00EE1F35"/>
    <w:rsid w:val="00EE6A3B"/>
    <w:rsid w:val="00F018DA"/>
    <w:rsid w:val="00F027EE"/>
    <w:rsid w:val="00F0669D"/>
    <w:rsid w:val="00F1053E"/>
    <w:rsid w:val="00F11E16"/>
    <w:rsid w:val="00F17245"/>
    <w:rsid w:val="00F21A0D"/>
    <w:rsid w:val="00F33C3F"/>
    <w:rsid w:val="00F35972"/>
    <w:rsid w:val="00F501EB"/>
    <w:rsid w:val="00F53378"/>
    <w:rsid w:val="00F55FD1"/>
    <w:rsid w:val="00F629A1"/>
    <w:rsid w:val="00F62A1A"/>
    <w:rsid w:val="00F64DD6"/>
    <w:rsid w:val="00F7204D"/>
    <w:rsid w:val="00F85C76"/>
    <w:rsid w:val="00F86857"/>
    <w:rsid w:val="00F9184A"/>
    <w:rsid w:val="00FA7161"/>
    <w:rsid w:val="00FB1ABC"/>
    <w:rsid w:val="00FC2309"/>
    <w:rsid w:val="00FC34A9"/>
    <w:rsid w:val="00FC73DA"/>
    <w:rsid w:val="00FD3B01"/>
    <w:rsid w:val="00FD3E5E"/>
    <w:rsid w:val="00FD4B9F"/>
    <w:rsid w:val="00FD5835"/>
    <w:rsid w:val="00FE7417"/>
    <w:rsid w:val="00FF3AE8"/>
    <w:rsid w:val="00FF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FF"/>
    <w:pPr>
      <w:spacing w:before="120" w:after="120"/>
      <w:jc w:val="both"/>
    </w:pPr>
    <w:rPr>
      <w:rFonts w:eastAsiaTheme="minorEastAsia"/>
      <w:lang w:val="es-EC"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F91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1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1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18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65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65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65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65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65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1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C"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F91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C" w:eastAsia="es-EC"/>
    </w:rPr>
  </w:style>
  <w:style w:type="character" w:customStyle="1" w:styleId="Ttulo3Car">
    <w:name w:val="Título 3 Car"/>
    <w:basedOn w:val="Fuentedeprrafopredeter"/>
    <w:link w:val="Ttulo3"/>
    <w:uiPriority w:val="9"/>
    <w:rsid w:val="00F9184A"/>
    <w:rPr>
      <w:rFonts w:asciiTheme="majorHAnsi" w:eastAsiaTheme="majorEastAsia" w:hAnsiTheme="majorHAnsi" w:cstheme="majorBidi"/>
      <w:b/>
      <w:bCs/>
      <w:color w:val="4F81BD" w:themeColor="accent1"/>
      <w:lang w:val="es-EC" w:eastAsia="es-EC"/>
    </w:rPr>
  </w:style>
  <w:style w:type="paragraph" w:styleId="Prrafodelista">
    <w:name w:val="List Paragraph"/>
    <w:basedOn w:val="Normal"/>
    <w:uiPriority w:val="34"/>
    <w:qFormat/>
    <w:rsid w:val="00F9184A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F9184A"/>
  </w:style>
  <w:style w:type="paragraph" w:styleId="Epgrafe">
    <w:name w:val="caption"/>
    <w:basedOn w:val="Normal"/>
    <w:next w:val="Normal"/>
    <w:uiPriority w:val="35"/>
    <w:unhideWhenUsed/>
    <w:qFormat/>
    <w:rsid w:val="00F9184A"/>
    <w:pPr>
      <w:spacing w:line="240" w:lineRule="auto"/>
    </w:pPr>
    <w:rPr>
      <w:b/>
      <w:bCs/>
      <w:sz w:val="18"/>
      <w:szCs w:val="18"/>
    </w:rPr>
  </w:style>
  <w:style w:type="table" w:styleId="Tablaconcuadrcula">
    <w:name w:val="Table Grid"/>
    <w:basedOn w:val="Tablanormal"/>
    <w:uiPriority w:val="59"/>
    <w:rsid w:val="00F9184A"/>
    <w:pPr>
      <w:spacing w:after="0" w:line="240" w:lineRule="auto"/>
    </w:pPr>
    <w:rPr>
      <w:rFonts w:eastAsiaTheme="minorEastAsia"/>
      <w:lang w:val="es-EC" w:eastAsia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9184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184A"/>
    <w:rPr>
      <w:rFonts w:eastAsiaTheme="minorEastAsia"/>
      <w:sz w:val="20"/>
      <w:szCs w:val="20"/>
      <w:lang w:val="es-EC" w:eastAsia="es-EC"/>
    </w:rPr>
  </w:style>
  <w:style w:type="character" w:styleId="Refdenotaalpie">
    <w:name w:val="footnote reference"/>
    <w:basedOn w:val="Fuentedeprrafopredeter"/>
    <w:uiPriority w:val="99"/>
    <w:semiHidden/>
    <w:unhideWhenUsed/>
    <w:rsid w:val="00F9184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918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18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184A"/>
    <w:rPr>
      <w:rFonts w:eastAsiaTheme="minorEastAsia"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84A"/>
    <w:rPr>
      <w:rFonts w:ascii="Tahoma" w:eastAsiaTheme="minorEastAsia" w:hAnsi="Tahoma" w:cs="Tahoma"/>
      <w:sz w:val="16"/>
      <w:szCs w:val="16"/>
      <w:lang w:val="es-EC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F918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F91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9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9184A"/>
    <w:rPr>
      <w:color w:val="0000FF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F9184A"/>
    <w:pPr>
      <w:outlineLvl w:val="9"/>
    </w:pPr>
    <w:rPr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918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918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detextonormal">
    <w:name w:val="Body Text Indent"/>
    <w:basedOn w:val="Default"/>
    <w:next w:val="Default"/>
    <w:link w:val="SangradetextonormalCar"/>
    <w:uiPriority w:val="99"/>
    <w:rsid w:val="00F9184A"/>
    <w:rPr>
      <w:rFonts w:ascii="Arial Narrow" w:hAnsi="Arial Narrow" w:cstheme="minorBidi"/>
      <w:color w:val="aut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9184A"/>
    <w:rPr>
      <w:rFonts w:ascii="Arial Narrow" w:hAnsi="Arial Narrow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9184A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9184A"/>
    <w:pPr>
      <w:spacing w:after="0" w:line="240" w:lineRule="auto"/>
    </w:pPr>
    <w:rPr>
      <w:rFonts w:eastAsiaTheme="minorHAnsi"/>
      <w:sz w:val="20"/>
      <w:szCs w:val="20"/>
      <w:lang w:val="es-ES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918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9184A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unhideWhenUsed/>
    <w:rsid w:val="00F9184A"/>
    <w:pPr>
      <w:spacing w:after="100"/>
      <w:ind w:left="220"/>
    </w:pPr>
    <w:rPr>
      <w:rFonts w:eastAsia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F9184A"/>
    <w:pPr>
      <w:spacing w:after="100"/>
      <w:ind w:left="440"/>
    </w:pPr>
    <w:rPr>
      <w:rFonts w:eastAsiaTheme="minorHAnsi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F9184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184A"/>
  </w:style>
  <w:style w:type="paragraph" w:styleId="Piedepgina">
    <w:name w:val="footer"/>
    <w:basedOn w:val="Normal"/>
    <w:link w:val="PiedepginaCar"/>
    <w:uiPriority w:val="99"/>
    <w:unhideWhenUsed/>
    <w:rsid w:val="00F9184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184A"/>
  </w:style>
  <w:style w:type="paragraph" w:styleId="TDC1">
    <w:name w:val="toc 1"/>
    <w:basedOn w:val="Normal"/>
    <w:next w:val="Normal"/>
    <w:autoRedefine/>
    <w:uiPriority w:val="39"/>
    <w:unhideWhenUsed/>
    <w:rsid w:val="00C668A7"/>
    <w:pPr>
      <w:tabs>
        <w:tab w:val="left" w:pos="440"/>
        <w:tab w:val="right" w:leader="dot" w:pos="8494"/>
      </w:tabs>
      <w:spacing w:after="100"/>
    </w:pPr>
    <w:rPr>
      <w:rFonts w:eastAsiaTheme="minorHAnsi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E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E5D"/>
    <w:rPr>
      <w:rFonts w:eastAsiaTheme="minorEastAsia"/>
      <w:b/>
      <w:bCs/>
      <w:sz w:val="20"/>
      <w:szCs w:val="20"/>
      <w:lang w:val="es-EC" w:eastAsia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657F"/>
    <w:rPr>
      <w:rFonts w:asciiTheme="majorHAnsi" w:eastAsiaTheme="majorEastAsia" w:hAnsiTheme="majorHAnsi" w:cstheme="majorBidi"/>
      <w:color w:val="243F60" w:themeColor="accent1" w:themeShade="7F"/>
      <w:lang w:val="es-EC" w:eastAsia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657F"/>
    <w:rPr>
      <w:rFonts w:asciiTheme="majorHAnsi" w:eastAsiaTheme="majorEastAsia" w:hAnsiTheme="majorHAnsi" w:cstheme="majorBidi"/>
      <w:i/>
      <w:iCs/>
      <w:color w:val="243F60" w:themeColor="accent1" w:themeShade="7F"/>
      <w:lang w:val="es-EC" w:eastAsia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657F"/>
    <w:rPr>
      <w:rFonts w:asciiTheme="majorHAnsi" w:eastAsiaTheme="majorEastAsia" w:hAnsiTheme="majorHAnsi" w:cstheme="majorBidi"/>
      <w:i/>
      <w:iCs/>
      <w:color w:val="404040" w:themeColor="text1" w:themeTint="BF"/>
      <w:lang w:val="es-EC" w:eastAsia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657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C" w:eastAsia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65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C" w:eastAsia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INE00</b:Tag>
    <b:SourceType>DocumentFromInternetSite</b:SourceType>
    <b:Guid>{C6DFD5BF-5FDF-4432-93F7-B8BC246DFC09}</b:Guid>
    <b:Title>Instituto Nacianal de Estadísticas y Censos</b:Title>
    <b:Year>2000</b:Year>
    <b:Author>
      <b:Author>
        <b:Corporate>INEC</b:Corporate>
      </b:Author>
    </b:Author>
    <b:YearAccessed>2017</b:YearAccessed>
    <b:MonthAccessed>09</b:MonthAccessed>
    <b:URL>www.ecuadorencifras.gob.ec/censo-nacional-agropecuario/</b:URL>
    <b:RefOrder>1</b:RefOrder>
  </b:Source>
  <b:Source>
    <b:Tag>INE17</b:Tag>
    <b:SourceType>DocumentFromInternetSite</b:SourceType>
    <b:Guid>{6A892E56-0A9F-4F3B-A674-38205A5C2439}</b:Guid>
    <b:Author>
      <b:Author>
        <b:Corporate>INEC</b:Corporate>
      </b:Author>
    </b:Author>
    <b:Title>ENEMDU</b:Title>
    <b:Year>2017</b:Year>
    <b:YearAccessed>2017</b:YearAccessed>
    <b:MonthAccessed>09</b:MonthAccessed>
    <b:URL>www.ecuadorencifras.gob.ec/enemdu-2017</b:URL>
    <b:RefOrder>2</b:RefOrder>
  </b:Source>
  <b:Source>
    <b:Tag>INE16</b:Tag>
    <b:SourceType>DocumentFromInternetSite</b:SourceType>
    <b:Guid>{AAE85E9C-AF57-4E7E-BF64-167D38B6AC61}</b:Guid>
    <b:Author>
      <b:Author>
        <b:Corporate>INEC</b:Corporate>
      </b:Author>
    </b:Author>
    <b:Title>ESPAC</b:Title>
    <b:Year>2016</b:Year>
    <b:YearAccessed>2017</b:YearAccessed>
    <b:MonthAccessed>09</b:MonthAccessed>
    <b:URL>www.ecuadorencifras.gob.ec/.../espac</b:URL>
    <b:RefOrder>3</b:RefOrder>
  </b:Source>
  <b:Source>
    <b:Tag>Fra16</b:Tag>
    <b:SourceType>Book</b:SourceType>
    <b:Guid>{9DFB7E45-E52B-4098-A0E5-8AAC25E7A4B6}</b:Guid>
    <b:Author>
      <b:Author>
        <b:NameList>
          <b:Person>
            <b:Last>Francois Houtart</b:Last>
            <b:First>Michel</b:First>
            <b:Middle>Laforge</b:Middle>
          </b:Person>
        </b:NameList>
      </b:Author>
    </b:Author>
    <b:Title>Manifiesto para la agricultura familiar, campesina e indígena</b:Title>
    <b:Year>2016</b:Year>
    <b:City>Quito</b:City>
    <b:Publisher>IAEN</b:Publisher>
    <b:RefOrder>4</b:RefOrder>
  </b:Source>
  <b:Source>
    <b:Tag>Rub03</b:Tag>
    <b:SourceType>Report</b:SourceType>
    <b:Guid>{1AC0C097-DEF9-437F-A30C-01E6F8B67DB4}</b:Guid>
    <b:Title>I Informe sobre recursos zoogenéticos en el Ecuador</b:Title>
    <b:Year>2003</b:Year>
    <b:City>Quito</b:City>
    <b:Publisher>MAG</b:Publisher>
    <b:Author>
      <b:Author>
        <b:NameList>
          <b:Person>
            <b:Last>Haro</b:Last>
            <b:First>Rubén</b:First>
          </b:Person>
        </b:NameList>
      </b:Author>
    </b:Author>
    <b:RefOrder>5</b:RefOrder>
  </b:Source>
  <b:Source>
    <b:Tag>Car06</b:Tag>
    <b:SourceType>Report</b:SourceType>
    <b:Guid>{EB1D1554-9FE3-4EC8-BECC-4C679983A58F}</b:Guid>
    <b:Title>Ecuador Nota de análisis sectorial, agricultura y desarrollo rural</b:Title>
    <b:Year>2006</b:Year>
    <b:Publisher>FAO</b:Publisher>
    <b:City>Quito</b:City>
    <b:Author>
      <b:Author>
        <b:NameList>
          <b:Person>
            <b:Last>Nieto</b:Last>
            <b:First>Carlos</b:First>
          </b:Person>
        </b:NameList>
      </b:Author>
    </b:Author>
    <b:RefOrder>6</b:RefOrder>
  </b:Source>
  <b:Source>
    <b:Tag>MAG16</b:Tag>
    <b:SourceType>Book</b:SourceType>
    <b:Guid>{8630A46E-FAB0-4874-94A7-9A0A2EC3505B}</b:Guid>
    <b:Title>La política agropecuaria ecuatoriana</b:Title>
    <b:Year>2016</b:Year>
    <b:Publisher>MAGAP</b:Publisher>
    <b:City>Quito</b:City>
    <b:Author>
      <b:Author>
        <b:Corporate>MAGAP</b:Corporate>
      </b:Author>
    </b:Author>
    <b:RefOrder>7</b:RefOrder>
  </b:Source>
  <b:Source>
    <b:Tag>PRO16</b:Tag>
    <b:SourceType>DocumentFromInternetSite</b:SourceType>
    <b:Guid>{10F56472-CE38-41F2-9003-215E485EAC76}</b:Guid>
    <b:Title>Perfil sectorial de carnes y lácteos</b:Title>
    <b:Year>2016</b:Year>
    <b:YearAccessed>2017</b:YearAccessed>
    <b:MonthAccessed>09</b:MonthAccessed>
    <b:URL>http://www.proecuador.gob.ec/wp-content/uploads/2016/07/proec_psi2016_lacteos.pdf</b:URL>
    <b:Author>
      <b:Author>
        <b:Corporate>PROECUADOR</b:Corporate>
      </b:Author>
    </b:Author>
    <b:RefOrder>8</b:RefOrder>
  </b:Source>
  <b:Source>
    <b:Tag>AGS16</b:Tag>
    <b:SourceType>DocumentFromInternetSite</b:SourceType>
    <b:Guid>{2BDBC96D-16DC-4F6A-8B82-10929D24162D}</b:Guid>
    <b:Author>
      <b:Author>
        <b:Corporate>AGSO</b:Corporate>
      </b:Author>
    </b:Author>
    <b:Title>AGSO</b:Title>
    <b:Year>2016</b:Year>
    <b:YearAccessed>2017</b:YearAccessed>
    <b:URL>www.agso.ec</b:URL>
    <b:RefOrder>9</b:RefOrder>
  </b:Source>
  <b:Source>
    <b:Tag>BCE14</b:Tag>
    <b:SourceType>DocumentFromInternetSite</b:SourceType>
    <b:Guid>{AC945224-05C5-480D-BE76-1BB37CE1EF36}</b:Guid>
    <b:Author>
      <b:Author>
        <b:Corporate>BCE</b:Corporate>
      </b:Author>
    </b:Author>
    <b:Title>Banco Central del Ecuador</b:Title>
    <b:Year>2014</b:Year>
    <b:YearAccessed>2017</b:YearAccessed>
    <b:URL>www.bce.fin.ec</b:URL>
    <b:RefOrder>10</b:RefOrder>
  </b:Source>
  <b:Source>
    <b:Tag>Can10</b:Tag>
    <b:SourceType>DocumentFromInternetSite</b:SourceType>
    <b:Guid>{73F58C73-838B-45B6-9AF5-7FB9B2D44D63}</b:Guid>
    <b:Title>Estudio del Proceso bioquímico de fermenrtación de biodiestores para la producción de biogas y biofertilizante a partir de residuos provenientes del campus de la Universidad de El Salvador</b:Title>
    <b:Year>2010</b:Year>
    <b:YearAccessed>2017</b:YearAccessed>
    <b:URL>www.yumpu.com/es/document/view/15352261/descargar-4mb-universidad-de-elsalvador[</b:URL>
    <b:Author>
      <b:Author>
        <b:NameList>
          <b:Person>
            <b:Last>Canales Garcia</b:Last>
            <b:First>M.,</b:First>
            <b:Middle>Rivas Oliva, L., Sorto Cruz, R.</b:Middle>
          </b:Person>
        </b:NameList>
      </b:Author>
    </b:Author>
    <b:RefOrder>11</b:RefOrder>
  </b:Source>
  <b:Source>
    <b:Tag>Bav06</b:Tag>
    <b:SourceType>DocumentFromInternetSite</b:SourceType>
    <b:Guid>{88866A3E-492F-4A52-989B-4AB821F8D972}</b:Guid>
    <b:Author>
      <b:Author>
        <b:NameList>
          <b:Person>
            <b:Last>Bavera</b:Last>
            <b:First>G</b:First>
          </b:Person>
          <b:Person>
            <b:Last>Peñafort</b:Last>
            <b:First>H</b:First>
          </b:Person>
        </b:NameList>
      </b:Author>
    </b:Author>
    <b:Title>Las heces del bovino y su relación con la alimentación</b:Title>
    <b:Year>2006</b:Year>
    <b:YearAccessed>2017</b:YearAccessed>
    <b:URL>www.produccion-animal.com.ar/.../61-heces_del_bovino_y_relacion_con_la_aliment...</b:URL>
    <b:RefOrder>12</b:RefOrder>
  </b:Source>
  <b:Source>
    <b:Tag>Bot</b:Tag>
    <b:SourceType>DocumentFromInternetSite</b:SourceType>
    <b:Guid>{0D16F696-7EBD-4FB9-8A3B-CCD0D1EA3720}</b:Guid>
    <b:Author>
      <b:Author>
        <b:NameList>
          <b:Person>
            <b:Last>Botero</b:Last>
            <b:First>R</b:First>
          </b:Person>
        </b:NameList>
      </b:Author>
    </b:Author>
    <b:RefOrder>13</b:RefOrder>
  </b:Source>
  <b:Source>
    <b:Tag>Bot06</b:Tag>
    <b:SourceType>DocumentFromInternetSite</b:SourceType>
    <b:Guid>{4CE41BF4-567A-4A09-9173-77657EDEB753}</b:Guid>
    <b:Author>
      <b:Author>
        <b:NameList>
          <b:Person>
            <b:Last>Botero. R</b:Last>
            <b:First>Hernández.</b:First>
            <b:Middle>C</b:Middle>
          </b:Person>
        </b:NameList>
      </b:Author>
    </b:Author>
    <b:Title>Manejo productivo de excretas en sistemas ganaderos tropicales</b:Title>
    <b:Year>2006</b:Year>
    <b:YearAccessed>2017</b:YearAccessed>
    <b:URL>www.engormix.com › Ganadería › Artículos técnicos › </b:URL>
    <b:RefOrder>14</b:RefOrder>
  </b:Source>
  <b:Source>
    <b:Tag>Rob17</b:Tag>
    <b:SourceType>DocumentFromInternetSite</b:SourceType>
    <b:Guid>{98954C4C-63D1-484E-8E09-45FEA860A0AF}</b:Guid>
    <b:Author>
      <b:Author>
        <b:NameList>
          <b:Person>
            <b:Last>Roberts</b:Last>
            <b:First>T</b:First>
          </b:Person>
        </b:NameList>
      </b:Author>
    </b:Author>
    <b:Title>Breves agronómicas</b:Title>
    <b:YearAccessed>2017</b:YearAccessed>
    <b:URL>www.ipni.net/ppiweb/iamex.nsf/$webindex/.../$file/Breves+El+Estiercol.pdf</b:URL>
    <b:RefOrder>15</b:RefOrder>
  </b:Source>
  <b:Source>
    <b:Tag>USD15</b:Tag>
    <b:SourceType>Report</b:SourceType>
    <b:Guid>{725A3BBE-251A-4D76-9583-BE0BC0961EBE}</b:Guid>
    <b:Author>
      <b:Author>
        <b:Corporate>USDA FAS</b:Corporate>
      </b:Author>
    </b:Author>
    <b:Title>Ecuador livestock annual global agricultural information</b:Title>
    <b:Year>2015</b:Year>
    <b:YearAccessed>2017</b:YearAccessed>
    <b:RefOrder>16</b:RefOrder>
  </b:Source>
  <b:Source>
    <b:Tag>INE11</b:Tag>
    <b:SourceType>DocumentFromInternetSite</b:SourceType>
    <b:Guid>{D354B03B-EEA7-489C-887F-96915BF85D94}</b:Guid>
    <b:Title>ENIGHUR</b:Title>
    <b:Year>2011</b:Year>
    <b:Author>
      <b:Author>
        <b:Corporate>INER</b:Corporate>
      </b:Author>
    </b:Author>
    <b:YearAccessed>2017</b:YearAccessed>
    <b:URL>anda.inec.gob.ec › Página principal › Catálogo Central de Datos › SOCDEMO</b:URL>
    <b:RefOrder>17</b:RefOrder>
  </b:Source>
  <b:Source>
    <b:Tag>Cas14</b:Tag>
    <b:SourceType>Book</b:SourceType>
    <b:Guid>{51CBFCDF-8BC3-4A55-8ABA-B3132F61EFB4}</b:Guid>
    <b:Title>Análisis de la Productividad y competitividad de la ganadería de carne en el Litoral ecuatoriano</b:Title>
    <b:Year>2014</b:Year>
    <b:Author>
      <b:Author>
        <b:NameList>
          <b:Person>
            <b:Last>Castillo</b:Last>
            <b:First>M</b:First>
          </b:Person>
        </b:NameList>
      </b:Author>
    </b:Author>
    <b:City>Santiago</b:City>
    <b:RefOrder>18</b:RefOrder>
  </b:Source>
  <b:Source>
    <b:Tag>CIL15</b:Tag>
    <b:SourceType>Book</b:SourceType>
    <b:Guid>{BC6032F8-0EE0-4D56-B40B-3BCFCCB9BBED}</b:Guid>
    <b:Author>
      <b:Author>
        <b:Corporate>CIL</b:Corporate>
      </b:Author>
    </b:Author>
    <b:Title>La leche del Ecuador - Historia de la lechería ecuatoriana </b:Title>
    <b:Year>2015</b:Year>
    <b:City>Quito</b:City>
    <b:Publisher>Effecto studio</b:Publisher>
    <b:RefOrder>19</b:RefOrder>
  </b:Source>
  <b:Source>
    <b:Tag>Don93</b:Tag>
    <b:SourceType>Book</b:SourceType>
    <b:Guid>{8C1CA54F-5495-47C4-A38F-7DDADECB0087}</b:Guid>
    <b:Author>
      <b:Author>
        <b:NameList>
          <b:Person>
            <b:Last>Donald. B</b:Last>
            <b:First>Mack.</b:First>
            <b:Middle>N</b:Middle>
          </b:Person>
        </b:NameList>
      </b:Author>
    </b:Author>
    <b:Title>Manual de producción avícola</b:Title>
    <b:Year>1993</b:Year>
    <b:City>México</b:City>
    <b:RefOrder>20</b:RefOrder>
  </b:Source>
  <b:Source>
    <b:Tag>Est05</b:Tag>
    <b:SourceType>DocumentFromInternetSite</b:SourceType>
    <b:Guid>{0A340C12-A28D-4FEC-A63D-5EA80E5B6A87}</b:Guid>
    <b:Title>Manejo y procesamiento de la gallinaza</b:Title>
    <b:Year>2005</b:Year>
    <b:Author>
      <b:Author>
        <b:NameList>
          <b:Person>
            <b:Last>M</b:Last>
            <b:First>Estrada.</b:First>
          </b:Person>
        </b:NameList>
      </b:Author>
    </b:Author>
    <b:YearAccessed>2017</b:YearAccessed>
    <b:URL>redalyc.uaemex.mx/pdf</b:URL>
    <b:RefOrder>21</b:RefOrder>
  </b:Source>
  <b:Source>
    <b:Tag>Ins14</b:Tag>
    <b:SourceType>DocumentFromInternetSite</b:SourceType>
    <b:Guid>{16FC69C7-07B9-46B0-A119-1747183BEC85}</b:Guid>
    <b:Author>
      <b:Author>
        <b:Corporate>Instituto Nacional de Preinversión</b:Corporate>
      </b:Author>
    </b:Author>
    <b:Title>Atlas Bionergético del Ecuador</b:Title>
    <b:Year>2014</b:Year>
    <b:RefOrder>22</b:RefOrder>
  </b:Source>
</b:Sources>
</file>

<file path=customXml/itemProps1.xml><?xml version="1.0" encoding="utf-8"?>
<ds:datastoreItem xmlns:ds="http://schemas.openxmlformats.org/officeDocument/2006/customXml" ds:itemID="{CE8E808D-F488-4454-9CBC-8AB09FCF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2</cp:revision>
  <dcterms:created xsi:type="dcterms:W3CDTF">2018-12-12T18:27:00Z</dcterms:created>
  <dcterms:modified xsi:type="dcterms:W3CDTF">2018-12-12T18:27:00Z</dcterms:modified>
</cp:coreProperties>
</file>