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39E6B" w14:textId="77777777" w:rsidR="00481853" w:rsidRPr="002E1D52" w:rsidRDefault="0061494F" w:rsidP="00047E68">
      <w:pPr>
        <w:pStyle w:val="ListParagraph"/>
        <w:spacing w:after="0" w:line="240" w:lineRule="auto"/>
        <w:ind w:left="284"/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 w:rsidRPr="002E1D52">
        <w:rPr>
          <w:b/>
          <w:sz w:val="22"/>
          <w:szCs w:val="22"/>
          <w:u w:val="single"/>
        </w:rPr>
        <w:t>Oportunidades de Alianzas Estratégicas</w:t>
      </w:r>
    </w:p>
    <w:p w14:paraId="40B1342E" w14:textId="77777777" w:rsidR="002E1D52" w:rsidRDefault="002E1D52" w:rsidP="002E1D52">
      <w:pPr>
        <w:spacing w:after="0" w:line="240" w:lineRule="auto"/>
        <w:rPr>
          <w:b/>
          <w:sz w:val="22"/>
          <w:szCs w:val="22"/>
        </w:rPr>
      </w:pPr>
    </w:p>
    <w:p w14:paraId="692BA339" w14:textId="77777777" w:rsidR="0061494F" w:rsidRPr="00047E68" w:rsidRDefault="00C22DD8" w:rsidP="00047E68">
      <w:pPr>
        <w:pStyle w:val="ListParagraph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b/>
          <w:sz w:val="22"/>
          <w:szCs w:val="22"/>
        </w:rPr>
      </w:pPr>
      <w:r w:rsidRPr="00047E68">
        <w:rPr>
          <w:b/>
          <w:sz w:val="22"/>
          <w:szCs w:val="22"/>
        </w:rPr>
        <w:t xml:space="preserve">Eje </w:t>
      </w:r>
      <w:r w:rsidR="009E0349" w:rsidRPr="00047E68">
        <w:rPr>
          <w:b/>
          <w:sz w:val="22"/>
          <w:szCs w:val="22"/>
        </w:rPr>
        <w:t>E</w:t>
      </w:r>
      <w:r w:rsidR="00F11A31">
        <w:rPr>
          <w:b/>
          <w:sz w:val="22"/>
          <w:szCs w:val="22"/>
        </w:rPr>
        <w:t>stratégico de Coordinación</w:t>
      </w:r>
    </w:p>
    <w:p w14:paraId="4A21ABBB" w14:textId="77777777" w:rsidR="00047E68" w:rsidRDefault="00047E68" w:rsidP="00047E68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b/>
          <w:sz w:val="22"/>
          <w:szCs w:val="22"/>
        </w:rPr>
      </w:pPr>
    </w:p>
    <w:p w14:paraId="08C5FF9A" w14:textId="77777777" w:rsidR="008679DB" w:rsidRPr="00047E68" w:rsidRDefault="008679DB" w:rsidP="008679DB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</w:t>
      </w:r>
      <w:r w:rsidRPr="00047E68">
        <w:rPr>
          <w:sz w:val="22"/>
          <w:szCs w:val="22"/>
        </w:rPr>
        <w:t>C</w:t>
      </w:r>
      <w:r>
        <w:rPr>
          <w:sz w:val="22"/>
          <w:szCs w:val="22"/>
        </w:rPr>
        <w:t xml:space="preserve">omité </w:t>
      </w:r>
      <w:r w:rsidRPr="00047E68">
        <w:rPr>
          <w:sz w:val="22"/>
          <w:szCs w:val="22"/>
        </w:rPr>
        <w:t>N</w:t>
      </w:r>
      <w:r>
        <w:rPr>
          <w:sz w:val="22"/>
          <w:szCs w:val="22"/>
        </w:rPr>
        <w:t xml:space="preserve">acional de </w:t>
      </w:r>
      <w:r w:rsidRPr="00047E68">
        <w:rPr>
          <w:sz w:val="22"/>
          <w:szCs w:val="22"/>
        </w:rPr>
        <w:t>R</w:t>
      </w:r>
      <w:r>
        <w:rPr>
          <w:sz w:val="22"/>
          <w:szCs w:val="22"/>
        </w:rPr>
        <w:t xml:space="preserve">estauración </w:t>
      </w:r>
      <w:r w:rsidRPr="00047E68">
        <w:rPr>
          <w:sz w:val="22"/>
          <w:szCs w:val="22"/>
        </w:rPr>
        <w:t>E</w:t>
      </w:r>
      <w:r>
        <w:rPr>
          <w:sz w:val="22"/>
          <w:szCs w:val="22"/>
        </w:rPr>
        <w:t xml:space="preserve">cológica </w:t>
      </w:r>
      <w:r w:rsidRPr="00047E68">
        <w:rPr>
          <w:sz w:val="22"/>
          <w:szCs w:val="22"/>
        </w:rPr>
        <w:t>incor</w:t>
      </w:r>
      <w:r>
        <w:rPr>
          <w:sz w:val="22"/>
          <w:szCs w:val="22"/>
        </w:rPr>
        <w:t xml:space="preserve">pora en su </w:t>
      </w:r>
      <w:r w:rsidR="0048651C">
        <w:rPr>
          <w:sz w:val="22"/>
          <w:szCs w:val="22"/>
        </w:rPr>
        <w:t xml:space="preserve">estrategia </w:t>
      </w:r>
      <w:r w:rsidR="005919A0">
        <w:rPr>
          <w:sz w:val="22"/>
          <w:szCs w:val="22"/>
        </w:rPr>
        <w:t xml:space="preserve">y </w:t>
      </w:r>
      <w:r w:rsidRPr="00047E68">
        <w:rPr>
          <w:sz w:val="22"/>
          <w:szCs w:val="22"/>
        </w:rPr>
        <w:t xml:space="preserve">en el lineamiento de Institucionalidad y Gobernanza para la </w:t>
      </w:r>
      <w:r>
        <w:rPr>
          <w:sz w:val="22"/>
          <w:szCs w:val="22"/>
        </w:rPr>
        <w:t xml:space="preserve">Restauración, </w:t>
      </w:r>
      <w:r w:rsidR="0048651C">
        <w:rPr>
          <w:sz w:val="22"/>
          <w:szCs w:val="22"/>
        </w:rPr>
        <w:t xml:space="preserve">las bases para </w:t>
      </w:r>
      <w:r w:rsidRPr="00047E68">
        <w:rPr>
          <w:sz w:val="22"/>
          <w:szCs w:val="22"/>
        </w:rPr>
        <w:t xml:space="preserve">el </w:t>
      </w:r>
      <w:r w:rsidR="005919A0">
        <w:rPr>
          <w:sz w:val="22"/>
          <w:szCs w:val="22"/>
        </w:rPr>
        <w:t xml:space="preserve">establecimiento </w:t>
      </w:r>
      <w:r w:rsidRPr="00047E68">
        <w:rPr>
          <w:sz w:val="22"/>
          <w:szCs w:val="22"/>
        </w:rPr>
        <w:t>de las estructuras de los niveles regional y local.</w:t>
      </w:r>
    </w:p>
    <w:p w14:paraId="2EEB622E" w14:textId="77777777" w:rsidR="008679DB" w:rsidRPr="00047E68" w:rsidRDefault="008679DB" w:rsidP="008679DB">
      <w:pPr>
        <w:pStyle w:val="ListParagraph"/>
        <w:spacing w:after="0" w:line="240" w:lineRule="auto"/>
        <w:ind w:left="426"/>
        <w:jc w:val="both"/>
        <w:rPr>
          <w:sz w:val="22"/>
          <w:szCs w:val="22"/>
        </w:rPr>
      </w:pPr>
    </w:p>
    <w:p w14:paraId="17225123" w14:textId="77777777" w:rsidR="008679DB" w:rsidRPr="00047E68" w:rsidRDefault="0048651C" w:rsidP="008679DB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</w:t>
      </w:r>
      <w:r w:rsidRPr="00047E68">
        <w:rPr>
          <w:sz w:val="22"/>
          <w:szCs w:val="22"/>
        </w:rPr>
        <w:t>C</w:t>
      </w:r>
      <w:r>
        <w:rPr>
          <w:sz w:val="22"/>
          <w:szCs w:val="22"/>
        </w:rPr>
        <w:t xml:space="preserve">omité </w:t>
      </w:r>
      <w:r w:rsidRPr="00047E68">
        <w:rPr>
          <w:sz w:val="22"/>
          <w:szCs w:val="22"/>
        </w:rPr>
        <w:t>N</w:t>
      </w:r>
      <w:r>
        <w:rPr>
          <w:sz w:val="22"/>
          <w:szCs w:val="22"/>
        </w:rPr>
        <w:t xml:space="preserve">acional de </w:t>
      </w:r>
      <w:r w:rsidRPr="00047E68">
        <w:rPr>
          <w:sz w:val="22"/>
          <w:szCs w:val="22"/>
        </w:rPr>
        <w:t>R</w:t>
      </w:r>
      <w:r>
        <w:rPr>
          <w:sz w:val="22"/>
          <w:szCs w:val="22"/>
        </w:rPr>
        <w:t xml:space="preserve">estauración </w:t>
      </w:r>
      <w:r w:rsidRPr="00047E68">
        <w:rPr>
          <w:sz w:val="22"/>
          <w:szCs w:val="22"/>
        </w:rPr>
        <w:t>E</w:t>
      </w:r>
      <w:r>
        <w:rPr>
          <w:sz w:val="22"/>
          <w:szCs w:val="22"/>
        </w:rPr>
        <w:t>cológica</w:t>
      </w:r>
      <w:r w:rsidR="008679DB" w:rsidRPr="00047E68">
        <w:rPr>
          <w:sz w:val="22"/>
          <w:szCs w:val="22"/>
        </w:rPr>
        <w:t xml:space="preserve"> </w:t>
      </w:r>
      <w:r>
        <w:rPr>
          <w:sz w:val="22"/>
          <w:szCs w:val="22"/>
        </w:rPr>
        <w:t>define</w:t>
      </w:r>
      <w:r w:rsidR="008679DB" w:rsidRPr="00047E68">
        <w:rPr>
          <w:sz w:val="22"/>
          <w:szCs w:val="22"/>
        </w:rPr>
        <w:t xml:space="preserve"> acciones</w:t>
      </w:r>
      <w:r>
        <w:rPr>
          <w:sz w:val="22"/>
          <w:szCs w:val="22"/>
        </w:rPr>
        <w:t xml:space="preserve"> de</w:t>
      </w:r>
      <w:r w:rsidR="008679DB" w:rsidRPr="00047E68">
        <w:rPr>
          <w:sz w:val="22"/>
          <w:szCs w:val="22"/>
        </w:rPr>
        <w:t xml:space="preserve"> su plan de trabajo </w:t>
      </w:r>
      <w:r>
        <w:rPr>
          <w:sz w:val="22"/>
          <w:szCs w:val="22"/>
        </w:rPr>
        <w:t>y la estrategia para que sean abordadas y lideradas desde l</w:t>
      </w:r>
      <w:r w:rsidR="000451D0">
        <w:rPr>
          <w:sz w:val="22"/>
          <w:szCs w:val="22"/>
        </w:rPr>
        <w:t xml:space="preserve">as estructuras de los </w:t>
      </w:r>
      <w:r>
        <w:rPr>
          <w:sz w:val="22"/>
          <w:szCs w:val="22"/>
        </w:rPr>
        <w:t xml:space="preserve">niveles </w:t>
      </w:r>
      <w:r w:rsidR="000451D0">
        <w:rPr>
          <w:sz w:val="22"/>
          <w:szCs w:val="22"/>
        </w:rPr>
        <w:t>regional y local</w:t>
      </w:r>
      <w:r>
        <w:rPr>
          <w:sz w:val="22"/>
          <w:szCs w:val="22"/>
        </w:rPr>
        <w:t>.</w:t>
      </w:r>
    </w:p>
    <w:p w14:paraId="1A8F57B3" w14:textId="77777777" w:rsidR="008679DB" w:rsidRDefault="008679DB" w:rsidP="00047E68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b/>
          <w:sz w:val="22"/>
          <w:szCs w:val="22"/>
        </w:rPr>
      </w:pPr>
    </w:p>
    <w:p w14:paraId="08243969" w14:textId="7195FC41" w:rsidR="00047E68" w:rsidRPr="00047E68" w:rsidRDefault="00047E68" w:rsidP="008C5DDE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 w:rsidRPr="00047E68">
        <w:rPr>
          <w:sz w:val="22"/>
          <w:szCs w:val="22"/>
        </w:rPr>
        <w:t>El Ministerio de Medio Ambiente</w:t>
      </w:r>
      <w:r>
        <w:rPr>
          <w:sz w:val="22"/>
          <w:szCs w:val="22"/>
        </w:rPr>
        <w:t xml:space="preserve"> y Seremis, desde la </w:t>
      </w:r>
      <w:r w:rsidRPr="00047E68">
        <w:rPr>
          <w:sz w:val="22"/>
          <w:szCs w:val="22"/>
        </w:rPr>
        <w:t xml:space="preserve">División de Recursos Naturales y Biodiversidad, impulsan la identificación de territorios </w:t>
      </w:r>
      <w:r w:rsidR="007D4930">
        <w:rPr>
          <w:sz w:val="22"/>
          <w:szCs w:val="22"/>
        </w:rPr>
        <w:t>y prioridades regionales</w:t>
      </w:r>
      <w:r w:rsidR="007D4930" w:rsidRPr="00047E68">
        <w:rPr>
          <w:sz w:val="22"/>
          <w:szCs w:val="22"/>
        </w:rPr>
        <w:t xml:space="preserve"> </w:t>
      </w:r>
      <w:r w:rsidRPr="00047E68">
        <w:rPr>
          <w:sz w:val="22"/>
          <w:szCs w:val="22"/>
        </w:rPr>
        <w:t>para restauración</w:t>
      </w:r>
      <w:r>
        <w:rPr>
          <w:sz w:val="22"/>
          <w:szCs w:val="22"/>
        </w:rPr>
        <w:t xml:space="preserve">, </w:t>
      </w:r>
      <w:r w:rsidR="008C5DDE">
        <w:rPr>
          <w:sz w:val="22"/>
          <w:szCs w:val="22"/>
        </w:rPr>
        <w:t xml:space="preserve">en el contexto de iniciativas tales como la </w:t>
      </w:r>
      <w:r w:rsidR="008C5DDE" w:rsidRPr="008C5DDE">
        <w:rPr>
          <w:sz w:val="22"/>
          <w:szCs w:val="22"/>
        </w:rPr>
        <w:t>Planificación de la Infraestructura Ecológica regional</w:t>
      </w:r>
      <w:r w:rsidR="008C5DDE">
        <w:rPr>
          <w:sz w:val="22"/>
          <w:szCs w:val="22"/>
        </w:rPr>
        <w:t xml:space="preserve">, los proyectos GEF o </w:t>
      </w:r>
      <w:r w:rsidR="008C5DDE" w:rsidRPr="008C5DDE">
        <w:rPr>
          <w:sz w:val="22"/>
          <w:szCs w:val="22"/>
        </w:rPr>
        <w:t xml:space="preserve"> </w:t>
      </w:r>
      <w:r w:rsidR="007D4930">
        <w:rPr>
          <w:sz w:val="22"/>
          <w:szCs w:val="22"/>
        </w:rPr>
        <w:t xml:space="preserve">la coordinación con otras instituciones. Esto, con el fin de </w:t>
      </w:r>
      <w:r w:rsidR="005919A0">
        <w:rPr>
          <w:sz w:val="22"/>
          <w:szCs w:val="22"/>
        </w:rPr>
        <w:t xml:space="preserve">para focalizar estratégicamente </w:t>
      </w:r>
      <w:r w:rsidRPr="00047E68">
        <w:rPr>
          <w:sz w:val="22"/>
          <w:szCs w:val="22"/>
        </w:rPr>
        <w:t xml:space="preserve">la conformación de las estructuras locales y </w:t>
      </w:r>
      <w:r w:rsidR="005919A0">
        <w:rPr>
          <w:sz w:val="22"/>
          <w:szCs w:val="22"/>
        </w:rPr>
        <w:t>asentar</w:t>
      </w:r>
      <w:r w:rsidRPr="00047E68">
        <w:rPr>
          <w:sz w:val="22"/>
          <w:szCs w:val="22"/>
        </w:rPr>
        <w:t xml:space="preserve"> las bases para la </w:t>
      </w:r>
      <w:r>
        <w:rPr>
          <w:sz w:val="22"/>
          <w:szCs w:val="22"/>
        </w:rPr>
        <w:t>implementación</w:t>
      </w:r>
      <w:r w:rsidRPr="00047E68">
        <w:rPr>
          <w:sz w:val="22"/>
          <w:szCs w:val="22"/>
        </w:rPr>
        <w:t xml:space="preserve"> de las instancias regionales.</w:t>
      </w:r>
    </w:p>
    <w:p w14:paraId="70BB1A47" w14:textId="77777777" w:rsidR="00047E68" w:rsidRPr="00047E68" w:rsidRDefault="00047E68" w:rsidP="00047E68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b/>
          <w:sz w:val="22"/>
          <w:szCs w:val="22"/>
        </w:rPr>
      </w:pPr>
    </w:p>
    <w:p w14:paraId="54EC0B48" w14:textId="77777777" w:rsidR="00047E68" w:rsidRPr="00E96A79" w:rsidRDefault="00047E68" w:rsidP="00E96A79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ind w:left="0"/>
        <w:jc w:val="both"/>
        <w:rPr>
          <w:sz w:val="22"/>
          <w:szCs w:val="22"/>
        </w:rPr>
      </w:pPr>
      <w:r w:rsidRPr="00E96A79">
        <w:rPr>
          <w:sz w:val="22"/>
          <w:szCs w:val="22"/>
        </w:rPr>
        <w:t xml:space="preserve">SEREMIS de Medio Ambiente establece acuerdos de colaboración para </w:t>
      </w:r>
      <w:r w:rsidR="00693EDB">
        <w:rPr>
          <w:sz w:val="22"/>
          <w:szCs w:val="22"/>
        </w:rPr>
        <w:t>establecer las estructuras locales y define lineamientos de la misma</w:t>
      </w:r>
      <w:r w:rsidRPr="00E96A79">
        <w:rPr>
          <w:sz w:val="22"/>
          <w:szCs w:val="22"/>
        </w:rPr>
        <w:t>, con:</w:t>
      </w:r>
    </w:p>
    <w:p w14:paraId="7E799BCC" w14:textId="77777777" w:rsidR="00047E68" w:rsidRPr="00047E68" w:rsidRDefault="00047E68" w:rsidP="00047E68">
      <w:pPr>
        <w:pStyle w:val="ListParagraph"/>
        <w:spacing w:after="0" w:line="240" w:lineRule="auto"/>
        <w:ind w:left="284"/>
        <w:jc w:val="both"/>
        <w:rPr>
          <w:sz w:val="22"/>
          <w:szCs w:val="22"/>
        </w:rPr>
      </w:pPr>
    </w:p>
    <w:p w14:paraId="1A5AEEBA" w14:textId="77777777" w:rsidR="00047E68" w:rsidRPr="00047E68" w:rsidRDefault="00047E68" w:rsidP="00047E6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047E68">
        <w:rPr>
          <w:sz w:val="22"/>
          <w:szCs w:val="22"/>
        </w:rPr>
        <w:t xml:space="preserve">Organizaciones de la Sociedad Civil (como la Fundación Añañuca, Desarrollo Rural Colchagua y </w:t>
      </w:r>
      <w:proofErr w:type="spellStart"/>
      <w:r w:rsidRPr="00047E68">
        <w:rPr>
          <w:sz w:val="22"/>
          <w:szCs w:val="22"/>
        </w:rPr>
        <w:t>Cedesus</w:t>
      </w:r>
      <w:proofErr w:type="spellEnd"/>
      <w:r w:rsidRPr="00047E68">
        <w:rPr>
          <w:sz w:val="22"/>
          <w:szCs w:val="22"/>
        </w:rPr>
        <w:t xml:space="preserve"> en la </w:t>
      </w:r>
      <w:proofErr w:type="spellStart"/>
      <w:r w:rsidRPr="00047E68">
        <w:rPr>
          <w:sz w:val="22"/>
          <w:szCs w:val="22"/>
        </w:rPr>
        <w:t>Regiónde</w:t>
      </w:r>
      <w:proofErr w:type="spellEnd"/>
      <w:r w:rsidRPr="00047E68">
        <w:rPr>
          <w:sz w:val="22"/>
          <w:szCs w:val="22"/>
        </w:rPr>
        <w:t xml:space="preserve"> O´Higgins; y en la Región del Maule organizaciones del sector de </w:t>
      </w:r>
      <w:proofErr w:type="spellStart"/>
      <w:r w:rsidRPr="00047E68">
        <w:rPr>
          <w:sz w:val="22"/>
          <w:szCs w:val="22"/>
        </w:rPr>
        <w:t>Achibueno</w:t>
      </w:r>
      <w:proofErr w:type="spellEnd"/>
      <w:r w:rsidRPr="00047E68">
        <w:rPr>
          <w:sz w:val="22"/>
          <w:szCs w:val="22"/>
        </w:rPr>
        <w:t xml:space="preserve"> y Adema)</w:t>
      </w:r>
    </w:p>
    <w:p w14:paraId="2D8514BC" w14:textId="77777777" w:rsidR="00047E68" w:rsidRDefault="00047E68" w:rsidP="00E96A7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047E68">
        <w:rPr>
          <w:sz w:val="22"/>
          <w:szCs w:val="22"/>
        </w:rPr>
        <w:t>Organizaciones No Gub</w:t>
      </w:r>
      <w:r w:rsidR="008679DB">
        <w:rPr>
          <w:sz w:val="22"/>
          <w:szCs w:val="22"/>
        </w:rPr>
        <w:t>e</w:t>
      </w:r>
      <w:r w:rsidRPr="00047E68">
        <w:rPr>
          <w:sz w:val="22"/>
          <w:szCs w:val="22"/>
        </w:rPr>
        <w:t>rnamentales (como Fundación Reforestemos, WWF, TNC, Así Conserva Chile)</w:t>
      </w:r>
    </w:p>
    <w:p w14:paraId="65794EDB" w14:textId="77777777" w:rsidR="00047E68" w:rsidRDefault="00047E68" w:rsidP="00047E6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047E68">
        <w:rPr>
          <w:sz w:val="22"/>
          <w:szCs w:val="22"/>
        </w:rPr>
        <w:t xml:space="preserve">Instituciones públicas </w:t>
      </w:r>
      <w:r w:rsidR="00F1052B">
        <w:rPr>
          <w:sz w:val="22"/>
          <w:szCs w:val="22"/>
        </w:rPr>
        <w:t xml:space="preserve">y académicas </w:t>
      </w:r>
      <w:r w:rsidRPr="00047E68">
        <w:rPr>
          <w:sz w:val="22"/>
          <w:szCs w:val="22"/>
        </w:rPr>
        <w:t>(</w:t>
      </w:r>
      <w:r w:rsidR="00275581">
        <w:rPr>
          <w:sz w:val="22"/>
          <w:szCs w:val="22"/>
        </w:rPr>
        <w:t xml:space="preserve">como </w:t>
      </w:r>
      <w:r w:rsidRPr="00047E68">
        <w:rPr>
          <w:sz w:val="22"/>
          <w:szCs w:val="22"/>
        </w:rPr>
        <w:t>CONAF, INIA, Universidad de O</w:t>
      </w:r>
      <w:r>
        <w:rPr>
          <w:sz w:val="22"/>
          <w:szCs w:val="22"/>
        </w:rPr>
        <w:t>´Higgins, Universidad de Talca, Universidad Católica del Maule)</w:t>
      </w:r>
    </w:p>
    <w:p w14:paraId="79D30A3C" w14:textId="77777777" w:rsidR="008679DB" w:rsidRDefault="00F1052B" w:rsidP="00047E6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Municipios </w:t>
      </w:r>
    </w:p>
    <w:p w14:paraId="303CA878" w14:textId="77777777" w:rsidR="00275581" w:rsidRPr="00E96A79" w:rsidRDefault="00275581" w:rsidP="00047E6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Sector privado (empresas forestal y agrícolas)</w:t>
      </w:r>
    </w:p>
    <w:p w14:paraId="2217C30F" w14:textId="77777777" w:rsidR="00C22DD8" w:rsidRDefault="00C22DD8" w:rsidP="00275581">
      <w:pPr>
        <w:spacing w:after="0" w:line="240" w:lineRule="auto"/>
        <w:jc w:val="both"/>
        <w:rPr>
          <w:sz w:val="22"/>
          <w:szCs w:val="22"/>
        </w:rPr>
      </w:pPr>
    </w:p>
    <w:p w14:paraId="04A2EA86" w14:textId="77777777" w:rsidR="00275581" w:rsidRDefault="00275581" w:rsidP="00275581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Organizaciones regionales y locales establecen acuerdos de trabajo </w:t>
      </w:r>
      <w:r w:rsidR="0048651C">
        <w:rPr>
          <w:sz w:val="22"/>
          <w:szCs w:val="22"/>
        </w:rPr>
        <w:t>para abordar</w:t>
      </w:r>
      <w:r>
        <w:rPr>
          <w:sz w:val="22"/>
          <w:szCs w:val="22"/>
        </w:rPr>
        <w:t xml:space="preserve"> temáticas </w:t>
      </w:r>
      <w:r w:rsidR="00693EDB">
        <w:rPr>
          <w:sz w:val="22"/>
          <w:szCs w:val="22"/>
        </w:rPr>
        <w:t xml:space="preserve">de interés </w:t>
      </w:r>
      <w:r>
        <w:rPr>
          <w:sz w:val="22"/>
          <w:szCs w:val="22"/>
        </w:rPr>
        <w:t>com</w:t>
      </w:r>
      <w:r w:rsidR="00693EDB">
        <w:rPr>
          <w:sz w:val="22"/>
          <w:szCs w:val="22"/>
        </w:rPr>
        <w:t>ún</w:t>
      </w:r>
      <w:r>
        <w:rPr>
          <w:sz w:val="22"/>
          <w:szCs w:val="22"/>
        </w:rPr>
        <w:t>. Entre estas se tiene:</w:t>
      </w:r>
    </w:p>
    <w:p w14:paraId="790BC282" w14:textId="77777777" w:rsidR="00275581" w:rsidRDefault="00275581" w:rsidP="00275581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</w:p>
    <w:p w14:paraId="5331FF65" w14:textId="77777777" w:rsidR="000C7452" w:rsidRDefault="00275581" w:rsidP="00275581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Forestación y reforestación de áreas afectadas por incendios forestal o en proceso de degradación</w:t>
      </w:r>
    </w:p>
    <w:p w14:paraId="401F9D6F" w14:textId="77777777" w:rsidR="000C7452" w:rsidRDefault="008679DB" w:rsidP="00275581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C7452">
        <w:rPr>
          <w:sz w:val="22"/>
          <w:szCs w:val="22"/>
        </w:rPr>
        <w:t>iseño y establecimiento de corredores biológicos</w:t>
      </w:r>
      <w:r>
        <w:rPr>
          <w:sz w:val="22"/>
          <w:szCs w:val="22"/>
        </w:rPr>
        <w:t xml:space="preserve"> en sitios estratégicos </w:t>
      </w:r>
    </w:p>
    <w:p w14:paraId="17E779B4" w14:textId="77777777" w:rsidR="008679DB" w:rsidRDefault="008679DB" w:rsidP="00275581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Manejo de ecosistemas forestales para uso productivo y recuperación </w:t>
      </w:r>
    </w:p>
    <w:p w14:paraId="2634A1B8" w14:textId="77777777" w:rsidR="00F1052B" w:rsidRDefault="008679DB" w:rsidP="00F1052B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Implementación de prácticas innovadoras productivas agropecuarias y de recuperación de suelo</w:t>
      </w:r>
    </w:p>
    <w:p w14:paraId="4C2CD394" w14:textId="77777777" w:rsidR="00B13DD9" w:rsidRDefault="00B13DD9" w:rsidP="00B13DD9">
      <w:pPr>
        <w:pStyle w:val="ListParagraph"/>
        <w:ind w:left="644"/>
        <w:rPr>
          <w:sz w:val="22"/>
          <w:szCs w:val="22"/>
        </w:rPr>
      </w:pPr>
    </w:p>
    <w:p w14:paraId="6EBDB665" w14:textId="77777777" w:rsidR="00C22DD8" w:rsidRPr="00047E68" w:rsidRDefault="00C22DD8" w:rsidP="00047E68">
      <w:pPr>
        <w:pStyle w:val="ListParagraph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b/>
          <w:sz w:val="22"/>
          <w:szCs w:val="22"/>
        </w:rPr>
      </w:pPr>
      <w:r w:rsidRPr="00047E68">
        <w:rPr>
          <w:b/>
          <w:sz w:val="22"/>
          <w:szCs w:val="22"/>
        </w:rPr>
        <w:t>Eje estratégi</w:t>
      </w:r>
      <w:r w:rsidR="00F11A31">
        <w:rPr>
          <w:b/>
          <w:sz w:val="22"/>
          <w:szCs w:val="22"/>
        </w:rPr>
        <w:t>co de Participación y Promoción</w:t>
      </w:r>
    </w:p>
    <w:p w14:paraId="7F0B3487" w14:textId="77777777" w:rsidR="009E0349" w:rsidRPr="00047E68" w:rsidRDefault="009E0349" w:rsidP="00047E68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b/>
          <w:sz w:val="22"/>
          <w:szCs w:val="22"/>
        </w:rPr>
      </w:pPr>
    </w:p>
    <w:p w14:paraId="6BEB1859" w14:textId="1CE2E71C" w:rsidR="00B13DD9" w:rsidRDefault="00B13DD9" w:rsidP="00B13DD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El Comité Nacional de Restauración Ecológica ejecuta</w:t>
      </w:r>
      <w:r w:rsidRPr="00047E68">
        <w:rPr>
          <w:sz w:val="22"/>
          <w:szCs w:val="22"/>
        </w:rPr>
        <w:t xml:space="preserve"> encuentros </w:t>
      </w:r>
      <w:r>
        <w:rPr>
          <w:sz w:val="22"/>
          <w:szCs w:val="22"/>
        </w:rPr>
        <w:t>a nivel regional y local para fortalecer la participación en el abordaje de la restauración de paisajes</w:t>
      </w:r>
      <w:r w:rsidR="007D4930">
        <w:rPr>
          <w:sz w:val="22"/>
          <w:szCs w:val="22"/>
        </w:rPr>
        <w:t>.</w:t>
      </w:r>
    </w:p>
    <w:p w14:paraId="794C4686" w14:textId="77777777" w:rsidR="007D4930" w:rsidRDefault="007D4930" w:rsidP="007D4930">
      <w:pPr>
        <w:pStyle w:val="ListParagraph"/>
        <w:tabs>
          <w:tab w:val="left" w:pos="284"/>
        </w:tabs>
        <w:spacing w:after="0" w:line="240" w:lineRule="auto"/>
        <w:ind w:left="284"/>
        <w:jc w:val="both"/>
        <w:rPr>
          <w:sz w:val="22"/>
          <w:szCs w:val="22"/>
        </w:rPr>
      </w:pPr>
    </w:p>
    <w:p w14:paraId="62B034B5" w14:textId="41C9E468" w:rsidR="007D4930" w:rsidRPr="00047E68" w:rsidRDefault="007D4930" w:rsidP="00B13DD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El Ministerio de Medio Ambiente promueve la incorporación de la propuesta de gobernanza en los lineamientos a considerarse para el Plan Nacional de Restauración.</w:t>
      </w:r>
    </w:p>
    <w:p w14:paraId="35121188" w14:textId="77777777" w:rsidR="00B13DD9" w:rsidRDefault="00B13DD9" w:rsidP="00B13DD9">
      <w:pPr>
        <w:pStyle w:val="ListParagraph"/>
        <w:tabs>
          <w:tab w:val="left" w:pos="284"/>
        </w:tabs>
        <w:spacing w:after="0" w:line="240" w:lineRule="auto"/>
        <w:ind w:left="284"/>
        <w:jc w:val="both"/>
        <w:rPr>
          <w:sz w:val="22"/>
          <w:szCs w:val="22"/>
        </w:rPr>
      </w:pPr>
    </w:p>
    <w:p w14:paraId="11376A59" w14:textId="77777777" w:rsidR="00B13DD9" w:rsidRDefault="00B13DD9" w:rsidP="00B13DD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2"/>
          <w:szCs w:val="22"/>
        </w:rPr>
      </w:pPr>
      <w:r w:rsidRPr="00047E68">
        <w:rPr>
          <w:sz w:val="22"/>
          <w:szCs w:val="22"/>
        </w:rPr>
        <w:t>Ministerio de Medio Ambiente</w:t>
      </w:r>
      <w:r>
        <w:rPr>
          <w:sz w:val="22"/>
          <w:szCs w:val="22"/>
        </w:rPr>
        <w:t xml:space="preserve"> y Seremis identifican opciones de apoyo financiero para facilitar la participación de actores locales en encuentros y conformación de la plataforma</w:t>
      </w:r>
    </w:p>
    <w:p w14:paraId="15F786F1" w14:textId="77777777" w:rsidR="00B13DD9" w:rsidRPr="00B13DD9" w:rsidRDefault="00B13DD9" w:rsidP="00B13DD9">
      <w:pPr>
        <w:pStyle w:val="ListParagraph"/>
        <w:rPr>
          <w:sz w:val="22"/>
          <w:szCs w:val="22"/>
        </w:rPr>
      </w:pPr>
    </w:p>
    <w:p w14:paraId="54007E47" w14:textId="77777777" w:rsidR="001C44D7" w:rsidRDefault="00B13DD9" w:rsidP="00B13DD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Ministerio del Medio Ambiente, Seremis, y socios estratégicos (públicos y privados) entregan</w:t>
      </w:r>
      <w:r w:rsidRPr="00047E68">
        <w:rPr>
          <w:sz w:val="22"/>
          <w:szCs w:val="22"/>
        </w:rPr>
        <w:t xml:space="preserve"> soporte técnico </w:t>
      </w:r>
      <w:r w:rsidR="001C44D7">
        <w:rPr>
          <w:sz w:val="22"/>
          <w:szCs w:val="22"/>
        </w:rPr>
        <w:t xml:space="preserve">para procesos de difusión, convocatoria y encuentro </w:t>
      </w:r>
    </w:p>
    <w:p w14:paraId="31F94282" w14:textId="77777777" w:rsidR="001C44D7" w:rsidRPr="001C44D7" w:rsidRDefault="001C44D7" w:rsidP="001C44D7">
      <w:pPr>
        <w:pStyle w:val="ListParagraph"/>
        <w:rPr>
          <w:sz w:val="22"/>
          <w:szCs w:val="22"/>
        </w:rPr>
      </w:pPr>
    </w:p>
    <w:p w14:paraId="42795177" w14:textId="77777777" w:rsidR="00B13DD9" w:rsidRPr="00047E68" w:rsidRDefault="001C44D7" w:rsidP="00B13DD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Organizaciones locales, apoyadas por socios estratégicos (públicos y privados) planifican y ejecutan acciones de difusión y convocatoria </w:t>
      </w:r>
    </w:p>
    <w:p w14:paraId="43370CB6" w14:textId="77777777" w:rsidR="00B13DD9" w:rsidRDefault="00B13DD9" w:rsidP="00B13DD9">
      <w:pPr>
        <w:pStyle w:val="ListParagraph"/>
        <w:tabs>
          <w:tab w:val="left" w:pos="284"/>
        </w:tabs>
        <w:spacing w:after="0" w:line="240" w:lineRule="auto"/>
        <w:ind w:left="284"/>
        <w:jc w:val="both"/>
        <w:rPr>
          <w:sz w:val="22"/>
          <w:szCs w:val="22"/>
        </w:rPr>
      </w:pPr>
    </w:p>
    <w:p w14:paraId="31EF6AB9" w14:textId="77777777" w:rsidR="00C22DD8" w:rsidRPr="0007252D" w:rsidRDefault="0007252D" w:rsidP="002E1D5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2"/>
          <w:szCs w:val="22"/>
        </w:rPr>
      </w:pPr>
      <w:r w:rsidRPr="0007252D">
        <w:rPr>
          <w:sz w:val="22"/>
          <w:szCs w:val="22"/>
        </w:rPr>
        <w:t xml:space="preserve">Actores participantes diseñan una estrategia de </w:t>
      </w:r>
      <w:r w:rsidR="00FC61F4">
        <w:rPr>
          <w:sz w:val="22"/>
          <w:szCs w:val="22"/>
        </w:rPr>
        <w:t>comunicación</w:t>
      </w:r>
      <w:r w:rsidRPr="0007252D">
        <w:rPr>
          <w:sz w:val="22"/>
          <w:szCs w:val="22"/>
        </w:rPr>
        <w:t xml:space="preserve"> </w:t>
      </w:r>
      <w:r w:rsidR="00FC61F4">
        <w:rPr>
          <w:sz w:val="22"/>
          <w:szCs w:val="22"/>
        </w:rPr>
        <w:t xml:space="preserve">en base a las </w:t>
      </w:r>
      <w:r w:rsidRPr="0007252D">
        <w:rPr>
          <w:sz w:val="22"/>
          <w:szCs w:val="22"/>
        </w:rPr>
        <w:t>decisiones para favorecer la participación en estructuras y acciones de restauración</w:t>
      </w:r>
    </w:p>
    <w:p w14:paraId="48DE156C" w14:textId="77777777" w:rsidR="00A0550D" w:rsidRPr="00047E68" w:rsidRDefault="00A0550D" w:rsidP="00047E68">
      <w:pPr>
        <w:spacing w:after="0" w:line="240" w:lineRule="auto"/>
        <w:jc w:val="both"/>
        <w:rPr>
          <w:sz w:val="22"/>
          <w:szCs w:val="22"/>
        </w:rPr>
      </w:pPr>
    </w:p>
    <w:p w14:paraId="0AE89E63" w14:textId="77777777" w:rsidR="00C22DD8" w:rsidRPr="00047E68" w:rsidRDefault="002B6289" w:rsidP="00E96A79">
      <w:pPr>
        <w:pStyle w:val="ListParagraph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b/>
          <w:sz w:val="22"/>
          <w:szCs w:val="22"/>
        </w:rPr>
      </w:pPr>
      <w:r w:rsidRPr="00047E68">
        <w:rPr>
          <w:b/>
          <w:sz w:val="22"/>
          <w:szCs w:val="22"/>
        </w:rPr>
        <w:t>Eje estratégico de Gestión del Conocimiento y</w:t>
      </w:r>
      <w:r w:rsidR="00F11A31">
        <w:rPr>
          <w:b/>
          <w:sz w:val="22"/>
          <w:szCs w:val="22"/>
        </w:rPr>
        <w:t xml:space="preserve"> Fortalecimiento de Capacidades</w:t>
      </w:r>
    </w:p>
    <w:p w14:paraId="191100C0" w14:textId="77777777" w:rsidR="002B6289" w:rsidRPr="00047E68" w:rsidRDefault="002B6289" w:rsidP="00047E68">
      <w:pPr>
        <w:spacing w:after="0" w:line="240" w:lineRule="auto"/>
        <w:jc w:val="both"/>
        <w:rPr>
          <w:b/>
          <w:sz w:val="22"/>
          <w:szCs w:val="22"/>
        </w:rPr>
      </w:pPr>
    </w:p>
    <w:p w14:paraId="3C5695D9" w14:textId="77777777" w:rsidR="00024D05" w:rsidRDefault="00024D05" w:rsidP="00024D05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2"/>
          <w:szCs w:val="22"/>
        </w:rPr>
      </w:pPr>
      <w:r w:rsidRPr="00024D05">
        <w:rPr>
          <w:sz w:val="22"/>
          <w:szCs w:val="22"/>
        </w:rPr>
        <w:t xml:space="preserve">Actores participantes diseñan una estrategia de </w:t>
      </w:r>
      <w:r w:rsidR="00FC61F4">
        <w:rPr>
          <w:sz w:val="22"/>
          <w:szCs w:val="22"/>
        </w:rPr>
        <w:t xml:space="preserve">generación e </w:t>
      </w:r>
      <w:r w:rsidRPr="00024D05">
        <w:rPr>
          <w:sz w:val="22"/>
          <w:szCs w:val="22"/>
        </w:rPr>
        <w:t xml:space="preserve">intercambio </w:t>
      </w:r>
      <w:r w:rsidR="00FC61F4">
        <w:rPr>
          <w:sz w:val="22"/>
          <w:szCs w:val="22"/>
        </w:rPr>
        <w:t xml:space="preserve">de conocimientos y experiencias </w:t>
      </w:r>
      <w:r w:rsidRPr="00024D05">
        <w:rPr>
          <w:sz w:val="22"/>
          <w:szCs w:val="22"/>
        </w:rPr>
        <w:t xml:space="preserve">para favorecer </w:t>
      </w:r>
      <w:r w:rsidR="00FC61F4">
        <w:rPr>
          <w:sz w:val="22"/>
          <w:szCs w:val="22"/>
        </w:rPr>
        <w:t xml:space="preserve">la réplica de las </w:t>
      </w:r>
      <w:r w:rsidRPr="00024D05">
        <w:rPr>
          <w:sz w:val="22"/>
          <w:szCs w:val="22"/>
        </w:rPr>
        <w:t>acciones de restauración</w:t>
      </w:r>
      <w:r w:rsidR="00FC61F4">
        <w:rPr>
          <w:sz w:val="22"/>
          <w:szCs w:val="22"/>
        </w:rPr>
        <w:t>. A partir de:</w:t>
      </w:r>
    </w:p>
    <w:p w14:paraId="60BF8657" w14:textId="77777777" w:rsidR="00FC61F4" w:rsidRDefault="00FC61F4" w:rsidP="00FC61F4">
      <w:pPr>
        <w:pStyle w:val="ListParagraph"/>
        <w:tabs>
          <w:tab w:val="left" w:pos="284"/>
        </w:tabs>
        <w:spacing w:after="0" w:line="240" w:lineRule="auto"/>
        <w:ind w:left="284"/>
        <w:jc w:val="both"/>
        <w:rPr>
          <w:sz w:val="22"/>
          <w:szCs w:val="22"/>
        </w:rPr>
      </w:pPr>
    </w:p>
    <w:p w14:paraId="2E918FA6" w14:textId="77777777" w:rsidR="00FC61F4" w:rsidRDefault="00FC61F4" w:rsidP="00FC61F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Diseño de líneas </w:t>
      </w:r>
      <w:r w:rsidRPr="00047E68">
        <w:rPr>
          <w:sz w:val="22"/>
          <w:szCs w:val="22"/>
        </w:rPr>
        <w:t xml:space="preserve">de investigación </w:t>
      </w:r>
      <w:r>
        <w:rPr>
          <w:sz w:val="22"/>
          <w:szCs w:val="22"/>
        </w:rPr>
        <w:t>de nivel regional y local (</w:t>
      </w:r>
      <w:r w:rsidR="00547045">
        <w:rPr>
          <w:sz w:val="22"/>
          <w:szCs w:val="22"/>
        </w:rPr>
        <w:t xml:space="preserve">los temas expuestos en el punto 1.e pueden transformarse en la líneas de investigación inicial, y que se adaptan en el proceso) </w:t>
      </w:r>
      <w:r w:rsidR="002649A0">
        <w:rPr>
          <w:sz w:val="22"/>
          <w:szCs w:val="22"/>
        </w:rPr>
        <w:t xml:space="preserve"> </w:t>
      </w:r>
    </w:p>
    <w:p w14:paraId="21409731" w14:textId="793E998F" w:rsidR="00FC61F4" w:rsidRDefault="00E96A79" w:rsidP="00FC61F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Identificación </w:t>
      </w:r>
      <w:r w:rsidR="00FC61F4">
        <w:rPr>
          <w:sz w:val="22"/>
          <w:szCs w:val="22"/>
        </w:rPr>
        <w:t>de necesidades de capacitación para abordar de forma colectiva la restauración</w:t>
      </w:r>
      <w:r>
        <w:rPr>
          <w:sz w:val="22"/>
          <w:szCs w:val="22"/>
        </w:rPr>
        <w:t xml:space="preserve"> (contenidos, metodologías, tecnologías y procedimientos para el fortalecimiento de capacidades).</w:t>
      </w:r>
    </w:p>
    <w:p w14:paraId="45F4FC01" w14:textId="77777777" w:rsidR="00FC61F4" w:rsidRDefault="00FC61F4" w:rsidP="00FC61F4">
      <w:pPr>
        <w:spacing w:after="0" w:line="240" w:lineRule="auto"/>
        <w:jc w:val="both"/>
        <w:rPr>
          <w:sz w:val="22"/>
          <w:szCs w:val="22"/>
        </w:rPr>
      </w:pPr>
    </w:p>
    <w:p w14:paraId="62749DF5" w14:textId="77777777" w:rsidR="00FC61F4" w:rsidRPr="00047E68" w:rsidRDefault="00FC61F4" w:rsidP="00FC61F4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r w:rsidR="00547045">
        <w:rPr>
          <w:sz w:val="22"/>
          <w:szCs w:val="22"/>
        </w:rPr>
        <w:t>plataforma</w:t>
      </w:r>
      <w:r>
        <w:rPr>
          <w:sz w:val="22"/>
          <w:szCs w:val="22"/>
        </w:rPr>
        <w:t xml:space="preserve"> implementa </w:t>
      </w:r>
      <w:r w:rsidRPr="00047E68">
        <w:rPr>
          <w:sz w:val="22"/>
          <w:szCs w:val="22"/>
        </w:rPr>
        <w:t xml:space="preserve">eventos participativos </w:t>
      </w:r>
      <w:r>
        <w:rPr>
          <w:sz w:val="22"/>
          <w:szCs w:val="22"/>
        </w:rPr>
        <w:t xml:space="preserve">para que instituciones académicas </w:t>
      </w:r>
      <w:r w:rsidRPr="00047E68">
        <w:rPr>
          <w:sz w:val="22"/>
          <w:szCs w:val="22"/>
        </w:rPr>
        <w:t>sociali</w:t>
      </w:r>
      <w:r>
        <w:rPr>
          <w:sz w:val="22"/>
          <w:szCs w:val="22"/>
        </w:rPr>
        <w:t>cen</w:t>
      </w:r>
      <w:r w:rsidRPr="00047E68">
        <w:rPr>
          <w:sz w:val="22"/>
          <w:szCs w:val="22"/>
        </w:rPr>
        <w:t xml:space="preserve"> avances </w:t>
      </w:r>
      <w:r>
        <w:rPr>
          <w:sz w:val="22"/>
          <w:szCs w:val="22"/>
        </w:rPr>
        <w:t xml:space="preserve">y resultados de </w:t>
      </w:r>
      <w:r w:rsidRPr="00047E68">
        <w:rPr>
          <w:sz w:val="22"/>
          <w:szCs w:val="22"/>
        </w:rPr>
        <w:t xml:space="preserve">investigaciones </w:t>
      </w:r>
      <w:r>
        <w:rPr>
          <w:sz w:val="22"/>
          <w:szCs w:val="22"/>
        </w:rPr>
        <w:t xml:space="preserve">sobre restauración del paisaje, </w:t>
      </w:r>
      <w:r w:rsidRPr="00047E68">
        <w:rPr>
          <w:sz w:val="22"/>
          <w:szCs w:val="22"/>
        </w:rPr>
        <w:t xml:space="preserve">y </w:t>
      </w:r>
      <w:r>
        <w:rPr>
          <w:sz w:val="22"/>
          <w:szCs w:val="22"/>
        </w:rPr>
        <w:t>se avance en la construcción de del</w:t>
      </w:r>
      <w:r w:rsidRPr="00047E68">
        <w:rPr>
          <w:sz w:val="22"/>
          <w:szCs w:val="22"/>
        </w:rPr>
        <w:t xml:space="preserve"> estado del arte del conocimiento </w:t>
      </w:r>
      <w:r>
        <w:rPr>
          <w:sz w:val="22"/>
          <w:szCs w:val="22"/>
        </w:rPr>
        <w:t>de la temática a nivel regional y local</w:t>
      </w:r>
    </w:p>
    <w:p w14:paraId="2EDCB9EA" w14:textId="77777777" w:rsidR="00FC61F4" w:rsidRPr="00FC61F4" w:rsidRDefault="00FC61F4" w:rsidP="00FC61F4">
      <w:pPr>
        <w:pStyle w:val="ListParagraph"/>
        <w:tabs>
          <w:tab w:val="left" w:pos="284"/>
        </w:tabs>
        <w:spacing w:after="0" w:line="240" w:lineRule="auto"/>
        <w:ind w:left="284"/>
        <w:jc w:val="both"/>
        <w:rPr>
          <w:sz w:val="22"/>
          <w:szCs w:val="22"/>
        </w:rPr>
      </w:pPr>
    </w:p>
    <w:p w14:paraId="64D50DCA" w14:textId="77777777" w:rsidR="00FC61F4" w:rsidRPr="00047E68" w:rsidRDefault="002649A0" w:rsidP="00FC61F4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Las e</w:t>
      </w:r>
      <w:r w:rsidR="00FC61F4" w:rsidRPr="00047E68">
        <w:rPr>
          <w:sz w:val="22"/>
          <w:szCs w:val="22"/>
        </w:rPr>
        <w:t xml:space="preserve">mpresas forestales comparten lecciones aprendidas, tecnología, metodologías con </w:t>
      </w:r>
      <w:r>
        <w:rPr>
          <w:sz w:val="22"/>
          <w:szCs w:val="22"/>
        </w:rPr>
        <w:t xml:space="preserve">los actores participantes de la plataforma y en otras </w:t>
      </w:r>
      <w:r w:rsidR="00FC61F4">
        <w:rPr>
          <w:sz w:val="22"/>
          <w:szCs w:val="22"/>
        </w:rPr>
        <w:t xml:space="preserve">organizadas </w:t>
      </w:r>
      <w:r>
        <w:rPr>
          <w:sz w:val="22"/>
          <w:szCs w:val="22"/>
        </w:rPr>
        <w:t>para la participación de los territorios</w:t>
      </w:r>
    </w:p>
    <w:p w14:paraId="5C7ED8AC" w14:textId="77777777" w:rsidR="002B6289" w:rsidRPr="00047E68" w:rsidRDefault="002B6289" w:rsidP="00E96A79">
      <w:pPr>
        <w:pStyle w:val="ListParagraph"/>
        <w:spacing w:after="0" w:line="240" w:lineRule="auto"/>
        <w:jc w:val="both"/>
        <w:rPr>
          <w:sz w:val="22"/>
          <w:szCs w:val="22"/>
        </w:rPr>
      </w:pPr>
      <w:r w:rsidRPr="00047E68">
        <w:rPr>
          <w:sz w:val="22"/>
          <w:szCs w:val="22"/>
        </w:rPr>
        <w:tab/>
      </w:r>
    </w:p>
    <w:p w14:paraId="094B139B" w14:textId="77777777" w:rsidR="002B6289" w:rsidRPr="002649A0" w:rsidRDefault="002B6289" w:rsidP="002649A0">
      <w:pPr>
        <w:pStyle w:val="ListParagraph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b/>
          <w:sz w:val="22"/>
          <w:szCs w:val="22"/>
        </w:rPr>
      </w:pPr>
      <w:r w:rsidRPr="002649A0">
        <w:rPr>
          <w:b/>
          <w:sz w:val="22"/>
          <w:szCs w:val="22"/>
        </w:rPr>
        <w:t>Eje estratégico de Financiamiento:</w:t>
      </w:r>
    </w:p>
    <w:p w14:paraId="203BE1F9" w14:textId="77777777" w:rsidR="002B6289" w:rsidRPr="00047E68" w:rsidRDefault="002B6289" w:rsidP="00047E68">
      <w:pPr>
        <w:spacing w:after="0" w:line="240" w:lineRule="auto"/>
        <w:jc w:val="both"/>
        <w:rPr>
          <w:b/>
          <w:sz w:val="22"/>
          <w:szCs w:val="22"/>
        </w:rPr>
      </w:pPr>
    </w:p>
    <w:p w14:paraId="3458DDEE" w14:textId="77777777" w:rsidR="008920CB" w:rsidRDefault="008920CB" w:rsidP="00155C45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Los actores participantes de la plataforma, colocan a d</w:t>
      </w:r>
      <w:r w:rsidR="002B6289" w:rsidRPr="00155C45">
        <w:rPr>
          <w:sz w:val="22"/>
          <w:szCs w:val="22"/>
        </w:rPr>
        <w:t xml:space="preserve">isposición </w:t>
      </w:r>
      <w:r>
        <w:rPr>
          <w:sz w:val="22"/>
          <w:szCs w:val="22"/>
        </w:rPr>
        <w:t xml:space="preserve">o gestionan  </w:t>
      </w:r>
      <w:r w:rsidR="002B6289" w:rsidRPr="00155C45">
        <w:rPr>
          <w:sz w:val="22"/>
          <w:szCs w:val="22"/>
        </w:rPr>
        <w:t xml:space="preserve">espacios físicos, medios de comunicación, materiales de escritorio, </w:t>
      </w:r>
      <w:r>
        <w:rPr>
          <w:sz w:val="22"/>
          <w:szCs w:val="22"/>
        </w:rPr>
        <w:t xml:space="preserve">o </w:t>
      </w:r>
      <w:r w:rsidR="002B6289" w:rsidRPr="00155C45">
        <w:rPr>
          <w:sz w:val="22"/>
          <w:szCs w:val="22"/>
        </w:rPr>
        <w:t>su</w:t>
      </w:r>
      <w:r>
        <w:rPr>
          <w:sz w:val="22"/>
          <w:szCs w:val="22"/>
        </w:rPr>
        <w:t>bvenciones para el desarrollo de las actividades de la plataforma, que consideran:</w:t>
      </w:r>
    </w:p>
    <w:p w14:paraId="5046D072" w14:textId="77777777" w:rsidR="008920CB" w:rsidRDefault="008920CB" w:rsidP="008920CB">
      <w:pPr>
        <w:pStyle w:val="ListParagraph"/>
        <w:spacing w:after="0" w:line="240" w:lineRule="auto"/>
        <w:ind w:left="284"/>
        <w:jc w:val="both"/>
        <w:rPr>
          <w:sz w:val="22"/>
          <w:szCs w:val="22"/>
        </w:rPr>
      </w:pPr>
    </w:p>
    <w:p w14:paraId="47B78F36" w14:textId="77777777" w:rsidR="008920CB" w:rsidRDefault="008920CB" w:rsidP="008920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Reuniones de los participantes a nivel regional y local</w:t>
      </w:r>
    </w:p>
    <w:p w14:paraId="67FDF6BD" w14:textId="77777777" w:rsidR="008920CB" w:rsidRDefault="008920CB" w:rsidP="008920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Encuentros de intercambio de experiencias y conocimientos</w:t>
      </w:r>
    </w:p>
    <w:p w14:paraId="14EF8EA0" w14:textId="77777777" w:rsidR="008920CB" w:rsidRDefault="008920CB" w:rsidP="008920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Visitas técnicas vinculadas con el intercambio de experiencias y conocimientos</w:t>
      </w:r>
    </w:p>
    <w:p w14:paraId="453F3B0F" w14:textId="77777777" w:rsidR="002B6289" w:rsidRPr="00047E68" w:rsidRDefault="002B6289" w:rsidP="00047E68">
      <w:pPr>
        <w:pStyle w:val="ListParagraph"/>
        <w:spacing w:after="0" w:line="240" w:lineRule="auto"/>
        <w:ind w:left="426"/>
        <w:jc w:val="both"/>
        <w:rPr>
          <w:sz w:val="22"/>
          <w:szCs w:val="22"/>
        </w:rPr>
      </w:pPr>
    </w:p>
    <w:p w14:paraId="25C98B5D" w14:textId="77777777" w:rsidR="002B6289" w:rsidRPr="00047E68" w:rsidRDefault="008920CB" w:rsidP="008920CB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Los actores institucionales de nivel ministerial (Medio Ambiente y Agricultura) involucrados en la plataforma, gestionan opciones de financiamiento</w:t>
      </w:r>
      <w:r w:rsidR="002B6289" w:rsidRPr="00047E68">
        <w:rPr>
          <w:sz w:val="22"/>
          <w:szCs w:val="22"/>
        </w:rPr>
        <w:t xml:space="preserve"> naci</w:t>
      </w:r>
      <w:r>
        <w:rPr>
          <w:sz w:val="22"/>
          <w:szCs w:val="22"/>
        </w:rPr>
        <w:t>onal e internacional</w:t>
      </w:r>
      <w:r w:rsidR="002B6289" w:rsidRPr="00047E68">
        <w:rPr>
          <w:sz w:val="22"/>
          <w:szCs w:val="22"/>
        </w:rPr>
        <w:t xml:space="preserve"> para </w:t>
      </w:r>
      <w:r>
        <w:rPr>
          <w:sz w:val="22"/>
          <w:szCs w:val="22"/>
        </w:rPr>
        <w:t xml:space="preserve">actividades de </w:t>
      </w:r>
      <w:r w:rsidR="002B6289" w:rsidRPr="00047E68">
        <w:rPr>
          <w:sz w:val="22"/>
          <w:szCs w:val="22"/>
        </w:rPr>
        <w:t>restauración</w:t>
      </w:r>
      <w:r>
        <w:rPr>
          <w:sz w:val="22"/>
          <w:szCs w:val="22"/>
        </w:rPr>
        <w:t xml:space="preserve"> de nivel regional y local</w:t>
      </w:r>
      <w:r w:rsidR="002B6289" w:rsidRPr="00047E68">
        <w:rPr>
          <w:sz w:val="22"/>
          <w:szCs w:val="22"/>
        </w:rPr>
        <w:t>.</w:t>
      </w:r>
      <w:r>
        <w:rPr>
          <w:sz w:val="22"/>
          <w:szCs w:val="22"/>
        </w:rPr>
        <w:t xml:space="preserve"> El trabajo articulado de estos actores con los participantes de las </w:t>
      </w:r>
      <w:r w:rsidRPr="00047E68">
        <w:rPr>
          <w:sz w:val="22"/>
          <w:szCs w:val="22"/>
        </w:rPr>
        <w:t>estructuras</w:t>
      </w:r>
      <w:r>
        <w:rPr>
          <w:sz w:val="22"/>
          <w:szCs w:val="22"/>
        </w:rPr>
        <w:t xml:space="preserve"> generará insumos que pueden ser utilizados para incidir en el diseño e implementación de programas, fondos concursables u otros mecanismos de financiamiento</w:t>
      </w:r>
    </w:p>
    <w:p w14:paraId="3FF42B41" w14:textId="77777777" w:rsidR="002B6289" w:rsidRPr="00047E68" w:rsidRDefault="002B6289" w:rsidP="008920CB">
      <w:pPr>
        <w:pStyle w:val="ListParagraph"/>
        <w:spacing w:after="0" w:line="240" w:lineRule="auto"/>
        <w:ind w:left="284"/>
        <w:jc w:val="both"/>
        <w:rPr>
          <w:sz w:val="22"/>
          <w:szCs w:val="22"/>
        </w:rPr>
      </w:pPr>
    </w:p>
    <w:p w14:paraId="152C267F" w14:textId="77777777" w:rsidR="002B6289" w:rsidRPr="00047E68" w:rsidRDefault="00F657BE" w:rsidP="008920CB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Los </w:t>
      </w:r>
      <w:r w:rsidR="002B6289" w:rsidRPr="00047E68">
        <w:rPr>
          <w:sz w:val="22"/>
          <w:szCs w:val="22"/>
        </w:rPr>
        <w:t xml:space="preserve">Gobiernos Regionales </w:t>
      </w:r>
      <w:r>
        <w:rPr>
          <w:sz w:val="22"/>
          <w:szCs w:val="22"/>
        </w:rPr>
        <w:t xml:space="preserve">facilitan la incorporación </w:t>
      </w:r>
      <w:r w:rsidR="002B6289" w:rsidRPr="00047E68">
        <w:rPr>
          <w:sz w:val="22"/>
          <w:szCs w:val="22"/>
        </w:rPr>
        <w:t xml:space="preserve">de </w:t>
      </w:r>
      <w:r>
        <w:rPr>
          <w:sz w:val="22"/>
          <w:szCs w:val="22"/>
        </w:rPr>
        <w:t>la restauración</w:t>
      </w:r>
      <w:r w:rsidR="00A76A51">
        <w:rPr>
          <w:sz w:val="22"/>
          <w:szCs w:val="22"/>
        </w:rPr>
        <w:t>, como temática</w:t>
      </w:r>
      <w:r>
        <w:rPr>
          <w:sz w:val="22"/>
          <w:szCs w:val="22"/>
        </w:rPr>
        <w:t xml:space="preserve"> en</w:t>
      </w:r>
      <w:r w:rsidR="002B6289" w:rsidRPr="00047E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 </w:t>
      </w:r>
      <w:r w:rsidR="002B6289" w:rsidRPr="00047E68">
        <w:rPr>
          <w:sz w:val="22"/>
          <w:szCs w:val="22"/>
        </w:rPr>
        <w:t>planes de trabajo</w:t>
      </w:r>
      <w:r>
        <w:rPr>
          <w:sz w:val="22"/>
          <w:szCs w:val="22"/>
        </w:rPr>
        <w:t xml:space="preserve">, en favor de </w:t>
      </w:r>
      <w:r w:rsidR="002B6289" w:rsidRPr="00047E68">
        <w:rPr>
          <w:sz w:val="22"/>
          <w:szCs w:val="22"/>
        </w:rPr>
        <w:t>la asignación de recursos</w:t>
      </w:r>
      <w:r>
        <w:rPr>
          <w:sz w:val="22"/>
          <w:szCs w:val="22"/>
        </w:rPr>
        <w:t xml:space="preserve"> para </w:t>
      </w:r>
      <w:r w:rsidR="0068421A">
        <w:rPr>
          <w:sz w:val="22"/>
          <w:szCs w:val="22"/>
        </w:rPr>
        <w:t>actuar en función de las priorid</w:t>
      </w:r>
      <w:r w:rsidR="00A76A51">
        <w:rPr>
          <w:sz w:val="22"/>
          <w:szCs w:val="22"/>
        </w:rPr>
        <w:t>ades</w:t>
      </w:r>
      <w:r w:rsidR="002B6289" w:rsidRPr="00047E68">
        <w:rPr>
          <w:sz w:val="22"/>
          <w:szCs w:val="22"/>
        </w:rPr>
        <w:t xml:space="preserve"> </w:t>
      </w:r>
      <w:r w:rsidR="00A76A51">
        <w:rPr>
          <w:sz w:val="22"/>
          <w:szCs w:val="22"/>
        </w:rPr>
        <w:t xml:space="preserve">establecidas </w:t>
      </w:r>
      <w:r>
        <w:rPr>
          <w:sz w:val="22"/>
          <w:szCs w:val="22"/>
        </w:rPr>
        <w:t xml:space="preserve">(territorios y </w:t>
      </w:r>
      <w:r w:rsidR="00A76A51">
        <w:rPr>
          <w:sz w:val="22"/>
          <w:szCs w:val="22"/>
        </w:rPr>
        <w:t>acciones</w:t>
      </w:r>
      <w:r>
        <w:rPr>
          <w:sz w:val="22"/>
          <w:szCs w:val="22"/>
        </w:rPr>
        <w:t xml:space="preserve">) </w:t>
      </w:r>
      <w:r w:rsidR="00A76A51">
        <w:rPr>
          <w:sz w:val="22"/>
          <w:szCs w:val="22"/>
        </w:rPr>
        <w:t>y validadas</w:t>
      </w:r>
      <w:r w:rsidR="002B6289" w:rsidRPr="00047E68">
        <w:rPr>
          <w:sz w:val="22"/>
          <w:szCs w:val="22"/>
        </w:rPr>
        <w:t xml:space="preserve"> </w:t>
      </w:r>
      <w:r w:rsidR="00A76A51">
        <w:rPr>
          <w:sz w:val="22"/>
          <w:szCs w:val="22"/>
        </w:rPr>
        <w:t>desde la plataforma</w:t>
      </w:r>
    </w:p>
    <w:p w14:paraId="59CD8D5C" w14:textId="77777777" w:rsidR="002B6289" w:rsidRPr="00047E68" w:rsidRDefault="002B6289" w:rsidP="008920CB">
      <w:pPr>
        <w:pStyle w:val="ListParagraph"/>
        <w:spacing w:after="0" w:line="240" w:lineRule="auto"/>
        <w:ind w:left="284"/>
        <w:jc w:val="both"/>
        <w:rPr>
          <w:sz w:val="22"/>
          <w:szCs w:val="22"/>
        </w:rPr>
      </w:pPr>
    </w:p>
    <w:p w14:paraId="3DB4D73E" w14:textId="77777777" w:rsidR="002B6289" w:rsidRPr="00047E68" w:rsidRDefault="00A76A51" w:rsidP="008920CB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Organizaciones no gubernamentales de carácter internacional, con presencia en el país, promueven el apalancamiento de recursos para actuar en función de las </w:t>
      </w:r>
      <w:r w:rsidRPr="00047E68">
        <w:rPr>
          <w:sz w:val="22"/>
          <w:szCs w:val="22"/>
        </w:rPr>
        <w:t xml:space="preserve">prioridades </w:t>
      </w:r>
      <w:r>
        <w:rPr>
          <w:sz w:val="22"/>
          <w:szCs w:val="22"/>
        </w:rPr>
        <w:t>establecidas (territorios y acciones)</w:t>
      </w:r>
    </w:p>
    <w:p w14:paraId="5DB230AD" w14:textId="77777777" w:rsidR="002B6289" w:rsidRPr="008920CB" w:rsidRDefault="002B6289" w:rsidP="008920CB">
      <w:pPr>
        <w:pStyle w:val="ListParagraph"/>
        <w:spacing w:after="0" w:line="240" w:lineRule="auto"/>
        <w:ind w:left="284"/>
        <w:jc w:val="both"/>
        <w:rPr>
          <w:sz w:val="22"/>
          <w:szCs w:val="22"/>
        </w:rPr>
      </w:pPr>
    </w:p>
    <w:p w14:paraId="18023DCF" w14:textId="77777777" w:rsidR="00C22DD8" w:rsidRPr="0068421A" w:rsidRDefault="002B6289" w:rsidP="00047E68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68421A">
        <w:rPr>
          <w:sz w:val="22"/>
          <w:szCs w:val="22"/>
        </w:rPr>
        <w:t xml:space="preserve">Empresas privadas alinean las actividades provenientes de sus compromisos por </w:t>
      </w:r>
      <w:r w:rsidR="0068421A" w:rsidRPr="0068421A">
        <w:rPr>
          <w:sz w:val="22"/>
          <w:szCs w:val="22"/>
        </w:rPr>
        <w:t xml:space="preserve">certificación (FSC, </w:t>
      </w:r>
      <w:proofErr w:type="spellStart"/>
      <w:r w:rsidR="0068421A" w:rsidRPr="0068421A">
        <w:rPr>
          <w:sz w:val="22"/>
          <w:szCs w:val="22"/>
        </w:rPr>
        <w:t>Cetfor</w:t>
      </w:r>
      <w:proofErr w:type="spellEnd"/>
      <w:r w:rsidR="0068421A" w:rsidRPr="0068421A">
        <w:rPr>
          <w:sz w:val="22"/>
          <w:szCs w:val="22"/>
        </w:rPr>
        <w:t>, otras)</w:t>
      </w:r>
      <w:r w:rsidRPr="0068421A">
        <w:rPr>
          <w:sz w:val="22"/>
          <w:szCs w:val="22"/>
        </w:rPr>
        <w:t xml:space="preserve"> al enfoque de restauración y prioridades </w:t>
      </w:r>
      <w:r w:rsidR="0068421A" w:rsidRPr="0068421A">
        <w:rPr>
          <w:sz w:val="22"/>
          <w:szCs w:val="22"/>
        </w:rPr>
        <w:t>establecidas (territorios y acciones) y validadas desde la plataforma.</w:t>
      </w:r>
    </w:p>
    <w:sectPr w:rsidR="00C22DD8" w:rsidRPr="0068421A" w:rsidSect="00C22DD8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C950B" w14:textId="77777777" w:rsidR="00F339B9" w:rsidRDefault="00F339B9" w:rsidP="00481853">
      <w:pPr>
        <w:spacing w:after="0" w:line="240" w:lineRule="auto"/>
      </w:pPr>
      <w:r>
        <w:separator/>
      </w:r>
    </w:p>
  </w:endnote>
  <w:endnote w:type="continuationSeparator" w:id="0">
    <w:p w14:paraId="33132494" w14:textId="77777777" w:rsidR="00F339B9" w:rsidRDefault="00F339B9" w:rsidP="00481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872C1" w14:textId="77777777" w:rsidR="00F339B9" w:rsidRDefault="00F339B9" w:rsidP="00481853">
      <w:pPr>
        <w:spacing w:after="0" w:line="240" w:lineRule="auto"/>
      </w:pPr>
      <w:r>
        <w:separator/>
      </w:r>
    </w:p>
  </w:footnote>
  <w:footnote w:type="continuationSeparator" w:id="0">
    <w:p w14:paraId="04282DC2" w14:textId="77777777" w:rsidR="00F339B9" w:rsidRDefault="00F339B9" w:rsidP="00481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51E0A" w14:textId="77777777" w:rsidR="00481853" w:rsidRDefault="00481853" w:rsidP="00481853">
    <w:pPr>
      <w:pStyle w:val="Header"/>
      <w:ind w:firstLine="708"/>
      <w:jc w:val="center"/>
      <w:rPr>
        <w:i/>
        <w:sz w:val="20"/>
        <w:szCs w:val="20"/>
      </w:rPr>
    </w:pPr>
    <w:r>
      <w:rPr>
        <w:noProof/>
        <w:lang w:val="es-CR" w:eastAsia="es-CR"/>
      </w:rPr>
      <w:drawing>
        <wp:anchor distT="0" distB="0" distL="114300" distR="114300" simplePos="0" relativeHeight="251659264" behindDoc="0" locked="0" layoutInCell="1" allowOverlap="1" wp14:anchorId="1F0978DB" wp14:editId="496E28B9">
          <wp:simplePos x="0" y="0"/>
          <wp:positionH relativeFrom="column">
            <wp:posOffset>5615940</wp:posOffset>
          </wp:positionH>
          <wp:positionV relativeFrom="paragraph">
            <wp:posOffset>-401320</wp:posOffset>
          </wp:positionV>
          <wp:extent cx="695325" cy="628650"/>
          <wp:effectExtent l="0" t="0" r="9525" b="0"/>
          <wp:wrapNone/>
          <wp:docPr id="1" name="Imagen 1" descr="Resultado de imagen para ministerio ambiente ch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sultado de imagen para ministerio ambiente ch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R" w:eastAsia="es-CR"/>
      </w:rPr>
      <w:drawing>
        <wp:anchor distT="0" distB="0" distL="114300" distR="114300" simplePos="0" relativeHeight="251660288" behindDoc="0" locked="0" layoutInCell="1" allowOverlap="1" wp14:anchorId="221D1FC5" wp14:editId="525884E2">
          <wp:simplePos x="0" y="0"/>
          <wp:positionH relativeFrom="column">
            <wp:posOffset>2158365</wp:posOffset>
          </wp:positionH>
          <wp:positionV relativeFrom="paragraph">
            <wp:posOffset>-401955</wp:posOffset>
          </wp:positionV>
          <wp:extent cx="1028700" cy="3429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R" w:eastAsia="es-CR"/>
      </w:rPr>
      <w:drawing>
        <wp:anchor distT="0" distB="0" distL="114300" distR="114300" simplePos="0" relativeHeight="251661312" behindDoc="0" locked="0" layoutInCell="1" allowOverlap="1" wp14:anchorId="28EEB469" wp14:editId="688BDF9B">
          <wp:simplePos x="0" y="0"/>
          <wp:positionH relativeFrom="column">
            <wp:posOffset>-1051560</wp:posOffset>
          </wp:positionH>
          <wp:positionV relativeFrom="paragraph">
            <wp:posOffset>-401955</wp:posOffset>
          </wp:positionV>
          <wp:extent cx="1409700" cy="545465"/>
          <wp:effectExtent l="0" t="0" r="0" b="698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20"/>
        <w:szCs w:val="20"/>
      </w:rPr>
      <w:t>Consultoría “Diseño de una plataforma de restauración ecológica post incendios, para la adaptación al cambio climático del sector silvoagropecuario de Chile”</w:t>
    </w:r>
    <w:r>
      <w:rPr>
        <w:noProof/>
        <w:lang w:eastAsia="es-PE"/>
      </w:rPr>
      <w:t xml:space="preserve"> </w:t>
    </w:r>
  </w:p>
  <w:p w14:paraId="3C7E3C7A" w14:textId="77777777" w:rsidR="00481853" w:rsidRDefault="004818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70C47"/>
    <w:multiLevelType w:val="hybridMultilevel"/>
    <w:tmpl w:val="41B641E0"/>
    <w:lvl w:ilvl="0" w:tplc="48EA91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49EF"/>
    <w:multiLevelType w:val="hybridMultilevel"/>
    <w:tmpl w:val="D58613D6"/>
    <w:lvl w:ilvl="0" w:tplc="48EA9190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09149A1"/>
    <w:multiLevelType w:val="multilevel"/>
    <w:tmpl w:val="AEAA3D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6C5D7A"/>
    <w:multiLevelType w:val="hybridMultilevel"/>
    <w:tmpl w:val="B1C42B6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F52E18"/>
    <w:multiLevelType w:val="hybridMultilevel"/>
    <w:tmpl w:val="F2706234"/>
    <w:lvl w:ilvl="0" w:tplc="48EA91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67820"/>
    <w:multiLevelType w:val="hybridMultilevel"/>
    <w:tmpl w:val="90CA2FA0"/>
    <w:lvl w:ilvl="0" w:tplc="A23C7CFE">
      <w:start w:val="1"/>
      <w:numFmt w:val="lowerLetter"/>
      <w:lvlText w:val="%1)"/>
      <w:lvlJc w:val="left"/>
      <w:pPr>
        <w:ind w:left="360" w:firstLine="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D64DF"/>
    <w:multiLevelType w:val="multilevel"/>
    <w:tmpl w:val="00200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AE63693"/>
    <w:multiLevelType w:val="hybridMultilevel"/>
    <w:tmpl w:val="18ACF164"/>
    <w:lvl w:ilvl="0" w:tplc="3030ECF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A630E"/>
    <w:multiLevelType w:val="hybridMultilevel"/>
    <w:tmpl w:val="CF440A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2107E"/>
    <w:multiLevelType w:val="hybridMultilevel"/>
    <w:tmpl w:val="4724836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F4E9A"/>
    <w:multiLevelType w:val="hybridMultilevel"/>
    <w:tmpl w:val="4A7A85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03D85"/>
    <w:multiLevelType w:val="hybridMultilevel"/>
    <w:tmpl w:val="5F826B9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53"/>
    <w:rsid w:val="00024D05"/>
    <w:rsid w:val="000451D0"/>
    <w:rsid w:val="00047E68"/>
    <w:rsid w:val="00050955"/>
    <w:rsid w:val="0007252D"/>
    <w:rsid w:val="000C7452"/>
    <w:rsid w:val="000E00E9"/>
    <w:rsid w:val="00100776"/>
    <w:rsid w:val="00111F5A"/>
    <w:rsid w:val="00155C45"/>
    <w:rsid w:val="00177A27"/>
    <w:rsid w:val="001C44D7"/>
    <w:rsid w:val="001E7602"/>
    <w:rsid w:val="001F3B43"/>
    <w:rsid w:val="002649A0"/>
    <w:rsid w:val="00275581"/>
    <w:rsid w:val="002B2B45"/>
    <w:rsid w:val="002B6289"/>
    <w:rsid w:val="002E1D52"/>
    <w:rsid w:val="00317150"/>
    <w:rsid w:val="00385EC6"/>
    <w:rsid w:val="00481853"/>
    <w:rsid w:val="0048651C"/>
    <w:rsid w:val="00517B36"/>
    <w:rsid w:val="00547045"/>
    <w:rsid w:val="005919A0"/>
    <w:rsid w:val="005B7513"/>
    <w:rsid w:val="0061494F"/>
    <w:rsid w:val="0068421A"/>
    <w:rsid w:val="00693EDB"/>
    <w:rsid w:val="0073487D"/>
    <w:rsid w:val="00792126"/>
    <w:rsid w:val="007D4930"/>
    <w:rsid w:val="008679DB"/>
    <w:rsid w:val="008920CB"/>
    <w:rsid w:val="008C5DDE"/>
    <w:rsid w:val="008F7A16"/>
    <w:rsid w:val="009E0349"/>
    <w:rsid w:val="009E1BD0"/>
    <w:rsid w:val="00A0550D"/>
    <w:rsid w:val="00A47473"/>
    <w:rsid w:val="00A76A51"/>
    <w:rsid w:val="00B13DD9"/>
    <w:rsid w:val="00C22DD8"/>
    <w:rsid w:val="00D47D70"/>
    <w:rsid w:val="00DE6CE5"/>
    <w:rsid w:val="00DF0211"/>
    <w:rsid w:val="00E96A79"/>
    <w:rsid w:val="00F1052B"/>
    <w:rsid w:val="00F11A31"/>
    <w:rsid w:val="00F339B9"/>
    <w:rsid w:val="00F56881"/>
    <w:rsid w:val="00F657BE"/>
    <w:rsid w:val="00FC1CE0"/>
    <w:rsid w:val="00FC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7D4639"/>
  <w15:docId w15:val="{723D7DFD-17E1-439C-8FA7-BCE7CB79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1853"/>
    <w:pPr>
      <w:contextualSpacing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81853"/>
    <w:pPr>
      <w:ind w:left="720"/>
    </w:pPr>
  </w:style>
  <w:style w:type="paragraph" w:styleId="Caption">
    <w:name w:val="caption"/>
    <w:basedOn w:val="Normal"/>
    <w:next w:val="Normal"/>
    <w:uiPriority w:val="35"/>
    <w:unhideWhenUsed/>
    <w:qFormat/>
    <w:rsid w:val="0048185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481853"/>
    <w:rPr>
      <w:rFonts w:ascii="Arial" w:eastAsia="Calibri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853"/>
    <w:rPr>
      <w:rFonts w:ascii="Arial" w:eastAsia="Calibri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853"/>
    <w:rPr>
      <w:rFonts w:ascii="Arial" w:eastAsia="Calibri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0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349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349"/>
    <w:rPr>
      <w:rFonts w:ascii="Arial" w:eastAsia="Calibri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3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7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D76A7-7D03-447E-8ADE-8B61D6DC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4998</Characters>
  <Application>Microsoft Office Word</Application>
  <DocSecurity>4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Ruiz</dc:creator>
  <cp:lastModifiedBy>Sandra Bry</cp:lastModifiedBy>
  <cp:revision>2</cp:revision>
  <dcterms:created xsi:type="dcterms:W3CDTF">2018-10-23T08:39:00Z</dcterms:created>
  <dcterms:modified xsi:type="dcterms:W3CDTF">2018-10-23T08:39:00Z</dcterms:modified>
</cp:coreProperties>
</file>