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C6" w:rsidRPr="009E0A50" w:rsidRDefault="00E11A5B" w:rsidP="00AA7B9F">
      <w:pPr>
        <w:jc w:val="center"/>
        <w:rPr>
          <w:b/>
          <w:sz w:val="32"/>
          <w:szCs w:val="32"/>
        </w:rPr>
      </w:pPr>
      <w:r>
        <w:rPr>
          <w:b/>
          <w:sz w:val="32"/>
          <w:szCs w:val="32"/>
        </w:rPr>
        <w:t>TECHNOLOGY FACT SHEET</w:t>
      </w:r>
    </w:p>
    <w:p w:rsidR="00BB2143" w:rsidRDefault="00BB2143" w:rsidP="009E0A50">
      <w:pPr>
        <w:jc w:val="left"/>
        <w:rPr>
          <w:b/>
        </w:rPr>
      </w:pPr>
    </w:p>
    <w:p w:rsidR="00BB2143" w:rsidRDefault="00AF4A90" w:rsidP="00AA7B9F">
      <w:pPr>
        <w:pStyle w:val="NoSpacing"/>
        <w:jc w:val="center"/>
        <w:rPr>
          <w:b/>
          <w:sz w:val="32"/>
          <w:szCs w:val="32"/>
        </w:rPr>
      </w:pPr>
      <w:r>
        <w:rPr>
          <w:b/>
          <w:sz w:val="32"/>
          <w:szCs w:val="32"/>
        </w:rPr>
        <w:t>Desalination</w:t>
      </w:r>
    </w:p>
    <w:p w:rsidR="00AA7B9F" w:rsidRPr="00AA7B9F" w:rsidRDefault="00AA7B9F" w:rsidP="00AA7B9F">
      <w:pPr>
        <w:pStyle w:val="NoSpacing"/>
        <w:jc w:val="center"/>
        <w:rPr>
          <w:b/>
          <w:sz w:val="32"/>
          <w:szCs w:val="32"/>
        </w:rPr>
      </w:pPr>
    </w:p>
    <w:p w:rsidR="00BB2143" w:rsidRDefault="00BB2143" w:rsidP="009E0A50">
      <w:pPr>
        <w:jc w:val="left"/>
        <w:rPr>
          <w:b/>
        </w:rPr>
      </w:pPr>
    </w:p>
    <w:p w:rsidR="00BB2143" w:rsidRDefault="00BB2143" w:rsidP="00AA7B9F">
      <w:pPr>
        <w:pStyle w:val="Heading1"/>
      </w:pPr>
      <w:r>
        <w:t>Technology description</w:t>
      </w:r>
    </w:p>
    <w:p w:rsidR="00BB2143" w:rsidRDefault="00BB2143" w:rsidP="009E0A50">
      <w:pPr>
        <w:jc w:val="left"/>
        <w:rPr>
          <w:b/>
        </w:rPr>
      </w:pPr>
    </w:p>
    <w:p w:rsidR="00AF4A90" w:rsidRDefault="00AF4A90" w:rsidP="00AF4A90">
      <w:r w:rsidRPr="00AF4A90">
        <w:t>Desalination is the removal of sodium chloride and other dissolved constituents from seawater, brackish</w:t>
      </w:r>
      <w:r>
        <w:t xml:space="preserve"> </w:t>
      </w:r>
      <w:r w:rsidRPr="00AF4A90">
        <w:t>waters, wastewater, or contaminated freshwater. Approximately 75 million people worldwide rely on</w:t>
      </w:r>
      <w:r>
        <w:t xml:space="preserve"> </w:t>
      </w:r>
      <w:r w:rsidRPr="00AF4A90">
        <w:t>desalination and that number is expected to grow as freshwater resources are stressed by population</w:t>
      </w:r>
      <w:r>
        <w:t xml:space="preserve"> </w:t>
      </w:r>
      <w:r w:rsidRPr="00AF4A90">
        <w:t>growth and millions more move to coastal cities with inadequate freshwater resources. Desalination is</w:t>
      </w:r>
      <w:r w:rsidR="00DF3280">
        <w:t xml:space="preserve"> </w:t>
      </w:r>
      <w:r w:rsidRPr="00AF4A90">
        <w:t>most widely used in arid regions; more than half of the world’s desalination capacity (volume) is located in</w:t>
      </w:r>
      <w:r w:rsidR="00DF3280">
        <w:t xml:space="preserve"> </w:t>
      </w:r>
      <w:r w:rsidRPr="00AF4A90">
        <w:t>the Middle East and North Africa. Seawater accounts for over 50% of desalination source water worldwide.</w:t>
      </w:r>
      <w:r w:rsidR="00DF3280">
        <w:t xml:space="preserve"> </w:t>
      </w:r>
      <w:r w:rsidRPr="00AF4A90">
        <w:t>However, as of 2005 in the United States, only 7% of desalination plants used seawater. Brackish waters</w:t>
      </w:r>
      <w:r w:rsidR="00DF3280">
        <w:t xml:space="preserve"> </w:t>
      </w:r>
      <w:r w:rsidRPr="00AF4A90">
        <w:t>made up the majority of source waters for desalination, with most of the remainder consisting of river</w:t>
      </w:r>
      <w:r w:rsidR="00DF3280">
        <w:t xml:space="preserve"> waters and wastewaters.</w:t>
      </w:r>
    </w:p>
    <w:p w:rsidR="00DF3280" w:rsidRPr="00AF4A90" w:rsidRDefault="00DF3280" w:rsidP="00AF4A90"/>
    <w:p w:rsidR="00BB2143" w:rsidRDefault="00AF4A90" w:rsidP="00AF4A90">
      <w:r w:rsidRPr="00AF4A90">
        <w:t>Two streams of water result from desalination: (1) a pure product water and (2) a high-concentration waste</w:t>
      </w:r>
      <w:r w:rsidR="00DF3280">
        <w:t xml:space="preserve"> </w:t>
      </w:r>
      <w:r w:rsidRPr="00AF4A90">
        <w:t xml:space="preserve">stream or brine. The principal desalination methods fall into two categories: thermal processes </w:t>
      </w:r>
      <w:r w:rsidR="00DF3280">
        <w:t>and membrane processes.</w:t>
      </w:r>
    </w:p>
    <w:p w:rsidR="00BB2143" w:rsidRDefault="00BB2143" w:rsidP="009E0A50">
      <w:pPr>
        <w:jc w:val="left"/>
      </w:pPr>
    </w:p>
    <w:p w:rsidR="009465F4" w:rsidRDefault="009465F4" w:rsidP="009E0A50">
      <w:pPr>
        <w:jc w:val="left"/>
        <w:rPr>
          <w:i/>
        </w:rPr>
      </w:pPr>
      <w:r w:rsidRPr="009465F4">
        <w:rPr>
          <w:i/>
        </w:rPr>
        <w:t>Table 1: Technology options</w:t>
      </w:r>
    </w:p>
    <w:p w:rsidR="009465F4" w:rsidRPr="009465F4" w:rsidRDefault="009465F4" w:rsidP="009E0A50">
      <w:pPr>
        <w:jc w:val="left"/>
        <w:rPr>
          <w:i/>
        </w:rPr>
      </w:pPr>
    </w:p>
    <w:tbl>
      <w:tblPr>
        <w:tblStyle w:val="TableGrid"/>
        <w:tblW w:w="0" w:type="auto"/>
        <w:tblInd w:w="108" w:type="dxa"/>
        <w:tblLook w:val="04A0" w:firstRow="1" w:lastRow="0" w:firstColumn="1" w:lastColumn="0" w:noHBand="0" w:noVBand="1"/>
      </w:tblPr>
      <w:tblGrid>
        <w:gridCol w:w="2694"/>
        <w:gridCol w:w="6378"/>
      </w:tblGrid>
      <w:tr w:rsidR="0074654C" w:rsidTr="0074654C">
        <w:tc>
          <w:tcPr>
            <w:tcW w:w="2694" w:type="dxa"/>
            <w:shd w:val="clear" w:color="auto" w:fill="C4BC96" w:themeFill="background2" w:themeFillShade="BF"/>
          </w:tcPr>
          <w:p w:rsidR="0074654C" w:rsidRDefault="0074654C" w:rsidP="009E0A50">
            <w:pPr>
              <w:jc w:val="left"/>
            </w:pPr>
            <w:r>
              <w:t>Technology option</w:t>
            </w:r>
            <w:r w:rsidR="00B326FF">
              <w:t>s</w:t>
            </w:r>
          </w:p>
        </w:tc>
        <w:tc>
          <w:tcPr>
            <w:tcW w:w="6378" w:type="dxa"/>
            <w:shd w:val="clear" w:color="auto" w:fill="C4BC96" w:themeFill="background2" w:themeFillShade="BF"/>
          </w:tcPr>
          <w:p w:rsidR="0074654C" w:rsidRDefault="0074654C" w:rsidP="009E0A50">
            <w:pPr>
              <w:jc w:val="left"/>
            </w:pPr>
            <w:r>
              <w:t>Option description</w:t>
            </w:r>
          </w:p>
        </w:tc>
      </w:tr>
      <w:tr w:rsidR="0074654C" w:rsidTr="0074654C">
        <w:tc>
          <w:tcPr>
            <w:tcW w:w="2694" w:type="dxa"/>
          </w:tcPr>
          <w:p w:rsidR="0074654C" w:rsidRPr="0074654C" w:rsidRDefault="00DF3280" w:rsidP="009E0A50">
            <w:pPr>
              <w:jc w:val="left"/>
            </w:pPr>
            <w:r>
              <w:t>Multi-Stage Flash (MSF) Distillation</w:t>
            </w:r>
          </w:p>
        </w:tc>
        <w:tc>
          <w:tcPr>
            <w:tcW w:w="6378" w:type="dxa"/>
          </w:tcPr>
          <w:p w:rsidR="0074654C" w:rsidRDefault="00DF3280" w:rsidP="00DF3280">
            <w:pPr>
              <w:jc w:val="left"/>
            </w:pPr>
            <w:r w:rsidRPr="00DF3280">
              <w:t>MSF was</w:t>
            </w:r>
            <w:r>
              <w:t xml:space="preserve"> </w:t>
            </w:r>
            <w:r w:rsidRPr="00DF3280">
              <w:t>reported to account for 36% of desalination worldwide</w:t>
            </w:r>
            <w:r w:rsidR="004515D0">
              <w:t xml:space="preserve"> in 2005</w:t>
            </w:r>
            <w:r>
              <w:t>.</w:t>
            </w:r>
            <w:r w:rsidRPr="00DF3280">
              <w:rPr>
                <w:rFonts w:ascii="HelveticaNeueLTStd-Lt" w:hAnsi="HelveticaNeueLTStd-Lt" w:cs="HelveticaNeueLTStd-Lt"/>
                <w:sz w:val="20"/>
                <w:szCs w:val="20"/>
                <w:lang w:eastAsia="en-US"/>
              </w:rPr>
              <w:t xml:space="preserve"> </w:t>
            </w:r>
            <w:r w:rsidRPr="00DF3280">
              <w:t>MSF improves on the energy efficiency</w:t>
            </w:r>
            <w:r>
              <w:t xml:space="preserve"> </w:t>
            </w:r>
            <w:r w:rsidRPr="00DF3280">
              <w:t>of simple distillation by utilizing a series of low-pressure chambers, recycling waste heat and, in some</w:t>
            </w:r>
            <w:r>
              <w:t xml:space="preserve"> </w:t>
            </w:r>
            <w:r w:rsidRPr="00DF3280">
              <w:t>cases, can be operated at even greater efficiency by utilising the waste heat from an adjacent power plant.</w:t>
            </w:r>
            <w:r>
              <w:t xml:space="preserve">  </w:t>
            </w:r>
          </w:p>
        </w:tc>
      </w:tr>
      <w:tr w:rsidR="0074654C" w:rsidTr="0074654C">
        <w:tc>
          <w:tcPr>
            <w:tcW w:w="2694" w:type="dxa"/>
          </w:tcPr>
          <w:p w:rsidR="0074654C" w:rsidRPr="0074654C" w:rsidRDefault="00DF3280" w:rsidP="00DF3280">
            <w:pPr>
              <w:jc w:val="left"/>
            </w:pPr>
            <w:r w:rsidRPr="00DF3280">
              <w:t xml:space="preserve">Multiple-effect </w:t>
            </w:r>
            <w:r>
              <w:t>Distillation (MED</w:t>
            </w:r>
            <w:r w:rsidRPr="00DF3280">
              <w:t>)</w:t>
            </w:r>
          </w:p>
        </w:tc>
        <w:tc>
          <w:tcPr>
            <w:tcW w:w="6378" w:type="dxa"/>
          </w:tcPr>
          <w:p w:rsidR="0074654C" w:rsidRDefault="00DF3280" w:rsidP="00DF3280">
            <w:pPr>
              <w:jc w:val="left"/>
            </w:pPr>
            <w:r>
              <w:t xml:space="preserve">MEE </w:t>
            </w:r>
            <w:r w:rsidRPr="00DF3280">
              <w:t>utilizes low-pressure chambers; it is possible to achieve much greater efficiency in MEE than in MSF.</w:t>
            </w:r>
            <w:r>
              <w:t xml:space="preserve"> </w:t>
            </w:r>
            <w:r w:rsidRPr="00DF3280">
              <w:t>However, MEE is not as popular because early designs were plagued by mineral</w:t>
            </w:r>
            <w:r>
              <w:t xml:space="preserve"> </w:t>
            </w:r>
            <w:r w:rsidRPr="00DF3280">
              <w:t>scaling.</w:t>
            </w:r>
            <w:r>
              <w:t xml:space="preserve"> </w:t>
            </w:r>
            <w:r w:rsidRPr="00DF3280">
              <w:t>Newer designs have</w:t>
            </w:r>
            <w:r>
              <w:t xml:space="preserve"> reduced mineral scaling and MED</w:t>
            </w:r>
            <w:r w:rsidRPr="00DF3280">
              <w:t xml:space="preserve"> is gaining in popularity.</w:t>
            </w:r>
            <w:r w:rsidR="004515D0">
              <w:t xml:space="preserve"> Global Desalination capacity in 2005 was 3%</w:t>
            </w:r>
            <w:proofErr w:type="gramStart"/>
            <w:r w:rsidR="004515D0">
              <w:t>..</w:t>
            </w:r>
            <w:proofErr w:type="gramEnd"/>
          </w:p>
        </w:tc>
      </w:tr>
      <w:tr w:rsidR="0074654C" w:rsidRPr="0074654C" w:rsidTr="0074654C">
        <w:tc>
          <w:tcPr>
            <w:tcW w:w="2694" w:type="dxa"/>
          </w:tcPr>
          <w:p w:rsidR="0074654C" w:rsidRPr="0074654C" w:rsidRDefault="00DF3280" w:rsidP="009E0A50">
            <w:pPr>
              <w:jc w:val="left"/>
            </w:pPr>
            <w:r>
              <w:t>Vapour Compression Distillation (VCD)</w:t>
            </w:r>
          </w:p>
        </w:tc>
        <w:tc>
          <w:tcPr>
            <w:tcW w:w="6378" w:type="dxa"/>
          </w:tcPr>
          <w:p w:rsidR="0074654C" w:rsidRPr="0074654C" w:rsidRDefault="00DF3280" w:rsidP="00DF3280">
            <w:pPr>
              <w:jc w:val="left"/>
            </w:pPr>
            <w:r w:rsidRPr="00DF3280">
              <w:t>VCD is a technically simple, reliable and efficient process that is popular for</w:t>
            </w:r>
            <w:r>
              <w:t xml:space="preserve"> </w:t>
            </w:r>
            <w:r w:rsidRPr="00DF3280">
              <w:t>resorts, industries and work sites where adequate freshwater is unavailable.</w:t>
            </w:r>
            <w:r w:rsidR="004515D0">
              <w:t xml:space="preserve"> Global capacity as at 2005 was reported to be at 5%.</w:t>
            </w:r>
          </w:p>
        </w:tc>
      </w:tr>
      <w:tr w:rsidR="00DF3280" w:rsidRPr="0074654C" w:rsidTr="0074654C">
        <w:tc>
          <w:tcPr>
            <w:tcW w:w="2694" w:type="dxa"/>
          </w:tcPr>
          <w:p w:rsidR="00DF3280" w:rsidRDefault="00DF3280" w:rsidP="009E0A50">
            <w:pPr>
              <w:jc w:val="left"/>
            </w:pPr>
            <w:r>
              <w:t>Reverse Osmosis (RO)</w:t>
            </w:r>
          </w:p>
        </w:tc>
        <w:tc>
          <w:tcPr>
            <w:tcW w:w="6378" w:type="dxa"/>
          </w:tcPr>
          <w:p w:rsidR="00DF3280" w:rsidRPr="00DF3280" w:rsidRDefault="00DF3280" w:rsidP="004515D0">
            <w:pPr>
              <w:jc w:val="left"/>
            </w:pPr>
            <w:r>
              <w:t xml:space="preserve">RO </w:t>
            </w:r>
            <w:r w:rsidRPr="00DF3280">
              <w:t>utilize high pressure to force water molecules through very small pores</w:t>
            </w:r>
            <w:r>
              <w:t xml:space="preserve"> </w:t>
            </w:r>
            <w:r w:rsidRPr="00DF3280">
              <w:t>(holes) while retaining salts and other larger molecules.</w:t>
            </w:r>
            <w:r w:rsidR="004515D0">
              <w:t xml:space="preserve"> </w:t>
            </w:r>
            <w:proofErr w:type="gramStart"/>
            <w:r w:rsidR="004515D0" w:rsidRPr="004515D0">
              <w:t>is</w:t>
            </w:r>
            <w:proofErr w:type="gramEnd"/>
            <w:r w:rsidR="004515D0" w:rsidRPr="004515D0">
              <w:t xml:space="preserve"> the most widely used</w:t>
            </w:r>
            <w:r w:rsidR="004515D0">
              <w:t xml:space="preserve"> </w:t>
            </w:r>
            <w:r w:rsidR="004515D0" w:rsidRPr="004515D0">
              <w:t>membrane desalination technology, and represented 46% of global desalination capacity in 2005</w:t>
            </w:r>
            <w:r w:rsidR="004515D0">
              <w:t>.</w:t>
            </w:r>
          </w:p>
        </w:tc>
      </w:tr>
      <w:tr w:rsidR="00512229" w:rsidRPr="0074654C" w:rsidTr="0074654C">
        <w:tc>
          <w:tcPr>
            <w:tcW w:w="2694" w:type="dxa"/>
          </w:tcPr>
          <w:p w:rsidR="00512229" w:rsidRDefault="00512229" w:rsidP="009E0A50">
            <w:pPr>
              <w:jc w:val="left"/>
            </w:pPr>
            <w:r>
              <w:t>Solar distillation (SD)</w:t>
            </w:r>
          </w:p>
        </w:tc>
        <w:tc>
          <w:tcPr>
            <w:tcW w:w="6378" w:type="dxa"/>
          </w:tcPr>
          <w:p w:rsidR="00512229" w:rsidRDefault="00512229" w:rsidP="00512229">
            <w:pPr>
              <w:jc w:val="left"/>
            </w:pPr>
            <w:r>
              <w:t>SD</w:t>
            </w:r>
            <w:r w:rsidRPr="00512229">
              <w:t xml:space="preserve"> has been used for many years, usually for comparatively small plant outputs.</w:t>
            </w:r>
            <w:r>
              <w:t xml:space="preserve"> I</w:t>
            </w:r>
            <w:r w:rsidRPr="00512229">
              <w:t xml:space="preserve">n common with all distillation processes, </w:t>
            </w:r>
            <w:r>
              <w:t xml:space="preserve">SD </w:t>
            </w:r>
            <w:r>
              <w:lastRenderedPageBreak/>
              <w:t xml:space="preserve">utilises </w:t>
            </w:r>
            <w:r w:rsidRPr="00512229">
              <w:t>the evaporation and condensation modes, but</w:t>
            </w:r>
            <w:r>
              <w:t xml:space="preserve"> </w:t>
            </w:r>
            <w:r w:rsidRPr="00512229">
              <w:t>unlike other processes energy consumption is not a recurrent cost but is incorporated in the capital</w:t>
            </w:r>
            <w:r>
              <w:t xml:space="preserve"> </w:t>
            </w:r>
            <w:r w:rsidRPr="00512229">
              <w:t>cost of the solar collector.</w:t>
            </w:r>
          </w:p>
        </w:tc>
      </w:tr>
    </w:tbl>
    <w:p w:rsidR="0074654C" w:rsidRPr="0074654C" w:rsidRDefault="0074654C" w:rsidP="009E0A50">
      <w:pPr>
        <w:jc w:val="left"/>
      </w:pPr>
    </w:p>
    <w:p w:rsidR="00BB2143" w:rsidRDefault="00BB2143" w:rsidP="00AA7B9F">
      <w:pPr>
        <w:pStyle w:val="Heading1"/>
      </w:pPr>
      <w:r w:rsidRPr="00BB2143">
        <w:t>Contributions to climate change adaptation</w:t>
      </w:r>
    </w:p>
    <w:p w:rsidR="00BB2143" w:rsidRDefault="00BB2143" w:rsidP="009E0A50">
      <w:pPr>
        <w:jc w:val="left"/>
        <w:rPr>
          <w:b/>
        </w:rPr>
      </w:pPr>
    </w:p>
    <w:p w:rsidR="004515D0" w:rsidRDefault="004515D0" w:rsidP="004515D0">
      <w:r w:rsidRPr="004515D0">
        <w:t>Desalination can greatly aid climate change adaptation, primarily through diversification of water supply</w:t>
      </w:r>
      <w:r>
        <w:t xml:space="preserve"> </w:t>
      </w:r>
      <w:r w:rsidRPr="004515D0">
        <w:t>and resilience to water quality degradation. Diversification of water supply can provide alternative or</w:t>
      </w:r>
      <w:r>
        <w:t xml:space="preserve"> </w:t>
      </w:r>
      <w:r w:rsidRPr="004515D0">
        <w:t>supplementary sources of water when current water resources are inadequate in quantity or quality.</w:t>
      </w:r>
      <w:r>
        <w:t xml:space="preserve"> </w:t>
      </w:r>
      <w:r w:rsidRPr="004515D0">
        <w:t>Desalination technologies also provide resilience to water quality degradation because they can usually</w:t>
      </w:r>
      <w:r>
        <w:t xml:space="preserve"> </w:t>
      </w:r>
      <w:r w:rsidRPr="004515D0">
        <w:t>produce very pure product water, even from highly contaminated source waters.</w:t>
      </w:r>
      <w:r>
        <w:t xml:space="preserve"> </w:t>
      </w:r>
    </w:p>
    <w:p w:rsidR="004515D0" w:rsidRDefault="004515D0" w:rsidP="004515D0"/>
    <w:p w:rsidR="004515D0" w:rsidRDefault="004515D0" w:rsidP="004515D0">
      <w:r w:rsidRPr="004515D0">
        <w:t xml:space="preserve">Increasing resilience to </w:t>
      </w:r>
      <w:r w:rsidR="00D35D06" w:rsidRPr="004515D0">
        <w:t>reduce</w:t>
      </w:r>
      <w:r w:rsidRPr="004515D0">
        <w:t xml:space="preserve"> per capita freshwater availability is one of the key challenges of climate</w:t>
      </w:r>
      <w:r>
        <w:t xml:space="preserve"> </w:t>
      </w:r>
      <w:r w:rsidRPr="004515D0">
        <w:t>change adaptation. Both short-term drought and longer-term climatic trends of decreased precipitation</w:t>
      </w:r>
      <w:r>
        <w:t xml:space="preserve"> </w:t>
      </w:r>
      <w:r w:rsidRPr="004515D0">
        <w:t>can lead to decreased water availability per capita. These climatic trends are occurring in parallel with</w:t>
      </w:r>
      <w:r>
        <w:t xml:space="preserve"> </w:t>
      </w:r>
      <w:r w:rsidRPr="004515D0">
        <w:t>population growth, land use change, and groundwater depletion; therefore, rapid decreases in per capita</w:t>
      </w:r>
      <w:r>
        <w:t xml:space="preserve"> </w:t>
      </w:r>
      <w:r w:rsidRPr="004515D0">
        <w:t>freshwater availability are likely.</w:t>
      </w:r>
      <w:r>
        <w:t xml:space="preserve"> </w:t>
      </w:r>
    </w:p>
    <w:p w:rsidR="004515D0" w:rsidRDefault="004515D0" w:rsidP="004515D0"/>
    <w:p w:rsidR="00BB2143" w:rsidRDefault="004515D0" w:rsidP="004515D0">
      <w:r w:rsidRPr="004515D0">
        <w:t>However, the large energy demands of current desalination processes will contribute to greenhouse gas</w:t>
      </w:r>
      <w:r>
        <w:t xml:space="preserve"> </w:t>
      </w:r>
      <w:r w:rsidRPr="004515D0">
        <w:t>emissions and could set back climate-change mitigation efforts.</w:t>
      </w:r>
    </w:p>
    <w:p w:rsidR="004515D0" w:rsidRPr="00BB2143" w:rsidRDefault="004515D0" w:rsidP="004515D0">
      <w:pPr>
        <w:jc w:val="left"/>
        <w:rPr>
          <w:b/>
        </w:rPr>
      </w:pPr>
    </w:p>
    <w:p w:rsidR="00F264E7" w:rsidRDefault="00F264E7" w:rsidP="00AA7B9F">
      <w:pPr>
        <w:pStyle w:val="Heading1"/>
      </w:pPr>
      <w:r>
        <w:t>Contribution to development</w:t>
      </w:r>
      <w:r w:rsidR="00BF6F5E">
        <w:t xml:space="preserve"> and potential beneficiaries</w:t>
      </w:r>
    </w:p>
    <w:p w:rsidR="00F264E7" w:rsidRDefault="00F264E7" w:rsidP="00F264E7"/>
    <w:p w:rsidR="00F264E7" w:rsidRDefault="00F121C6" w:rsidP="00F121C6">
      <w:r w:rsidRPr="00F121C6">
        <w:t>Access to an adequate supply of freshwater for drinking, household, commercial and industrial use is</w:t>
      </w:r>
      <w:r>
        <w:t xml:space="preserve"> essential for health, well-</w:t>
      </w:r>
      <w:r w:rsidRPr="00F121C6">
        <w:t xml:space="preserve">being, and economic development. </w:t>
      </w:r>
      <w:r>
        <w:t>D</w:t>
      </w:r>
      <w:r w:rsidRPr="00F121C6">
        <w:t>esalination processes can</w:t>
      </w:r>
      <w:r>
        <w:t xml:space="preserve"> </w:t>
      </w:r>
      <w:r w:rsidRPr="00F121C6">
        <w:t>provide access to abundant saline waters that have been previously unusable.</w:t>
      </w:r>
    </w:p>
    <w:p w:rsidR="00F264E7" w:rsidRPr="00F264E7" w:rsidRDefault="00F264E7" w:rsidP="00F264E7"/>
    <w:p w:rsidR="00BB2143" w:rsidRDefault="00BB2143" w:rsidP="00AA7B9F">
      <w:pPr>
        <w:pStyle w:val="Heading1"/>
      </w:pPr>
      <w:r>
        <w:t xml:space="preserve">Knowledge/capacity building </w:t>
      </w:r>
      <w:r w:rsidRPr="00BB2143">
        <w:t>requirements</w:t>
      </w:r>
    </w:p>
    <w:p w:rsidR="0074654C" w:rsidRDefault="0074654C" w:rsidP="009E0A50">
      <w:pPr>
        <w:jc w:val="left"/>
      </w:pPr>
    </w:p>
    <w:p w:rsidR="00F121C6" w:rsidRPr="00F121C6" w:rsidRDefault="00F121C6" w:rsidP="00F121C6">
      <w:pPr>
        <w:jc w:val="left"/>
      </w:pPr>
      <w:r w:rsidRPr="00F121C6">
        <w:t>The major needs identified include the inadequacy of:</w:t>
      </w:r>
    </w:p>
    <w:p w:rsidR="00F121C6" w:rsidRPr="00F121C6" w:rsidRDefault="00F121C6" w:rsidP="00512229">
      <w:pPr>
        <w:pStyle w:val="ListParagraph"/>
        <w:numPr>
          <w:ilvl w:val="0"/>
          <w:numId w:val="9"/>
        </w:numPr>
        <w:jc w:val="left"/>
      </w:pPr>
      <w:r w:rsidRPr="00F121C6">
        <w:t>information and data resource assessment specifically on desalination</w:t>
      </w:r>
    </w:p>
    <w:p w:rsidR="00F121C6" w:rsidRPr="00F121C6" w:rsidRDefault="00F121C6" w:rsidP="00512229">
      <w:pPr>
        <w:pStyle w:val="ListParagraph"/>
        <w:numPr>
          <w:ilvl w:val="0"/>
          <w:numId w:val="9"/>
        </w:numPr>
        <w:jc w:val="left"/>
      </w:pPr>
      <w:r w:rsidRPr="00F121C6">
        <w:t>technical capabilities</w:t>
      </w:r>
    </w:p>
    <w:p w:rsidR="00F121C6" w:rsidRPr="00F121C6" w:rsidRDefault="00F121C6" w:rsidP="00512229">
      <w:pPr>
        <w:pStyle w:val="ListParagraph"/>
        <w:numPr>
          <w:ilvl w:val="0"/>
          <w:numId w:val="9"/>
        </w:numPr>
        <w:jc w:val="left"/>
      </w:pPr>
      <w:r w:rsidRPr="00F121C6">
        <w:t>financial resources dedicated to research</w:t>
      </w:r>
    </w:p>
    <w:p w:rsidR="00F121C6" w:rsidRPr="00F121C6" w:rsidRDefault="00F121C6" w:rsidP="00512229">
      <w:pPr>
        <w:pStyle w:val="ListParagraph"/>
        <w:numPr>
          <w:ilvl w:val="0"/>
          <w:numId w:val="9"/>
        </w:numPr>
        <w:jc w:val="left"/>
      </w:pPr>
      <w:r w:rsidRPr="00F121C6">
        <w:t>national policies in long-term planning and establishment of institutional infrastructures for</w:t>
      </w:r>
    </w:p>
    <w:p w:rsidR="00B326FF" w:rsidRDefault="00F121C6" w:rsidP="00512229">
      <w:pPr>
        <w:pStyle w:val="ListParagraph"/>
        <w:numPr>
          <w:ilvl w:val="0"/>
          <w:numId w:val="9"/>
        </w:numPr>
        <w:jc w:val="left"/>
      </w:pPr>
      <w:r w:rsidRPr="00F121C6">
        <w:t>management and operation of desalination</w:t>
      </w:r>
    </w:p>
    <w:p w:rsidR="00512229" w:rsidRDefault="00512229" w:rsidP="00512229">
      <w:pPr>
        <w:jc w:val="left"/>
      </w:pPr>
    </w:p>
    <w:p w:rsidR="00512229" w:rsidRDefault="00F80BF5" w:rsidP="00512229">
      <w:pPr>
        <w:jc w:val="left"/>
      </w:pPr>
      <w:r>
        <w:t>Capacity building needs for desalination includes the following components</w:t>
      </w:r>
    </w:p>
    <w:p w:rsidR="00F80BF5" w:rsidRDefault="00F80BF5" w:rsidP="00F80BF5">
      <w:pPr>
        <w:pStyle w:val="ListParagraph"/>
        <w:numPr>
          <w:ilvl w:val="0"/>
          <w:numId w:val="10"/>
        </w:numPr>
        <w:jc w:val="left"/>
      </w:pPr>
      <w:proofErr w:type="gramStart"/>
      <w:r>
        <w:t>current</w:t>
      </w:r>
      <w:proofErr w:type="gramEnd"/>
      <w:r>
        <w:t xml:space="preserve"> and future training and education requirements need to be established by identifying appropriate education which should include higher level research degrees (MSc and PhD) in relevant science and technology areas</w:t>
      </w:r>
      <w:r w:rsidR="00D563F1">
        <w:t>. This is formal education.</w:t>
      </w:r>
    </w:p>
    <w:p w:rsidR="00F80BF5" w:rsidRDefault="00F80BF5" w:rsidP="00F80BF5">
      <w:pPr>
        <w:pStyle w:val="ListParagraph"/>
        <w:numPr>
          <w:ilvl w:val="0"/>
          <w:numId w:val="10"/>
        </w:numPr>
        <w:jc w:val="left"/>
      </w:pPr>
      <w:r>
        <w:t>Research and development</w:t>
      </w:r>
    </w:p>
    <w:p w:rsidR="00F80BF5" w:rsidRDefault="00F80BF5" w:rsidP="00F80BF5">
      <w:pPr>
        <w:pStyle w:val="ListParagraph"/>
        <w:numPr>
          <w:ilvl w:val="0"/>
          <w:numId w:val="10"/>
        </w:numPr>
        <w:jc w:val="left"/>
      </w:pPr>
      <w:r>
        <w:t>Knowledge and information exchange</w:t>
      </w:r>
      <w:r w:rsidR="00D563F1">
        <w:t xml:space="preserve"> through training and informal education in the public and private sectors. </w:t>
      </w:r>
    </w:p>
    <w:p w:rsidR="004339DF" w:rsidRDefault="004339DF" w:rsidP="00F80BF5">
      <w:pPr>
        <w:pStyle w:val="ListParagraph"/>
        <w:numPr>
          <w:ilvl w:val="0"/>
          <w:numId w:val="10"/>
        </w:numPr>
        <w:jc w:val="left"/>
      </w:pPr>
      <w:r>
        <w:t>Desalination training facility could be established.</w:t>
      </w:r>
    </w:p>
    <w:p w:rsidR="00F80BF5" w:rsidRDefault="00F80BF5" w:rsidP="00F80BF5">
      <w:pPr>
        <w:pStyle w:val="ListParagraph"/>
        <w:jc w:val="left"/>
      </w:pPr>
    </w:p>
    <w:p w:rsidR="00512229" w:rsidRPr="0074654C" w:rsidRDefault="00512229" w:rsidP="00512229">
      <w:pPr>
        <w:jc w:val="left"/>
      </w:pPr>
    </w:p>
    <w:p w:rsidR="009E0A50" w:rsidRDefault="009E0A50" w:rsidP="00AA7B9F">
      <w:pPr>
        <w:pStyle w:val="Heading1"/>
      </w:pPr>
      <w:r>
        <w:t>Institutional arrangements</w:t>
      </w:r>
    </w:p>
    <w:p w:rsidR="009E0A50" w:rsidRDefault="009E0A50" w:rsidP="009E0A50"/>
    <w:p w:rsidR="004339DF" w:rsidRPr="004339DF" w:rsidRDefault="004339DF" w:rsidP="004339DF">
      <w:r w:rsidRPr="004339DF">
        <w:t>Desalination should be into energy policies and energy co-production, the role of private enterprise, and how to distribute and charge for desalinated water.</w:t>
      </w:r>
    </w:p>
    <w:p w:rsidR="004339DF" w:rsidRPr="004339DF" w:rsidRDefault="004339DF" w:rsidP="004339DF"/>
    <w:p w:rsidR="004339DF" w:rsidRPr="004339DF" w:rsidRDefault="004339DF" w:rsidP="004339DF">
      <w:r w:rsidRPr="004339DF">
        <w:t xml:space="preserve">Many of the recommendations for development of desalination relate to remedying broader problems in the water sector. Desalination requires substantial economic investment; therefore inefficiencies, waste, and low-level equilibria in the water sector can be compounded when desalination is implemented. </w:t>
      </w:r>
    </w:p>
    <w:p w:rsidR="003761B7" w:rsidRPr="004339DF" w:rsidRDefault="00087AE3" w:rsidP="004339DF">
      <w:r w:rsidRPr="004339DF">
        <w:t xml:space="preserve">Key recommendations for governments exploring development of desalination include: </w:t>
      </w:r>
    </w:p>
    <w:p w:rsidR="003761B7" w:rsidRPr="004339DF" w:rsidRDefault="00087AE3" w:rsidP="004339DF">
      <w:pPr>
        <w:numPr>
          <w:ilvl w:val="0"/>
          <w:numId w:val="11"/>
        </w:numPr>
      </w:pPr>
      <w:r w:rsidRPr="004339DF">
        <w:t>Develop a clear water policy using an integrated water resources management (IWRM) approach to determine accurately renewable freshwater resource potential, demand and consumption. Only when the adequacy of conventional water resources is understood should development of nonconventional (e.g. saline) water resources be pursued.</w:t>
      </w:r>
    </w:p>
    <w:p w:rsidR="003761B7" w:rsidRPr="004339DF" w:rsidRDefault="00087AE3" w:rsidP="004339DF">
      <w:pPr>
        <w:numPr>
          <w:ilvl w:val="0"/>
          <w:numId w:val="11"/>
        </w:numPr>
      </w:pPr>
      <w:r w:rsidRPr="004339DF">
        <w:t xml:space="preserve">Implement conservation and water demand management in all sectors. Key methods include reduction of non-revenue water in piped systems, use of only limited targeted subsidies, and prevention of groundwater pollution. </w:t>
      </w:r>
    </w:p>
    <w:p w:rsidR="00223DC6" w:rsidRPr="004339DF" w:rsidRDefault="00087AE3" w:rsidP="004339DF">
      <w:pPr>
        <w:numPr>
          <w:ilvl w:val="0"/>
          <w:numId w:val="11"/>
        </w:numPr>
      </w:pPr>
      <w:r w:rsidRPr="004339DF">
        <w:t>Consider desalination in combination with other non-conventional water sources including reuse of treated wastewater, importation of water across boundaries, rainwater harvesting and</w:t>
      </w:r>
      <w:r w:rsidR="004339DF" w:rsidRPr="004339DF">
        <w:t xml:space="preserve"> m</w:t>
      </w:r>
      <w:r w:rsidRPr="004339DF">
        <w:t>icro-catchments</w:t>
      </w:r>
      <w:r w:rsidR="004339DF" w:rsidRPr="004339DF">
        <w:t>.</w:t>
      </w:r>
    </w:p>
    <w:p w:rsidR="009E0A50" w:rsidRPr="009E0A50" w:rsidRDefault="009E0A50" w:rsidP="009E0A50"/>
    <w:p w:rsidR="00BB2143" w:rsidRDefault="00BB2143" w:rsidP="00AA7B9F">
      <w:pPr>
        <w:pStyle w:val="Heading1"/>
      </w:pPr>
      <w:r w:rsidRPr="00BB2143">
        <w:t>Cost of implementation</w:t>
      </w:r>
    </w:p>
    <w:p w:rsidR="0074654C" w:rsidRDefault="0074654C" w:rsidP="009E0A50">
      <w:pPr>
        <w:jc w:val="left"/>
      </w:pPr>
    </w:p>
    <w:p w:rsidR="00892A70" w:rsidRDefault="00892A70" w:rsidP="00892A70">
      <w:r w:rsidRPr="00892A70">
        <w:t>A recently published review of desalination cost literature has shown that the costs are very much site</w:t>
      </w:r>
      <w:r>
        <w:t>-</w:t>
      </w:r>
      <w:r w:rsidRPr="00892A70">
        <w:t>specific</w:t>
      </w:r>
      <w:r>
        <w:t xml:space="preserve"> </w:t>
      </w:r>
      <w:r w:rsidRPr="00892A70">
        <w:t>and the cost per volume treated can vary widely.</w:t>
      </w:r>
      <w:r>
        <w:t xml:space="preserve"> T</w:t>
      </w:r>
      <w:r w:rsidRPr="00892A70">
        <w:t>he factors reported to have the greatest</w:t>
      </w:r>
      <w:r>
        <w:t xml:space="preserve"> </w:t>
      </w:r>
      <w:r w:rsidRPr="00892A70">
        <w:t>influence on the cost per m3 include: the cost of energy, the scale of the plant, and the salt/</w:t>
      </w:r>
      <w:r>
        <w:t>total dissolved solids</w:t>
      </w:r>
      <w:r w:rsidRPr="00892A70">
        <w:t xml:space="preserve"> </w:t>
      </w:r>
      <w:r w:rsidR="005F474D">
        <w:t xml:space="preserve">(TDS) </w:t>
      </w:r>
      <w:r w:rsidRPr="00892A70">
        <w:t>content of</w:t>
      </w:r>
      <w:r>
        <w:t xml:space="preserve"> </w:t>
      </w:r>
      <w:r w:rsidRPr="00892A70">
        <w:t>the source water. Capital costs of construction are clearly a major consideration as well, but are almost</w:t>
      </w:r>
      <w:r>
        <w:t xml:space="preserve"> </w:t>
      </w:r>
      <w:r w:rsidRPr="00892A70">
        <w:t>entirely site specific.</w:t>
      </w:r>
    </w:p>
    <w:p w:rsidR="00892A70" w:rsidRDefault="00892A70" w:rsidP="00892A70"/>
    <w:p w:rsidR="001C5A7D" w:rsidRDefault="001C5A7D" w:rsidP="001C5A7D">
      <w:pPr>
        <w:jc w:val="left"/>
      </w:pPr>
      <w:r w:rsidRPr="001C5A7D">
        <w:t>The capital and operating costs of seawater desalination plants have decreased significantly in real</w:t>
      </w:r>
      <w:r>
        <w:t xml:space="preserve"> terms. </w:t>
      </w:r>
      <w:r w:rsidRPr="001C5A7D">
        <w:t>This is due to several factors, such as; -</w:t>
      </w:r>
    </w:p>
    <w:p w:rsidR="001C5A7D" w:rsidRPr="001C5A7D" w:rsidRDefault="001C5A7D" w:rsidP="001C5A7D">
      <w:pPr>
        <w:jc w:val="left"/>
      </w:pPr>
      <w:r w:rsidRPr="001C5A7D">
        <w:rPr>
          <w:b/>
          <w:bCs/>
        </w:rPr>
        <w:t>Capital costs</w:t>
      </w:r>
    </w:p>
    <w:p w:rsidR="00CA4554" w:rsidRDefault="001C5A7D" w:rsidP="001C5A7D">
      <w:pPr>
        <w:pStyle w:val="ListParagraph"/>
        <w:numPr>
          <w:ilvl w:val="0"/>
          <w:numId w:val="13"/>
        </w:numPr>
        <w:ind w:left="709" w:hanging="283"/>
      </w:pPr>
      <w:r w:rsidRPr="001C5A7D">
        <w:t>Process design improvements,</w:t>
      </w:r>
    </w:p>
    <w:p w:rsidR="001C5A7D" w:rsidRPr="001C5A7D" w:rsidRDefault="001C5A7D" w:rsidP="001C5A7D">
      <w:pPr>
        <w:pStyle w:val="ListParagraph"/>
        <w:numPr>
          <w:ilvl w:val="0"/>
          <w:numId w:val="13"/>
        </w:numPr>
        <w:ind w:left="709" w:hanging="283"/>
      </w:pPr>
      <w:r w:rsidRPr="001C5A7D">
        <w:t>Membrane performance development and lower cost per m2 (RO),</w:t>
      </w:r>
    </w:p>
    <w:p w:rsidR="001C5A7D" w:rsidRPr="001C5A7D" w:rsidRDefault="001C5A7D" w:rsidP="001C5A7D">
      <w:pPr>
        <w:pStyle w:val="ListParagraph"/>
        <w:numPr>
          <w:ilvl w:val="0"/>
          <w:numId w:val="13"/>
        </w:numPr>
        <w:ind w:left="709" w:hanging="283"/>
      </w:pPr>
      <w:r w:rsidRPr="001C5A7D">
        <w:t>Manufacturing methods and increased volume,</w:t>
      </w:r>
    </w:p>
    <w:p w:rsidR="001C5A7D" w:rsidRPr="001C5A7D" w:rsidRDefault="001C5A7D" w:rsidP="001C5A7D">
      <w:pPr>
        <w:pStyle w:val="ListParagraph"/>
        <w:numPr>
          <w:ilvl w:val="0"/>
          <w:numId w:val="13"/>
        </w:numPr>
        <w:ind w:left="709" w:hanging="283"/>
      </w:pPr>
      <w:r w:rsidRPr="001C5A7D">
        <w:t>Increased competition.</w:t>
      </w:r>
    </w:p>
    <w:p w:rsidR="001C5A7D" w:rsidRPr="001C5A7D" w:rsidRDefault="001C5A7D" w:rsidP="001C5A7D">
      <w:pPr>
        <w:rPr>
          <w:b/>
          <w:bCs/>
        </w:rPr>
      </w:pPr>
      <w:r w:rsidRPr="001C5A7D">
        <w:rPr>
          <w:b/>
          <w:bCs/>
        </w:rPr>
        <w:t>Operating costs</w:t>
      </w:r>
    </w:p>
    <w:p w:rsidR="001C5A7D" w:rsidRPr="001C5A7D" w:rsidRDefault="001C5A7D" w:rsidP="001C5A7D">
      <w:pPr>
        <w:pStyle w:val="ListParagraph"/>
        <w:numPr>
          <w:ilvl w:val="0"/>
          <w:numId w:val="17"/>
        </w:numPr>
        <w:ind w:left="709" w:hanging="283"/>
      </w:pPr>
      <w:r w:rsidRPr="001C5A7D">
        <w:t>Process performance,</w:t>
      </w:r>
    </w:p>
    <w:p w:rsidR="001C5A7D" w:rsidRPr="001C5A7D" w:rsidRDefault="001C5A7D" w:rsidP="001C5A7D">
      <w:pPr>
        <w:pStyle w:val="ListParagraph"/>
        <w:numPr>
          <w:ilvl w:val="0"/>
          <w:numId w:val="17"/>
        </w:numPr>
        <w:ind w:left="709" w:hanging="283"/>
      </w:pPr>
      <w:r w:rsidRPr="001C5A7D">
        <w:t>Membrane life (RO),</w:t>
      </w:r>
    </w:p>
    <w:p w:rsidR="001C5A7D" w:rsidRPr="001C5A7D" w:rsidRDefault="001C5A7D" w:rsidP="001C5A7D">
      <w:pPr>
        <w:pStyle w:val="ListParagraph"/>
        <w:numPr>
          <w:ilvl w:val="0"/>
          <w:numId w:val="17"/>
        </w:numPr>
        <w:ind w:left="709" w:hanging="283"/>
      </w:pPr>
      <w:r w:rsidRPr="001C5A7D">
        <w:t>Energy efficiency improvements,</w:t>
      </w:r>
    </w:p>
    <w:p w:rsidR="001C5A7D" w:rsidRPr="001C5A7D" w:rsidRDefault="001C5A7D" w:rsidP="001C5A7D">
      <w:pPr>
        <w:pStyle w:val="ListParagraph"/>
        <w:numPr>
          <w:ilvl w:val="0"/>
          <w:numId w:val="17"/>
        </w:numPr>
        <w:ind w:left="709" w:hanging="283"/>
      </w:pPr>
      <w:r w:rsidRPr="001C5A7D">
        <w:t>Inter-stage boost pumping (RO),</w:t>
      </w:r>
    </w:p>
    <w:p w:rsidR="001C5A7D" w:rsidRPr="001C5A7D" w:rsidRDefault="001C5A7D" w:rsidP="001C5A7D">
      <w:pPr>
        <w:pStyle w:val="ListParagraph"/>
        <w:numPr>
          <w:ilvl w:val="0"/>
          <w:numId w:val="17"/>
        </w:numPr>
        <w:ind w:left="709" w:hanging="283"/>
      </w:pPr>
      <w:r w:rsidRPr="001C5A7D">
        <w:t>Improved chemicals,</w:t>
      </w:r>
    </w:p>
    <w:p w:rsidR="001C5A7D" w:rsidRPr="001C5A7D" w:rsidRDefault="001C5A7D" w:rsidP="001C5A7D">
      <w:pPr>
        <w:pStyle w:val="ListParagraph"/>
        <w:numPr>
          <w:ilvl w:val="0"/>
          <w:numId w:val="17"/>
        </w:numPr>
        <w:ind w:left="709" w:hanging="283"/>
      </w:pPr>
      <w:r w:rsidRPr="001C5A7D">
        <w:t>Reduced corrosion,</w:t>
      </w:r>
    </w:p>
    <w:p w:rsidR="001C5A7D" w:rsidRPr="002A0390" w:rsidRDefault="001C5A7D" w:rsidP="001C5A7D">
      <w:pPr>
        <w:pStyle w:val="ListParagraph"/>
        <w:numPr>
          <w:ilvl w:val="0"/>
          <w:numId w:val="17"/>
        </w:numPr>
        <w:ind w:left="709" w:hanging="283"/>
      </w:pPr>
      <w:r w:rsidRPr="001C5A7D">
        <w:lastRenderedPageBreak/>
        <w:t>Privatisation</w:t>
      </w:r>
    </w:p>
    <w:p w:rsidR="005F474D" w:rsidRDefault="005F474D" w:rsidP="00A043ED">
      <w:r>
        <w:t>The cost of membrane desalination decreases sharply as the salt concentration decreases. Seawater, on average, contains about 35,000 mg/L TDS; brackish waters, at 1000-10,000 mg/L, can be treated much less expensively. The costs per volume to desalinate brackish water using RO have generally been reported to range from $0.26-0.54/</w:t>
      </w:r>
      <w:r w:rsidR="00A043ED">
        <w:t>m</w:t>
      </w:r>
      <w:r w:rsidR="00A043ED">
        <w:rPr>
          <w:vertAlign w:val="superscript"/>
        </w:rPr>
        <w:t>3</w:t>
      </w:r>
      <w:r>
        <w:t xml:space="preserve"> for large plants producing 5000-60,000 </w:t>
      </w:r>
      <w:r w:rsidR="00A043ED">
        <w:t>m</w:t>
      </w:r>
      <w:r w:rsidR="00A043ED">
        <w:rPr>
          <w:vertAlign w:val="superscript"/>
        </w:rPr>
        <w:t>3</w:t>
      </w:r>
      <w:r>
        <w:t>/day and are much higher ($0.78-1.33/</w:t>
      </w:r>
      <w:r w:rsidR="00A043ED">
        <w:t>m</w:t>
      </w:r>
      <w:r w:rsidR="00A043ED">
        <w:rPr>
          <w:vertAlign w:val="superscript"/>
        </w:rPr>
        <w:t>3</w:t>
      </w:r>
      <w:r>
        <w:t xml:space="preserve">) for plants producing less than 1000 </w:t>
      </w:r>
      <w:r w:rsidR="00A043ED">
        <w:t>m</w:t>
      </w:r>
      <w:r w:rsidR="00A043ED">
        <w:rPr>
          <w:vertAlign w:val="superscript"/>
        </w:rPr>
        <w:t>3</w:t>
      </w:r>
      <w:r>
        <w:t>/day. Cost per volume for seawater RO are reported to be $0.44-1.62/</w:t>
      </w:r>
      <w:r w:rsidR="00A043ED">
        <w:t>m</w:t>
      </w:r>
      <w:r w:rsidR="00A043ED">
        <w:rPr>
          <w:vertAlign w:val="superscript"/>
        </w:rPr>
        <w:t>3</w:t>
      </w:r>
      <w:r>
        <w:t xml:space="preserve"> for plants producing </w:t>
      </w:r>
      <w:proofErr w:type="gramStart"/>
      <w:r>
        <w:t xml:space="preserve">more than 12,000 </w:t>
      </w:r>
      <w:r w:rsidR="00A043ED">
        <w:t>m</w:t>
      </w:r>
      <w:r w:rsidR="00A043ED">
        <w:rPr>
          <w:vertAlign w:val="superscript"/>
        </w:rPr>
        <w:t>3</w:t>
      </w:r>
      <w:r>
        <w:t>/day</w:t>
      </w:r>
      <w:proofErr w:type="gramEnd"/>
      <w:r>
        <w:t>. Note also that RO is more expensive for sea water than for blackish/waste water standing at 1.0 $/</w:t>
      </w:r>
      <w:r w:rsidR="00A043ED">
        <w:t>m</w:t>
      </w:r>
      <w:r>
        <w:t xml:space="preserve"> and 0.6 $/</w:t>
      </w:r>
      <w:r w:rsidR="00A043ED">
        <w:t>m</w:t>
      </w:r>
      <w:r w:rsidR="00A043ED">
        <w:rPr>
          <w:vertAlign w:val="superscript"/>
        </w:rPr>
        <w:t>3</w:t>
      </w:r>
      <w:r>
        <w:t>, respectively.</w:t>
      </w:r>
    </w:p>
    <w:p w:rsidR="005F474D" w:rsidRDefault="005F474D" w:rsidP="005F474D">
      <w:pPr>
        <w:ind w:left="284" w:hanging="284"/>
        <w:jc w:val="left"/>
      </w:pPr>
    </w:p>
    <w:p w:rsidR="005F474D" w:rsidRDefault="005F474D" w:rsidP="005F474D">
      <w:r w:rsidRPr="005F474D">
        <w:t>Thermal methods (generally used to desalinate seawater) are subject to the same economies of scale.</w:t>
      </w:r>
      <w:r>
        <w:t xml:space="preserve"> </w:t>
      </w:r>
      <w:r w:rsidRPr="005F474D">
        <w:t>Costs for thermal desalination plan</w:t>
      </w:r>
      <w:r>
        <w:t>ts were reported to be $2-2.60/</w:t>
      </w:r>
      <w:r w:rsidR="00A043ED">
        <w:t>m</w:t>
      </w:r>
      <w:r w:rsidR="00A043ED">
        <w:rPr>
          <w:vertAlign w:val="superscript"/>
        </w:rPr>
        <w:t>3</w:t>
      </w:r>
      <w:r w:rsidRPr="005F474D">
        <w:t xml:space="preserve"> </w:t>
      </w:r>
      <w:r>
        <w:t xml:space="preserve">for 1000-1200 </w:t>
      </w:r>
      <w:r w:rsidR="00A043ED">
        <w:t>m</w:t>
      </w:r>
      <w:r w:rsidR="00A043ED">
        <w:rPr>
          <w:vertAlign w:val="superscript"/>
        </w:rPr>
        <w:t>3</w:t>
      </w:r>
      <w:r w:rsidRPr="005F474D">
        <w:t>/day and $0.52-</w:t>
      </w:r>
      <w:r>
        <w:t xml:space="preserve"> 1.95/</w:t>
      </w:r>
      <w:r w:rsidR="00A043ED">
        <w:t>m</w:t>
      </w:r>
      <w:r w:rsidR="00A043ED">
        <w:rPr>
          <w:vertAlign w:val="superscript"/>
        </w:rPr>
        <w:t>3</w:t>
      </w:r>
      <w:r w:rsidRPr="005F474D">
        <w:t xml:space="preserve"> for pla</w:t>
      </w:r>
      <w:r>
        <w:t xml:space="preserve">nts producing </w:t>
      </w:r>
      <w:proofErr w:type="gramStart"/>
      <w:r>
        <w:t xml:space="preserve">more than 12,000 </w:t>
      </w:r>
      <w:r w:rsidR="00A043ED">
        <w:t>m</w:t>
      </w:r>
      <w:r w:rsidR="00A043ED">
        <w:rPr>
          <w:vertAlign w:val="superscript"/>
        </w:rPr>
        <w:t>3</w:t>
      </w:r>
      <w:r w:rsidRPr="005F474D">
        <w:t>/day</w:t>
      </w:r>
      <w:proofErr w:type="gramEnd"/>
    </w:p>
    <w:p w:rsidR="005F474D" w:rsidRDefault="005F474D" w:rsidP="005F474D">
      <w:pPr>
        <w:ind w:left="284" w:hanging="284"/>
        <w:jc w:val="left"/>
      </w:pPr>
    </w:p>
    <w:p w:rsidR="00CA4554" w:rsidRDefault="00892A70" w:rsidP="00CA4554">
      <w:pPr>
        <w:ind w:left="284" w:hanging="284"/>
        <w:jc w:val="left"/>
      </w:pPr>
      <w:r>
        <w:t>More specifically, costs extracted from two studies</w:t>
      </w:r>
    </w:p>
    <w:p w:rsidR="00CA4554" w:rsidRDefault="00CA4554" w:rsidP="00CA4554">
      <w:pPr>
        <w:ind w:left="284" w:hanging="284"/>
        <w:jc w:val="left"/>
      </w:pPr>
    </w:p>
    <w:p w:rsidR="00B358B2" w:rsidRDefault="00B358B2" w:rsidP="00CA4554">
      <w:pPr>
        <w:ind w:left="284" w:hanging="284"/>
        <w:jc w:val="left"/>
      </w:pPr>
      <w:r>
        <w:t xml:space="preserve">Table 1: Cost associated with </w:t>
      </w:r>
      <w:r w:rsidR="008D5AEF">
        <w:t>desalination technologies</w:t>
      </w:r>
    </w:p>
    <w:tbl>
      <w:tblPr>
        <w:tblStyle w:val="TableGrid"/>
        <w:tblW w:w="0" w:type="auto"/>
        <w:jc w:val="center"/>
        <w:tblInd w:w="108" w:type="dxa"/>
        <w:tblLook w:val="04A0" w:firstRow="1" w:lastRow="0" w:firstColumn="1" w:lastColumn="0" w:noHBand="0" w:noVBand="1"/>
      </w:tblPr>
      <w:tblGrid>
        <w:gridCol w:w="2576"/>
        <w:gridCol w:w="1928"/>
        <w:gridCol w:w="1450"/>
        <w:gridCol w:w="1492"/>
      </w:tblGrid>
      <w:tr w:rsidR="00D35D06" w:rsidRPr="001C5A7D" w:rsidTr="00C33F58">
        <w:trPr>
          <w:jc w:val="center"/>
        </w:trPr>
        <w:tc>
          <w:tcPr>
            <w:tcW w:w="2576" w:type="dxa"/>
            <w:shd w:val="clear" w:color="auto" w:fill="C4BC96" w:themeFill="background2" w:themeFillShade="BF"/>
          </w:tcPr>
          <w:p w:rsidR="00D35D06" w:rsidRPr="001C5A7D" w:rsidRDefault="00D35D06" w:rsidP="00C33F58">
            <w:pPr>
              <w:spacing w:line="276" w:lineRule="auto"/>
              <w:ind w:left="284" w:hanging="284"/>
              <w:jc w:val="left"/>
            </w:pPr>
            <w:r w:rsidRPr="001C5A7D">
              <w:t>Technology options</w:t>
            </w:r>
          </w:p>
        </w:tc>
        <w:tc>
          <w:tcPr>
            <w:tcW w:w="1928" w:type="dxa"/>
            <w:tcBorders>
              <w:right w:val="single" w:sz="8" w:space="0" w:color="000000" w:themeColor="text1"/>
            </w:tcBorders>
            <w:shd w:val="clear" w:color="auto" w:fill="C4BC96" w:themeFill="background2" w:themeFillShade="BF"/>
          </w:tcPr>
          <w:p w:rsidR="00D35D06" w:rsidRPr="00A043ED" w:rsidRDefault="00D35D06" w:rsidP="004E3FA3">
            <w:pPr>
              <w:ind w:left="33" w:hanging="33"/>
              <w:jc w:val="left"/>
            </w:pPr>
            <w:r>
              <w:t>Specific Investment costs ($/m</w:t>
            </w:r>
            <w:r>
              <w:rPr>
                <w:vertAlign w:val="superscript"/>
              </w:rPr>
              <w:t>3</w:t>
            </w:r>
            <w:r>
              <w:t xml:space="preserve">/year) </w:t>
            </w:r>
          </w:p>
        </w:tc>
        <w:tc>
          <w:tcPr>
            <w:tcW w:w="1450" w:type="dxa"/>
            <w:tcBorders>
              <w:right w:val="single" w:sz="8" w:space="0" w:color="000000" w:themeColor="text1"/>
            </w:tcBorders>
            <w:shd w:val="clear" w:color="auto" w:fill="C4BC96" w:themeFill="background2" w:themeFillShade="BF"/>
          </w:tcPr>
          <w:p w:rsidR="00D35D06" w:rsidRPr="004E3FA3" w:rsidRDefault="00D35D06" w:rsidP="004E3FA3">
            <w:pPr>
              <w:spacing w:line="276" w:lineRule="auto"/>
              <w:ind w:left="33" w:hanging="33"/>
              <w:jc w:val="left"/>
            </w:pPr>
            <w:r>
              <w:t xml:space="preserve">Capital </w:t>
            </w:r>
            <w:r w:rsidRPr="004E3FA3">
              <w:t>Production costs (</w:t>
            </w:r>
            <w:r>
              <w:t>$/m</w:t>
            </w:r>
            <w:r>
              <w:rPr>
                <w:vertAlign w:val="superscript"/>
              </w:rPr>
              <w:t>3</w:t>
            </w:r>
            <w:r>
              <w:t>)</w:t>
            </w:r>
          </w:p>
        </w:tc>
        <w:tc>
          <w:tcPr>
            <w:tcW w:w="1492" w:type="dxa"/>
            <w:tcBorders>
              <w:left w:val="single" w:sz="8" w:space="0" w:color="000000" w:themeColor="text1"/>
            </w:tcBorders>
            <w:shd w:val="clear" w:color="auto" w:fill="C4BC96" w:themeFill="background2" w:themeFillShade="BF"/>
          </w:tcPr>
          <w:p w:rsidR="00D35D06" w:rsidRPr="008D5AEF" w:rsidRDefault="00D35D06" w:rsidP="001C5A7D">
            <w:pPr>
              <w:jc w:val="left"/>
            </w:pPr>
            <w:r>
              <w:t>Global capacity (m</w:t>
            </w:r>
            <w:r>
              <w:rPr>
                <w:vertAlign w:val="superscript"/>
              </w:rPr>
              <w:t>3</w:t>
            </w:r>
            <w:r>
              <w:t>/day)</w:t>
            </w:r>
          </w:p>
        </w:tc>
      </w:tr>
      <w:tr w:rsidR="00D35D06" w:rsidRPr="001C5A7D" w:rsidTr="00C33F58">
        <w:trPr>
          <w:jc w:val="center"/>
        </w:trPr>
        <w:tc>
          <w:tcPr>
            <w:tcW w:w="2576" w:type="dxa"/>
          </w:tcPr>
          <w:p w:rsidR="00D35D06" w:rsidRPr="001C5A7D" w:rsidRDefault="00D35D06" w:rsidP="004E3FA3">
            <w:pPr>
              <w:spacing w:line="276" w:lineRule="auto"/>
              <w:jc w:val="left"/>
            </w:pPr>
            <w:r w:rsidRPr="001C5A7D">
              <w:t>Multi-Stage Flash (MSF) Distillation</w:t>
            </w:r>
          </w:p>
        </w:tc>
        <w:tc>
          <w:tcPr>
            <w:tcW w:w="1928" w:type="dxa"/>
            <w:tcBorders>
              <w:right w:val="single" w:sz="8" w:space="0" w:color="000000" w:themeColor="text1"/>
            </w:tcBorders>
          </w:tcPr>
          <w:p w:rsidR="00D35D06" w:rsidRPr="001C5A7D" w:rsidRDefault="00D35D06" w:rsidP="00B358B2">
            <w:pPr>
              <w:spacing w:line="276" w:lineRule="auto"/>
              <w:ind w:left="33" w:hanging="33"/>
              <w:jc w:val="center"/>
            </w:pPr>
            <w:r w:rsidRPr="004E3FA3">
              <w:t>0.75</w:t>
            </w:r>
          </w:p>
        </w:tc>
        <w:tc>
          <w:tcPr>
            <w:tcW w:w="1450" w:type="dxa"/>
            <w:tcBorders>
              <w:right w:val="single" w:sz="8" w:space="0" w:color="000000" w:themeColor="text1"/>
            </w:tcBorders>
          </w:tcPr>
          <w:p w:rsidR="00D35D06" w:rsidRPr="001C5A7D" w:rsidRDefault="00D35D06" w:rsidP="00B358B2">
            <w:pPr>
              <w:jc w:val="center"/>
            </w:pPr>
            <w:r w:rsidRPr="004E3FA3">
              <w:t>1.34</w:t>
            </w:r>
          </w:p>
        </w:tc>
        <w:tc>
          <w:tcPr>
            <w:tcW w:w="1492" w:type="dxa"/>
            <w:tcBorders>
              <w:left w:val="single" w:sz="8" w:space="0" w:color="auto"/>
            </w:tcBorders>
          </w:tcPr>
          <w:p w:rsidR="00D35D06" w:rsidRPr="001C5A7D" w:rsidRDefault="00D35D06" w:rsidP="001C5A7D">
            <w:pPr>
              <w:ind w:left="284" w:hanging="284"/>
              <w:jc w:val="left"/>
            </w:pPr>
            <w:r>
              <w:t>13.4</w:t>
            </w:r>
          </w:p>
        </w:tc>
      </w:tr>
      <w:tr w:rsidR="00D35D06" w:rsidRPr="001C5A7D" w:rsidTr="00C33F58">
        <w:trPr>
          <w:jc w:val="center"/>
        </w:trPr>
        <w:tc>
          <w:tcPr>
            <w:tcW w:w="2576" w:type="dxa"/>
          </w:tcPr>
          <w:p w:rsidR="00D35D06" w:rsidRPr="001C5A7D" w:rsidRDefault="00D35D06" w:rsidP="004E3FA3">
            <w:pPr>
              <w:spacing w:line="276" w:lineRule="auto"/>
              <w:ind w:left="34" w:hanging="34"/>
              <w:jc w:val="left"/>
            </w:pPr>
            <w:r w:rsidRPr="001C5A7D">
              <w:t>Multiple-effect Distillation (MED)</w:t>
            </w:r>
          </w:p>
        </w:tc>
        <w:tc>
          <w:tcPr>
            <w:tcW w:w="1928" w:type="dxa"/>
            <w:tcBorders>
              <w:right w:val="single" w:sz="8" w:space="0" w:color="000000" w:themeColor="text1"/>
            </w:tcBorders>
          </w:tcPr>
          <w:p w:rsidR="00D35D06" w:rsidRPr="001C5A7D" w:rsidRDefault="00D35D06" w:rsidP="00B358B2">
            <w:pPr>
              <w:spacing w:line="276" w:lineRule="auto"/>
              <w:ind w:left="33" w:hanging="33"/>
              <w:jc w:val="center"/>
            </w:pPr>
            <w:r w:rsidRPr="004E3FA3">
              <w:t>0.91</w:t>
            </w:r>
          </w:p>
        </w:tc>
        <w:tc>
          <w:tcPr>
            <w:tcW w:w="1450" w:type="dxa"/>
            <w:tcBorders>
              <w:right w:val="single" w:sz="8" w:space="0" w:color="000000" w:themeColor="text1"/>
            </w:tcBorders>
          </w:tcPr>
          <w:p w:rsidR="00D35D06" w:rsidRPr="001C5A7D" w:rsidRDefault="00D35D06" w:rsidP="00B358B2">
            <w:pPr>
              <w:jc w:val="center"/>
            </w:pPr>
            <w:r w:rsidRPr="004E3FA3">
              <w:t>1.45</w:t>
            </w:r>
          </w:p>
        </w:tc>
        <w:tc>
          <w:tcPr>
            <w:tcW w:w="1492" w:type="dxa"/>
            <w:tcBorders>
              <w:left w:val="single" w:sz="8" w:space="0" w:color="auto"/>
            </w:tcBorders>
          </w:tcPr>
          <w:p w:rsidR="00D35D06" w:rsidRPr="001C5A7D" w:rsidRDefault="00D35D06" w:rsidP="001C5A7D">
            <w:pPr>
              <w:ind w:left="284" w:hanging="284"/>
              <w:jc w:val="left"/>
            </w:pPr>
            <w:r>
              <w:t>0.9</w:t>
            </w:r>
          </w:p>
        </w:tc>
      </w:tr>
      <w:tr w:rsidR="00D35D06" w:rsidRPr="001C5A7D" w:rsidTr="00C33F58">
        <w:trPr>
          <w:jc w:val="center"/>
        </w:trPr>
        <w:tc>
          <w:tcPr>
            <w:tcW w:w="2576" w:type="dxa"/>
          </w:tcPr>
          <w:p w:rsidR="00D35D06" w:rsidRPr="001C5A7D" w:rsidRDefault="00D35D06" w:rsidP="004E3FA3">
            <w:pPr>
              <w:spacing w:line="276" w:lineRule="auto"/>
              <w:ind w:left="34" w:hanging="34"/>
              <w:jc w:val="left"/>
            </w:pPr>
            <w:r w:rsidRPr="001C5A7D">
              <w:t>Vapour Compression Distillation (VCD)</w:t>
            </w:r>
          </w:p>
        </w:tc>
        <w:tc>
          <w:tcPr>
            <w:tcW w:w="1928" w:type="dxa"/>
            <w:tcBorders>
              <w:right w:val="single" w:sz="8" w:space="0" w:color="000000" w:themeColor="text1"/>
            </w:tcBorders>
          </w:tcPr>
          <w:p w:rsidR="00D35D06" w:rsidRPr="001C5A7D" w:rsidRDefault="00D35D06" w:rsidP="00B358B2">
            <w:pPr>
              <w:spacing w:line="276" w:lineRule="auto"/>
              <w:ind w:left="33" w:hanging="33"/>
              <w:jc w:val="center"/>
            </w:pPr>
            <w:r w:rsidRPr="004E3FA3">
              <w:t>0.65</w:t>
            </w:r>
          </w:p>
        </w:tc>
        <w:tc>
          <w:tcPr>
            <w:tcW w:w="1450" w:type="dxa"/>
            <w:tcBorders>
              <w:right w:val="single" w:sz="8" w:space="0" w:color="000000" w:themeColor="text1"/>
            </w:tcBorders>
          </w:tcPr>
          <w:p w:rsidR="00D35D06" w:rsidRPr="001C5A7D" w:rsidRDefault="00D35D06" w:rsidP="00B358B2">
            <w:pPr>
              <w:jc w:val="center"/>
            </w:pPr>
            <w:r w:rsidRPr="004E3FA3">
              <w:t>1.15</w:t>
            </w:r>
          </w:p>
        </w:tc>
        <w:tc>
          <w:tcPr>
            <w:tcW w:w="1492" w:type="dxa"/>
            <w:tcBorders>
              <w:left w:val="single" w:sz="8" w:space="0" w:color="auto"/>
            </w:tcBorders>
          </w:tcPr>
          <w:p w:rsidR="00D35D06" w:rsidRPr="001C5A7D" w:rsidRDefault="00D35D06" w:rsidP="001C5A7D">
            <w:pPr>
              <w:ind w:left="284" w:hanging="284"/>
              <w:jc w:val="left"/>
            </w:pPr>
            <w:r>
              <w:t>1.6</w:t>
            </w:r>
          </w:p>
        </w:tc>
      </w:tr>
      <w:tr w:rsidR="00D35D06" w:rsidRPr="001C5A7D" w:rsidTr="00C33F58">
        <w:trPr>
          <w:jc w:val="center"/>
        </w:trPr>
        <w:tc>
          <w:tcPr>
            <w:tcW w:w="2576" w:type="dxa"/>
          </w:tcPr>
          <w:p w:rsidR="00D35D06" w:rsidRPr="001C5A7D" w:rsidRDefault="00D35D06" w:rsidP="001C5A7D">
            <w:pPr>
              <w:spacing w:line="276" w:lineRule="auto"/>
              <w:ind w:left="284" w:hanging="284"/>
              <w:jc w:val="left"/>
            </w:pPr>
            <w:r w:rsidRPr="001C5A7D">
              <w:t>Reverse Osmosis (RO)</w:t>
            </w:r>
          </w:p>
        </w:tc>
        <w:tc>
          <w:tcPr>
            <w:tcW w:w="1928" w:type="dxa"/>
            <w:tcBorders>
              <w:right w:val="single" w:sz="8" w:space="0" w:color="000000" w:themeColor="text1"/>
            </w:tcBorders>
          </w:tcPr>
          <w:p w:rsidR="00D35D06" w:rsidRPr="001C5A7D" w:rsidRDefault="00D35D06" w:rsidP="00B358B2">
            <w:pPr>
              <w:spacing w:line="276" w:lineRule="auto"/>
              <w:ind w:left="284" w:hanging="284"/>
              <w:jc w:val="center"/>
            </w:pPr>
            <w:r w:rsidRPr="004E3FA3">
              <w:t>0.93</w:t>
            </w:r>
          </w:p>
        </w:tc>
        <w:tc>
          <w:tcPr>
            <w:tcW w:w="1450" w:type="dxa"/>
            <w:tcBorders>
              <w:right w:val="single" w:sz="8" w:space="0" w:color="000000" w:themeColor="text1"/>
            </w:tcBorders>
          </w:tcPr>
          <w:p w:rsidR="00D35D06" w:rsidRPr="001C5A7D" w:rsidRDefault="00D35D06" w:rsidP="00B358B2">
            <w:pPr>
              <w:jc w:val="center"/>
            </w:pPr>
            <w:r w:rsidRPr="004E3FA3">
              <w:t>1.81</w:t>
            </w:r>
          </w:p>
        </w:tc>
        <w:tc>
          <w:tcPr>
            <w:tcW w:w="1492" w:type="dxa"/>
            <w:tcBorders>
              <w:left w:val="single" w:sz="8" w:space="0" w:color="auto"/>
            </w:tcBorders>
          </w:tcPr>
          <w:p w:rsidR="00D35D06" w:rsidRPr="001C5A7D" w:rsidRDefault="00D35D06" w:rsidP="001C5A7D">
            <w:pPr>
              <w:ind w:left="284" w:hanging="284"/>
              <w:jc w:val="left"/>
            </w:pPr>
            <w:r>
              <w:t>14</w:t>
            </w:r>
          </w:p>
        </w:tc>
      </w:tr>
    </w:tbl>
    <w:p w:rsidR="001C5A7D" w:rsidRDefault="001C5A7D" w:rsidP="00CA4554">
      <w:pPr>
        <w:ind w:left="284" w:hanging="284"/>
        <w:jc w:val="left"/>
      </w:pPr>
    </w:p>
    <w:p w:rsidR="00B358B2" w:rsidRDefault="008D5AEF" w:rsidP="005A0D84">
      <w:pPr>
        <w:ind w:left="284" w:hanging="284"/>
      </w:pPr>
      <w:r>
        <w:t xml:space="preserve">Points to note: </w:t>
      </w:r>
    </w:p>
    <w:p w:rsidR="008D5AEF" w:rsidRDefault="008D5AEF" w:rsidP="005A0D84">
      <w:pPr>
        <w:pStyle w:val="ListParagraph"/>
        <w:numPr>
          <w:ilvl w:val="0"/>
          <w:numId w:val="18"/>
        </w:numPr>
        <w:ind w:left="426" w:hanging="284"/>
      </w:pPr>
      <w:r>
        <w:t>Existing MSF and RO plants are powered mainly by conventional sources of energy</w:t>
      </w:r>
    </w:p>
    <w:p w:rsidR="008D5AEF" w:rsidRDefault="008D5AEF" w:rsidP="005A0D84">
      <w:pPr>
        <w:pStyle w:val="ListParagraph"/>
        <w:numPr>
          <w:ilvl w:val="0"/>
          <w:numId w:val="18"/>
        </w:numPr>
        <w:ind w:left="426" w:hanging="284"/>
      </w:pPr>
      <w:r>
        <w:t>Coupling of renewable energy sources (RES) and desalination systems is holding great promise.</w:t>
      </w:r>
    </w:p>
    <w:p w:rsidR="008D5AEF" w:rsidRDefault="008D5AEF" w:rsidP="005A0D84">
      <w:pPr>
        <w:pStyle w:val="ListParagraph"/>
        <w:numPr>
          <w:ilvl w:val="0"/>
          <w:numId w:val="18"/>
        </w:numPr>
        <w:ind w:left="426" w:hanging="284"/>
      </w:pPr>
      <w:r>
        <w:t>Current higher cost of RES is counterbalanced by their environmental benefits</w:t>
      </w:r>
    </w:p>
    <w:p w:rsidR="008D5AEF" w:rsidRDefault="008D5AEF" w:rsidP="005A0D84">
      <w:pPr>
        <w:ind w:left="284" w:hanging="284"/>
      </w:pPr>
    </w:p>
    <w:p w:rsidR="00D35D06" w:rsidRDefault="00D35D06" w:rsidP="00D35D06">
      <w:r>
        <w:t>An alternate view for comparing MSF, MED, CDV and RO is shown in the following table: Cost with relative to RO</w:t>
      </w:r>
    </w:p>
    <w:tbl>
      <w:tblPr>
        <w:tblStyle w:val="TableGrid"/>
        <w:tblW w:w="0" w:type="auto"/>
        <w:jc w:val="center"/>
        <w:tblInd w:w="284" w:type="dxa"/>
        <w:tblLook w:val="04A0" w:firstRow="1" w:lastRow="0" w:firstColumn="1" w:lastColumn="0" w:noHBand="0" w:noVBand="1"/>
      </w:tblPr>
      <w:tblGrid>
        <w:gridCol w:w="1824"/>
        <w:gridCol w:w="694"/>
        <w:gridCol w:w="708"/>
        <w:gridCol w:w="619"/>
        <w:gridCol w:w="657"/>
      </w:tblGrid>
      <w:tr w:rsidR="00C33F58" w:rsidTr="00C33F58">
        <w:trPr>
          <w:jc w:val="center"/>
        </w:trPr>
        <w:tc>
          <w:tcPr>
            <w:tcW w:w="1824" w:type="dxa"/>
            <w:shd w:val="clear" w:color="auto" w:fill="C4BC96" w:themeFill="background2" w:themeFillShade="BF"/>
          </w:tcPr>
          <w:p w:rsidR="00D35D06" w:rsidRDefault="00D35D06" w:rsidP="005A0D84">
            <w:r>
              <w:t xml:space="preserve">Cost component </w:t>
            </w:r>
          </w:p>
        </w:tc>
        <w:tc>
          <w:tcPr>
            <w:tcW w:w="694" w:type="dxa"/>
            <w:shd w:val="clear" w:color="auto" w:fill="C4BC96" w:themeFill="background2" w:themeFillShade="BF"/>
          </w:tcPr>
          <w:p w:rsidR="00D35D06" w:rsidRDefault="00D35D06" w:rsidP="005A0D84">
            <w:r>
              <w:t>MSF</w:t>
            </w:r>
          </w:p>
        </w:tc>
        <w:tc>
          <w:tcPr>
            <w:tcW w:w="708" w:type="dxa"/>
            <w:shd w:val="clear" w:color="auto" w:fill="C4BC96" w:themeFill="background2" w:themeFillShade="BF"/>
          </w:tcPr>
          <w:p w:rsidR="00D35D06" w:rsidRDefault="00D35D06" w:rsidP="005A0D84">
            <w:r>
              <w:t>MED</w:t>
            </w:r>
          </w:p>
        </w:tc>
        <w:tc>
          <w:tcPr>
            <w:tcW w:w="619" w:type="dxa"/>
            <w:shd w:val="clear" w:color="auto" w:fill="C4BC96" w:themeFill="background2" w:themeFillShade="BF"/>
          </w:tcPr>
          <w:p w:rsidR="00D35D06" w:rsidRDefault="00D35D06" w:rsidP="005A0D84">
            <w:r>
              <w:t>VCD</w:t>
            </w:r>
          </w:p>
        </w:tc>
        <w:tc>
          <w:tcPr>
            <w:tcW w:w="657" w:type="dxa"/>
            <w:shd w:val="clear" w:color="auto" w:fill="C4BC96" w:themeFill="background2" w:themeFillShade="BF"/>
          </w:tcPr>
          <w:p w:rsidR="00D35D06" w:rsidRDefault="00D35D06" w:rsidP="005A0D84">
            <w:r>
              <w:t>RO</w:t>
            </w:r>
          </w:p>
        </w:tc>
      </w:tr>
      <w:tr w:rsidR="00D35D06" w:rsidTr="00C33F58">
        <w:trPr>
          <w:jc w:val="center"/>
        </w:trPr>
        <w:tc>
          <w:tcPr>
            <w:tcW w:w="1824" w:type="dxa"/>
          </w:tcPr>
          <w:p w:rsidR="00D35D06" w:rsidRDefault="00D35D06" w:rsidP="005A0D84">
            <w:r>
              <w:t>Capital investment</w:t>
            </w:r>
          </w:p>
        </w:tc>
        <w:tc>
          <w:tcPr>
            <w:tcW w:w="694" w:type="dxa"/>
          </w:tcPr>
          <w:p w:rsidR="00D35D06" w:rsidRDefault="00D35D06" w:rsidP="005A0D84">
            <w:r>
              <w:t>120</w:t>
            </w:r>
          </w:p>
        </w:tc>
        <w:tc>
          <w:tcPr>
            <w:tcW w:w="708" w:type="dxa"/>
          </w:tcPr>
          <w:p w:rsidR="00D35D06" w:rsidRDefault="00D35D06" w:rsidP="005A0D84">
            <w:r>
              <w:t>114</w:t>
            </w:r>
          </w:p>
        </w:tc>
        <w:tc>
          <w:tcPr>
            <w:tcW w:w="619" w:type="dxa"/>
          </w:tcPr>
          <w:p w:rsidR="00D35D06" w:rsidRDefault="00D35D06" w:rsidP="005A0D84">
            <w:r>
              <w:t>118</w:t>
            </w:r>
          </w:p>
        </w:tc>
        <w:tc>
          <w:tcPr>
            <w:tcW w:w="657" w:type="dxa"/>
          </w:tcPr>
          <w:p w:rsidR="00D35D06" w:rsidRDefault="00D35D06" w:rsidP="005A0D84">
            <w:r>
              <w:t>100</w:t>
            </w:r>
          </w:p>
        </w:tc>
      </w:tr>
      <w:tr w:rsidR="00D35D06" w:rsidTr="00C33F58">
        <w:trPr>
          <w:jc w:val="center"/>
        </w:trPr>
        <w:tc>
          <w:tcPr>
            <w:tcW w:w="1824" w:type="dxa"/>
          </w:tcPr>
          <w:p w:rsidR="00D35D06" w:rsidRDefault="00D35D06" w:rsidP="00D35D06">
            <w:pPr>
              <w:jc w:val="left"/>
            </w:pPr>
            <w:r>
              <w:t>Energy related costs</w:t>
            </w:r>
          </w:p>
        </w:tc>
        <w:tc>
          <w:tcPr>
            <w:tcW w:w="694" w:type="dxa"/>
          </w:tcPr>
          <w:p w:rsidR="00D35D06" w:rsidRDefault="00D35D06" w:rsidP="005A0D84">
            <w:r>
              <w:t>215</w:t>
            </w:r>
          </w:p>
        </w:tc>
        <w:tc>
          <w:tcPr>
            <w:tcW w:w="708" w:type="dxa"/>
          </w:tcPr>
          <w:p w:rsidR="00D35D06" w:rsidRDefault="00D35D06" w:rsidP="005A0D84">
            <w:r>
              <w:t>175</w:t>
            </w:r>
          </w:p>
        </w:tc>
        <w:tc>
          <w:tcPr>
            <w:tcW w:w="619" w:type="dxa"/>
          </w:tcPr>
          <w:p w:rsidR="00D35D06" w:rsidRDefault="00D35D06" w:rsidP="005A0D84">
            <w:r>
              <w:t>140</w:t>
            </w:r>
          </w:p>
        </w:tc>
        <w:tc>
          <w:tcPr>
            <w:tcW w:w="657" w:type="dxa"/>
          </w:tcPr>
          <w:p w:rsidR="00D35D06" w:rsidRDefault="00D35D06" w:rsidP="005A0D84">
            <w:r>
              <w:t>100</w:t>
            </w:r>
          </w:p>
        </w:tc>
      </w:tr>
      <w:tr w:rsidR="00D35D06" w:rsidTr="00C33F58">
        <w:trPr>
          <w:jc w:val="center"/>
        </w:trPr>
        <w:tc>
          <w:tcPr>
            <w:tcW w:w="1824" w:type="dxa"/>
          </w:tcPr>
          <w:p w:rsidR="00D35D06" w:rsidRDefault="00D35D06" w:rsidP="005A0D84">
            <w:r>
              <w:t>Membrane replacement</w:t>
            </w:r>
          </w:p>
        </w:tc>
        <w:tc>
          <w:tcPr>
            <w:tcW w:w="694" w:type="dxa"/>
          </w:tcPr>
          <w:p w:rsidR="00D35D06" w:rsidRDefault="00D35D06" w:rsidP="005A0D84">
            <w:r>
              <w:t>-----</w:t>
            </w:r>
          </w:p>
        </w:tc>
        <w:tc>
          <w:tcPr>
            <w:tcW w:w="708" w:type="dxa"/>
          </w:tcPr>
          <w:p w:rsidR="00D35D06" w:rsidRDefault="00D35D06" w:rsidP="005A0D84">
            <w:r>
              <w:t>-----</w:t>
            </w:r>
          </w:p>
        </w:tc>
        <w:tc>
          <w:tcPr>
            <w:tcW w:w="619" w:type="dxa"/>
          </w:tcPr>
          <w:p w:rsidR="00D35D06" w:rsidRDefault="00D35D06" w:rsidP="005A0D84">
            <w:r>
              <w:t>-----</w:t>
            </w:r>
          </w:p>
        </w:tc>
        <w:tc>
          <w:tcPr>
            <w:tcW w:w="657" w:type="dxa"/>
          </w:tcPr>
          <w:p w:rsidR="00D35D06" w:rsidRDefault="00D35D06" w:rsidP="005A0D84">
            <w:r>
              <w:t>100</w:t>
            </w:r>
          </w:p>
        </w:tc>
      </w:tr>
      <w:tr w:rsidR="00D35D06" w:rsidTr="00C33F58">
        <w:trPr>
          <w:jc w:val="center"/>
        </w:trPr>
        <w:tc>
          <w:tcPr>
            <w:tcW w:w="1824" w:type="dxa"/>
          </w:tcPr>
          <w:p w:rsidR="00D35D06" w:rsidRDefault="00D35D06" w:rsidP="005A0D84">
            <w:r>
              <w:t>Other remaining costs</w:t>
            </w:r>
          </w:p>
        </w:tc>
        <w:tc>
          <w:tcPr>
            <w:tcW w:w="694" w:type="dxa"/>
          </w:tcPr>
          <w:p w:rsidR="00D35D06" w:rsidRDefault="00D35D06" w:rsidP="005A0D84">
            <w:r>
              <w:t>103</w:t>
            </w:r>
          </w:p>
        </w:tc>
        <w:tc>
          <w:tcPr>
            <w:tcW w:w="708" w:type="dxa"/>
          </w:tcPr>
          <w:p w:rsidR="00D35D06" w:rsidRDefault="00D35D06" w:rsidP="005A0D84">
            <w:r>
              <w:t>89</w:t>
            </w:r>
          </w:p>
        </w:tc>
        <w:tc>
          <w:tcPr>
            <w:tcW w:w="619" w:type="dxa"/>
          </w:tcPr>
          <w:p w:rsidR="00D35D06" w:rsidRDefault="00D35D06" w:rsidP="005A0D84">
            <w:r>
              <w:t>100</w:t>
            </w:r>
          </w:p>
        </w:tc>
        <w:tc>
          <w:tcPr>
            <w:tcW w:w="657" w:type="dxa"/>
          </w:tcPr>
          <w:p w:rsidR="00D35D06" w:rsidRDefault="00D35D06" w:rsidP="005A0D84">
            <w:r>
              <w:t>100</w:t>
            </w:r>
          </w:p>
        </w:tc>
      </w:tr>
      <w:tr w:rsidR="00D35D06" w:rsidTr="00C33F58">
        <w:trPr>
          <w:jc w:val="center"/>
        </w:trPr>
        <w:tc>
          <w:tcPr>
            <w:tcW w:w="1824" w:type="dxa"/>
          </w:tcPr>
          <w:p w:rsidR="00D35D06" w:rsidRDefault="00D35D06" w:rsidP="005A0D84">
            <w:r>
              <w:t>Overall production cost</w:t>
            </w:r>
          </w:p>
        </w:tc>
        <w:tc>
          <w:tcPr>
            <w:tcW w:w="694" w:type="dxa"/>
          </w:tcPr>
          <w:p w:rsidR="00D35D06" w:rsidRDefault="00D35D06" w:rsidP="005A0D84">
            <w:r>
              <w:t>114</w:t>
            </w:r>
          </w:p>
        </w:tc>
        <w:tc>
          <w:tcPr>
            <w:tcW w:w="708" w:type="dxa"/>
          </w:tcPr>
          <w:p w:rsidR="00D35D06" w:rsidRDefault="00D35D06" w:rsidP="005A0D84">
            <w:r>
              <w:t>109</w:t>
            </w:r>
          </w:p>
        </w:tc>
        <w:tc>
          <w:tcPr>
            <w:tcW w:w="619" w:type="dxa"/>
          </w:tcPr>
          <w:p w:rsidR="00D35D06" w:rsidRDefault="00D35D06" w:rsidP="005A0D84">
            <w:r>
              <w:t>107</w:t>
            </w:r>
          </w:p>
        </w:tc>
        <w:tc>
          <w:tcPr>
            <w:tcW w:w="657" w:type="dxa"/>
          </w:tcPr>
          <w:p w:rsidR="00D35D06" w:rsidRDefault="00D35D06" w:rsidP="005A0D84">
            <w:r>
              <w:t>100</w:t>
            </w:r>
          </w:p>
        </w:tc>
      </w:tr>
    </w:tbl>
    <w:p w:rsidR="00D35D06" w:rsidRDefault="00D35D06" w:rsidP="005A0D84">
      <w:pPr>
        <w:ind w:left="284" w:hanging="284"/>
      </w:pPr>
    </w:p>
    <w:p w:rsidR="00D35D06" w:rsidRDefault="00D35D06" w:rsidP="005A0D84">
      <w:pPr>
        <w:ind w:left="284" w:hanging="284"/>
      </w:pPr>
    </w:p>
    <w:p w:rsidR="008D5AEF" w:rsidRDefault="008D5AEF" w:rsidP="005A0D84">
      <w:r>
        <w:t>Table below compares various solar desalination options and their current state of development.</w:t>
      </w:r>
    </w:p>
    <w:p w:rsidR="005A0D84" w:rsidRDefault="005A0D84" w:rsidP="005A0D84"/>
    <w:tbl>
      <w:tblPr>
        <w:tblStyle w:val="TableGrid"/>
        <w:tblW w:w="0" w:type="auto"/>
        <w:jc w:val="center"/>
        <w:tblInd w:w="108" w:type="dxa"/>
        <w:tblLayout w:type="fixed"/>
        <w:tblLook w:val="04A0" w:firstRow="1" w:lastRow="0" w:firstColumn="1" w:lastColumn="0" w:noHBand="0" w:noVBand="1"/>
      </w:tblPr>
      <w:tblGrid>
        <w:gridCol w:w="2127"/>
        <w:gridCol w:w="1842"/>
        <w:gridCol w:w="1985"/>
        <w:gridCol w:w="1559"/>
        <w:gridCol w:w="1425"/>
      </w:tblGrid>
      <w:tr w:rsidR="005A0D84" w:rsidRPr="005A0D84" w:rsidTr="00C33F58">
        <w:trPr>
          <w:jc w:val="center"/>
        </w:trPr>
        <w:tc>
          <w:tcPr>
            <w:tcW w:w="2127" w:type="dxa"/>
            <w:shd w:val="clear" w:color="auto" w:fill="C4BC96" w:themeFill="background2" w:themeFillShade="BF"/>
          </w:tcPr>
          <w:p w:rsidR="005A0D84" w:rsidRPr="005A0D84" w:rsidRDefault="005A0D84" w:rsidP="005A0D84">
            <w:pPr>
              <w:spacing w:line="276" w:lineRule="auto"/>
              <w:jc w:val="left"/>
            </w:pPr>
            <w:r w:rsidRPr="005A0D84">
              <w:t>Technology options</w:t>
            </w:r>
          </w:p>
        </w:tc>
        <w:tc>
          <w:tcPr>
            <w:tcW w:w="1842" w:type="dxa"/>
            <w:tcBorders>
              <w:right w:val="single" w:sz="8" w:space="0" w:color="000000" w:themeColor="text1"/>
            </w:tcBorders>
            <w:shd w:val="clear" w:color="auto" w:fill="C4BC96" w:themeFill="background2" w:themeFillShade="BF"/>
          </w:tcPr>
          <w:p w:rsidR="005A0D84" w:rsidRPr="005A0D84" w:rsidRDefault="005A0D84" w:rsidP="005A0D84">
            <w:pPr>
              <w:spacing w:line="276" w:lineRule="auto"/>
              <w:jc w:val="left"/>
            </w:pPr>
            <w:r>
              <w:t xml:space="preserve">Technical Capacity </w:t>
            </w:r>
            <w:r w:rsidRPr="005A0D84">
              <w:t xml:space="preserve"> </w:t>
            </w:r>
          </w:p>
        </w:tc>
        <w:tc>
          <w:tcPr>
            <w:tcW w:w="1985" w:type="dxa"/>
            <w:tcBorders>
              <w:right w:val="single" w:sz="8" w:space="0" w:color="000000" w:themeColor="text1"/>
            </w:tcBorders>
            <w:shd w:val="clear" w:color="auto" w:fill="C4BC96" w:themeFill="background2" w:themeFillShade="BF"/>
          </w:tcPr>
          <w:p w:rsidR="005A0D84" w:rsidRPr="005A0D84" w:rsidRDefault="005A0D84" w:rsidP="005A0D84">
            <w:pPr>
              <w:spacing w:line="276" w:lineRule="auto"/>
              <w:jc w:val="left"/>
            </w:pPr>
            <w:r>
              <w:t>Energy demand (kWh</w:t>
            </w:r>
            <w:r w:rsidRPr="005A0D84">
              <w:t>/m</w:t>
            </w:r>
            <w:r w:rsidRPr="005A0D84">
              <w:rPr>
                <w:vertAlign w:val="superscript"/>
              </w:rPr>
              <w:t>3</w:t>
            </w:r>
            <w:r w:rsidRPr="005A0D84">
              <w:t>)</w:t>
            </w:r>
          </w:p>
        </w:tc>
        <w:tc>
          <w:tcPr>
            <w:tcW w:w="1559" w:type="dxa"/>
            <w:tcBorders>
              <w:left w:val="single" w:sz="8" w:space="0" w:color="000000" w:themeColor="text1"/>
            </w:tcBorders>
            <w:shd w:val="clear" w:color="auto" w:fill="C4BC96" w:themeFill="background2" w:themeFillShade="BF"/>
          </w:tcPr>
          <w:p w:rsidR="005A0D84" w:rsidRDefault="005A0D84" w:rsidP="005A0D84">
            <w:pPr>
              <w:spacing w:line="276" w:lineRule="auto"/>
              <w:jc w:val="left"/>
            </w:pPr>
            <w:r>
              <w:t>Water Cost</w:t>
            </w:r>
          </w:p>
          <w:p w:rsidR="005A0D84" w:rsidRPr="005A0D84" w:rsidRDefault="005A0D84" w:rsidP="005A0D84">
            <w:pPr>
              <w:spacing w:line="276" w:lineRule="auto"/>
              <w:jc w:val="left"/>
            </w:pPr>
            <w:r>
              <w:t>($/m</w:t>
            </w:r>
            <w:r>
              <w:rPr>
                <w:vertAlign w:val="superscript"/>
              </w:rPr>
              <w:t>3</w:t>
            </w:r>
            <w:r>
              <w:t>)</w:t>
            </w:r>
          </w:p>
        </w:tc>
        <w:tc>
          <w:tcPr>
            <w:tcW w:w="1425" w:type="dxa"/>
            <w:tcBorders>
              <w:left w:val="single" w:sz="8" w:space="0" w:color="000000" w:themeColor="text1"/>
            </w:tcBorders>
            <w:shd w:val="clear" w:color="auto" w:fill="C4BC96" w:themeFill="background2" w:themeFillShade="BF"/>
          </w:tcPr>
          <w:p w:rsidR="005A0D84" w:rsidRPr="005A0D84" w:rsidRDefault="006C274D" w:rsidP="005A0D84">
            <w:pPr>
              <w:spacing w:line="276" w:lineRule="auto"/>
              <w:jc w:val="left"/>
            </w:pPr>
            <w:r>
              <w:t>Innovation</w:t>
            </w:r>
            <w:r w:rsidR="005A0D84">
              <w:t xml:space="preserve"> Stage</w:t>
            </w:r>
          </w:p>
        </w:tc>
      </w:tr>
      <w:tr w:rsidR="005A0D84" w:rsidRPr="005A0D84" w:rsidTr="00C33F58">
        <w:trPr>
          <w:jc w:val="center"/>
        </w:trPr>
        <w:tc>
          <w:tcPr>
            <w:tcW w:w="2127" w:type="dxa"/>
          </w:tcPr>
          <w:p w:rsidR="005A0D84" w:rsidRPr="005A0D84" w:rsidRDefault="005A0D84" w:rsidP="005A0D84">
            <w:pPr>
              <w:spacing w:line="276" w:lineRule="auto"/>
              <w:jc w:val="left"/>
            </w:pPr>
            <w:r w:rsidRPr="005A0D84">
              <w:t>Solar stills</w:t>
            </w:r>
          </w:p>
        </w:tc>
        <w:tc>
          <w:tcPr>
            <w:tcW w:w="1842" w:type="dxa"/>
            <w:tcBorders>
              <w:right w:val="single" w:sz="8" w:space="0" w:color="000000" w:themeColor="text1"/>
            </w:tcBorders>
          </w:tcPr>
          <w:p w:rsidR="005A0D84" w:rsidRPr="005A0D84" w:rsidRDefault="005A0D84" w:rsidP="005A0D84">
            <w:pPr>
              <w:spacing w:line="276" w:lineRule="auto"/>
              <w:jc w:val="left"/>
            </w:pPr>
            <w:r w:rsidRPr="005A0D84">
              <w:t>&lt; 0.1m3/d</w:t>
            </w:r>
            <w:r w:rsidR="006B3DB2">
              <w:t>ay</w:t>
            </w:r>
          </w:p>
        </w:tc>
        <w:tc>
          <w:tcPr>
            <w:tcW w:w="1985" w:type="dxa"/>
            <w:tcBorders>
              <w:right w:val="single" w:sz="8" w:space="0" w:color="000000" w:themeColor="text1"/>
            </w:tcBorders>
          </w:tcPr>
          <w:p w:rsidR="005A0D84" w:rsidRPr="005A0D84" w:rsidRDefault="005A0D84" w:rsidP="005A0D84">
            <w:pPr>
              <w:spacing w:line="276" w:lineRule="auto"/>
              <w:jc w:val="left"/>
            </w:pPr>
            <w:r w:rsidRPr="005A0D84">
              <w:t>Solar passive</w:t>
            </w:r>
          </w:p>
        </w:tc>
        <w:tc>
          <w:tcPr>
            <w:tcW w:w="1559" w:type="dxa"/>
            <w:tcBorders>
              <w:left w:val="single" w:sz="8" w:space="0" w:color="auto"/>
            </w:tcBorders>
          </w:tcPr>
          <w:p w:rsidR="005A0D84" w:rsidRPr="005A0D84" w:rsidRDefault="005A0D84" w:rsidP="005A0D84">
            <w:pPr>
              <w:spacing w:line="276" w:lineRule="auto"/>
              <w:jc w:val="left"/>
            </w:pPr>
            <w:r w:rsidRPr="005A0D84">
              <w:t>1.3</w:t>
            </w:r>
            <w:r>
              <w:t xml:space="preserve"> </w:t>
            </w:r>
            <w:r w:rsidRPr="005A0D84">
              <w:t>–</w:t>
            </w:r>
            <w:r>
              <w:t xml:space="preserve"> </w:t>
            </w:r>
            <w:r w:rsidRPr="005A0D84">
              <w:t>6.5</w:t>
            </w:r>
          </w:p>
        </w:tc>
        <w:tc>
          <w:tcPr>
            <w:tcW w:w="1425" w:type="dxa"/>
            <w:tcBorders>
              <w:left w:val="single" w:sz="8" w:space="0" w:color="auto"/>
            </w:tcBorders>
          </w:tcPr>
          <w:p w:rsidR="005A0D84" w:rsidRPr="005A0D84" w:rsidRDefault="005A0D84" w:rsidP="005A0D84">
            <w:pPr>
              <w:spacing w:line="276" w:lineRule="auto"/>
              <w:jc w:val="left"/>
            </w:pPr>
            <w:r w:rsidRPr="005A0D84">
              <w:t>Application</w:t>
            </w:r>
          </w:p>
        </w:tc>
      </w:tr>
      <w:tr w:rsidR="005A0D84" w:rsidRPr="005A0D84" w:rsidTr="00C33F58">
        <w:trPr>
          <w:jc w:val="center"/>
        </w:trPr>
        <w:tc>
          <w:tcPr>
            <w:tcW w:w="2127" w:type="dxa"/>
          </w:tcPr>
          <w:p w:rsidR="005A0D84" w:rsidRPr="005A0D84" w:rsidRDefault="005A0D84" w:rsidP="005A0D84">
            <w:pPr>
              <w:spacing w:line="276" w:lineRule="auto"/>
              <w:jc w:val="left"/>
            </w:pPr>
            <w:r w:rsidRPr="005A0D84">
              <w:t>Solar-Multiple Effect</w:t>
            </w:r>
          </w:p>
          <w:p w:rsidR="005A0D84" w:rsidRPr="005A0D84" w:rsidRDefault="005A0D84" w:rsidP="005A0D84">
            <w:pPr>
              <w:spacing w:line="276" w:lineRule="auto"/>
              <w:jc w:val="left"/>
            </w:pPr>
            <w:r>
              <w:t>Humidifi</w:t>
            </w:r>
            <w:r w:rsidRPr="005A0D84">
              <w:t>cation</w:t>
            </w:r>
          </w:p>
        </w:tc>
        <w:tc>
          <w:tcPr>
            <w:tcW w:w="1842" w:type="dxa"/>
            <w:tcBorders>
              <w:right w:val="single" w:sz="8" w:space="0" w:color="000000" w:themeColor="text1"/>
            </w:tcBorders>
          </w:tcPr>
          <w:p w:rsidR="005A0D84" w:rsidRPr="005A0D84" w:rsidRDefault="005A0D84" w:rsidP="005A0D84">
            <w:pPr>
              <w:spacing w:line="276" w:lineRule="auto"/>
              <w:jc w:val="left"/>
            </w:pPr>
            <w:r w:rsidRPr="005A0D84">
              <w:t>1–100 m3/d</w:t>
            </w:r>
            <w:r w:rsidR="006B3DB2">
              <w:t>ay</w:t>
            </w:r>
          </w:p>
        </w:tc>
        <w:tc>
          <w:tcPr>
            <w:tcW w:w="1985" w:type="dxa"/>
            <w:tcBorders>
              <w:right w:val="single" w:sz="8" w:space="0" w:color="000000" w:themeColor="text1"/>
            </w:tcBorders>
          </w:tcPr>
          <w:p w:rsidR="005A0D84" w:rsidRPr="005A0D84" w:rsidRDefault="005A0D84" w:rsidP="005A0D84">
            <w:pPr>
              <w:spacing w:line="276" w:lineRule="auto"/>
              <w:jc w:val="left"/>
            </w:pPr>
            <w:r w:rsidRPr="005A0D84">
              <w:t>thermal: 100</w:t>
            </w:r>
          </w:p>
          <w:p w:rsidR="005A0D84" w:rsidRPr="005A0D84" w:rsidRDefault="005A0D84" w:rsidP="005A0D84">
            <w:pPr>
              <w:spacing w:line="276" w:lineRule="auto"/>
              <w:jc w:val="left"/>
            </w:pPr>
            <w:r w:rsidRPr="005A0D84">
              <w:t>electrical: 1.5</w:t>
            </w:r>
          </w:p>
        </w:tc>
        <w:tc>
          <w:tcPr>
            <w:tcW w:w="1559" w:type="dxa"/>
            <w:tcBorders>
              <w:left w:val="single" w:sz="8" w:space="0" w:color="auto"/>
            </w:tcBorders>
          </w:tcPr>
          <w:p w:rsidR="005A0D84" w:rsidRPr="005A0D84" w:rsidRDefault="005A0D84" w:rsidP="005A0D84">
            <w:pPr>
              <w:spacing w:line="276" w:lineRule="auto"/>
              <w:jc w:val="left"/>
            </w:pPr>
            <w:r w:rsidRPr="005A0D84">
              <w:t>2.6</w:t>
            </w:r>
            <w:r>
              <w:t xml:space="preserve"> </w:t>
            </w:r>
            <w:r w:rsidRPr="005A0D84">
              <w:t>–</w:t>
            </w:r>
            <w:r>
              <w:t xml:space="preserve"> </w:t>
            </w:r>
            <w:r w:rsidRPr="005A0D84">
              <w:t>6.5</w:t>
            </w:r>
          </w:p>
        </w:tc>
        <w:tc>
          <w:tcPr>
            <w:tcW w:w="1425" w:type="dxa"/>
            <w:tcBorders>
              <w:left w:val="single" w:sz="8" w:space="0" w:color="auto"/>
            </w:tcBorders>
          </w:tcPr>
          <w:p w:rsidR="005A0D84" w:rsidRPr="005A0D84" w:rsidRDefault="005A0D84" w:rsidP="005A0D84">
            <w:pPr>
              <w:spacing w:line="276" w:lineRule="auto"/>
              <w:jc w:val="left"/>
            </w:pPr>
            <w:r w:rsidRPr="005A0D84">
              <w:t>R&amp;D</w:t>
            </w:r>
          </w:p>
          <w:p w:rsidR="005A0D84" w:rsidRPr="005A0D84" w:rsidRDefault="005A0D84" w:rsidP="005A0D84">
            <w:pPr>
              <w:spacing w:line="276" w:lineRule="auto"/>
              <w:jc w:val="left"/>
            </w:pPr>
            <w:r w:rsidRPr="005A0D84">
              <w:t>Application</w:t>
            </w:r>
          </w:p>
        </w:tc>
      </w:tr>
      <w:tr w:rsidR="005A0D84" w:rsidRPr="005A0D84" w:rsidTr="00C33F58">
        <w:trPr>
          <w:jc w:val="center"/>
        </w:trPr>
        <w:tc>
          <w:tcPr>
            <w:tcW w:w="2127" w:type="dxa"/>
          </w:tcPr>
          <w:p w:rsidR="005A0D84" w:rsidRPr="005A0D84" w:rsidRDefault="005A0D84" w:rsidP="005A0D84">
            <w:pPr>
              <w:spacing w:line="276" w:lineRule="auto"/>
            </w:pPr>
            <w:r>
              <w:t>Solar-</w:t>
            </w:r>
            <w:r w:rsidRPr="005A0D84">
              <w:t>Membrane</w:t>
            </w:r>
          </w:p>
          <w:p w:rsidR="005A0D84" w:rsidRPr="005A0D84" w:rsidRDefault="005A0D84" w:rsidP="005A0D84">
            <w:pPr>
              <w:spacing w:line="276" w:lineRule="auto"/>
            </w:pPr>
            <w:r w:rsidRPr="005A0D84">
              <w:t>Distillation</w:t>
            </w:r>
          </w:p>
        </w:tc>
        <w:tc>
          <w:tcPr>
            <w:tcW w:w="1842" w:type="dxa"/>
            <w:tcBorders>
              <w:right w:val="single" w:sz="8" w:space="0" w:color="000000" w:themeColor="text1"/>
            </w:tcBorders>
          </w:tcPr>
          <w:p w:rsidR="005A0D84" w:rsidRPr="005A0D84" w:rsidRDefault="005A0D84" w:rsidP="005A0D84">
            <w:pPr>
              <w:spacing w:line="276" w:lineRule="auto"/>
            </w:pPr>
            <w:r w:rsidRPr="005A0D84">
              <w:t>0.15–10 m3</w:t>
            </w:r>
            <w:r w:rsidR="006B3DB2">
              <w:t>/day</w:t>
            </w:r>
          </w:p>
        </w:tc>
        <w:tc>
          <w:tcPr>
            <w:tcW w:w="1985" w:type="dxa"/>
            <w:tcBorders>
              <w:right w:val="single" w:sz="8" w:space="0" w:color="000000" w:themeColor="text1"/>
            </w:tcBorders>
          </w:tcPr>
          <w:p w:rsidR="005A0D84" w:rsidRPr="005A0D84" w:rsidRDefault="005A0D84" w:rsidP="005A0D84">
            <w:pPr>
              <w:spacing w:line="276" w:lineRule="auto"/>
              <w:jc w:val="left"/>
            </w:pPr>
            <w:r w:rsidRPr="005A0D84">
              <w:t>thermal:</w:t>
            </w:r>
            <w:r>
              <w:t xml:space="preserve"> </w:t>
            </w:r>
            <w:r w:rsidRPr="005A0D84">
              <w:t>150–200</w:t>
            </w:r>
          </w:p>
        </w:tc>
        <w:tc>
          <w:tcPr>
            <w:tcW w:w="1559" w:type="dxa"/>
            <w:tcBorders>
              <w:left w:val="single" w:sz="8" w:space="0" w:color="auto"/>
            </w:tcBorders>
          </w:tcPr>
          <w:p w:rsidR="005A0D84" w:rsidRPr="005A0D84" w:rsidRDefault="005A0D84" w:rsidP="005A0D84">
            <w:pPr>
              <w:spacing w:line="276" w:lineRule="auto"/>
            </w:pPr>
            <w:r w:rsidRPr="005A0D84">
              <w:t>10.4–19.5</w:t>
            </w:r>
          </w:p>
        </w:tc>
        <w:tc>
          <w:tcPr>
            <w:tcW w:w="1425" w:type="dxa"/>
            <w:tcBorders>
              <w:left w:val="single" w:sz="8" w:space="0" w:color="auto"/>
            </w:tcBorders>
          </w:tcPr>
          <w:p w:rsidR="005A0D84" w:rsidRPr="005A0D84" w:rsidRDefault="005A0D84" w:rsidP="005A0D84">
            <w:pPr>
              <w:spacing w:line="276" w:lineRule="auto"/>
            </w:pPr>
            <w:r w:rsidRPr="005A0D84">
              <w:t>R&amp;D</w:t>
            </w:r>
          </w:p>
        </w:tc>
      </w:tr>
      <w:tr w:rsidR="005A0D84" w:rsidRPr="005A0D84" w:rsidTr="00C33F58">
        <w:trPr>
          <w:jc w:val="center"/>
        </w:trPr>
        <w:tc>
          <w:tcPr>
            <w:tcW w:w="2127" w:type="dxa"/>
          </w:tcPr>
          <w:p w:rsidR="005A0D84" w:rsidRPr="005A0D84" w:rsidRDefault="005A0D84" w:rsidP="005A0D84">
            <w:r w:rsidRPr="005A0D84">
              <w:t>Solar/CSP-Multiple</w:t>
            </w:r>
          </w:p>
          <w:p w:rsidR="005A0D84" w:rsidRPr="005A0D84" w:rsidRDefault="005A0D84" w:rsidP="005A0D84">
            <w:r w:rsidRPr="005A0D84">
              <w:t>Effect Distillation</w:t>
            </w:r>
          </w:p>
        </w:tc>
        <w:tc>
          <w:tcPr>
            <w:tcW w:w="1842" w:type="dxa"/>
            <w:tcBorders>
              <w:right w:val="single" w:sz="8" w:space="0" w:color="000000" w:themeColor="text1"/>
            </w:tcBorders>
          </w:tcPr>
          <w:p w:rsidR="005A0D84" w:rsidRPr="005A0D84" w:rsidRDefault="005A0D84" w:rsidP="005A0D84">
            <w:r w:rsidRPr="005A0D84">
              <w:t>&gt; 5,000 m3/d</w:t>
            </w:r>
            <w:r w:rsidR="006B3DB2">
              <w:t>ay</w:t>
            </w:r>
          </w:p>
        </w:tc>
        <w:tc>
          <w:tcPr>
            <w:tcW w:w="1985" w:type="dxa"/>
            <w:tcBorders>
              <w:right w:val="single" w:sz="8" w:space="0" w:color="000000" w:themeColor="text1"/>
            </w:tcBorders>
          </w:tcPr>
          <w:p w:rsidR="005A0D84" w:rsidRPr="005A0D84" w:rsidRDefault="005A0D84" w:rsidP="005A0D84">
            <w:pPr>
              <w:jc w:val="left"/>
            </w:pPr>
            <w:r w:rsidRPr="005A0D84">
              <w:t>thermal: 60–70</w:t>
            </w:r>
          </w:p>
          <w:p w:rsidR="005A0D84" w:rsidRPr="005A0D84" w:rsidRDefault="005A0D84" w:rsidP="005A0D84">
            <w:pPr>
              <w:jc w:val="left"/>
            </w:pPr>
            <w:r w:rsidRPr="005A0D84">
              <w:t>electrical: 1.5–2</w:t>
            </w:r>
          </w:p>
        </w:tc>
        <w:tc>
          <w:tcPr>
            <w:tcW w:w="1559" w:type="dxa"/>
            <w:tcBorders>
              <w:left w:val="single" w:sz="8" w:space="0" w:color="auto"/>
            </w:tcBorders>
          </w:tcPr>
          <w:p w:rsidR="005A0D84" w:rsidRPr="005A0D84" w:rsidRDefault="005A0D84" w:rsidP="005A0D84">
            <w:r w:rsidRPr="005A0D84">
              <w:t>2.3–2.9</w:t>
            </w:r>
          </w:p>
          <w:p w:rsidR="005A0D84" w:rsidRPr="005A0D84" w:rsidRDefault="005A0D84" w:rsidP="005A0D84">
            <w:r w:rsidRPr="005A0D84">
              <w:t>(possible cost)</w:t>
            </w:r>
          </w:p>
        </w:tc>
        <w:tc>
          <w:tcPr>
            <w:tcW w:w="1425" w:type="dxa"/>
            <w:tcBorders>
              <w:left w:val="single" w:sz="8" w:space="0" w:color="auto"/>
            </w:tcBorders>
          </w:tcPr>
          <w:p w:rsidR="005A0D84" w:rsidRPr="005A0D84" w:rsidRDefault="005A0D84" w:rsidP="005A0D84">
            <w:r w:rsidRPr="005A0D84">
              <w:t>R&amp;D</w:t>
            </w:r>
          </w:p>
        </w:tc>
      </w:tr>
      <w:tr w:rsidR="005A0D84" w:rsidRPr="005A0D84" w:rsidTr="00C33F58">
        <w:trPr>
          <w:jc w:val="center"/>
        </w:trPr>
        <w:tc>
          <w:tcPr>
            <w:tcW w:w="2127" w:type="dxa"/>
          </w:tcPr>
          <w:p w:rsidR="005A0D84" w:rsidRPr="005A0D84" w:rsidRDefault="005A0D84" w:rsidP="005A0D84">
            <w:pPr>
              <w:spacing w:line="276" w:lineRule="auto"/>
            </w:pPr>
            <w:r w:rsidRPr="005A0D84">
              <w:t>Photovoltaic-</w:t>
            </w:r>
          </w:p>
          <w:p w:rsidR="005A0D84" w:rsidRPr="005A0D84" w:rsidRDefault="005A0D84" w:rsidP="005A0D84">
            <w:pPr>
              <w:spacing w:line="276" w:lineRule="auto"/>
            </w:pPr>
            <w:r w:rsidRPr="005A0D84">
              <w:t>Reverse Osmosis</w:t>
            </w:r>
          </w:p>
        </w:tc>
        <w:tc>
          <w:tcPr>
            <w:tcW w:w="1842" w:type="dxa"/>
            <w:tcBorders>
              <w:right w:val="single" w:sz="8" w:space="0" w:color="000000" w:themeColor="text1"/>
            </w:tcBorders>
          </w:tcPr>
          <w:p w:rsidR="005A0D84" w:rsidRPr="005A0D84" w:rsidRDefault="005A0D84" w:rsidP="006C274D">
            <w:pPr>
              <w:spacing w:line="276" w:lineRule="auto"/>
              <w:jc w:val="left"/>
            </w:pPr>
            <w:r w:rsidRPr="005A0D84">
              <w:t>&lt; 100 m3/d</w:t>
            </w:r>
            <w:r w:rsidR="006B3DB2">
              <w:t>ay</w:t>
            </w:r>
          </w:p>
        </w:tc>
        <w:tc>
          <w:tcPr>
            <w:tcW w:w="1985" w:type="dxa"/>
            <w:tcBorders>
              <w:right w:val="single" w:sz="8" w:space="0" w:color="000000" w:themeColor="text1"/>
            </w:tcBorders>
          </w:tcPr>
          <w:p w:rsidR="006C274D" w:rsidRDefault="005A0D84" w:rsidP="006C274D">
            <w:pPr>
              <w:spacing w:line="276" w:lineRule="auto"/>
              <w:jc w:val="left"/>
            </w:pPr>
            <w:r w:rsidRPr="005A0D84">
              <w:t xml:space="preserve">electrical: </w:t>
            </w:r>
          </w:p>
          <w:p w:rsidR="005A0D84" w:rsidRPr="005A0D84" w:rsidRDefault="005A0D84" w:rsidP="006C274D">
            <w:pPr>
              <w:spacing w:line="276" w:lineRule="auto"/>
              <w:jc w:val="left"/>
            </w:pPr>
            <w:r w:rsidRPr="005A0D84">
              <w:t>BW:</w:t>
            </w:r>
            <w:r w:rsidR="006C274D">
              <w:t xml:space="preserve"> </w:t>
            </w:r>
            <w:r w:rsidRPr="005A0D84">
              <w:t>0.5–1.5</w:t>
            </w:r>
          </w:p>
          <w:p w:rsidR="005A0D84" w:rsidRPr="005A0D84" w:rsidRDefault="005A0D84" w:rsidP="006C274D">
            <w:pPr>
              <w:spacing w:line="276" w:lineRule="auto"/>
              <w:jc w:val="left"/>
            </w:pPr>
            <w:r w:rsidRPr="005A0D84">
              <w:t>SW: 4-5</w:t>
            </w:r>
          </w:p>
        </w:tc>
        <w:tc>
          <w:tcPr>
            <w:tcW w:w="1559" w:type="dxa"/>
            <w:tcBorders>
              <w:left w:val="single" w:sz="8" w:space="0" w:color="auto"/>
            </w:tcBorders>
          </w:tcPr>
          <w:p w:rsidR="005A0D84" w:rsidRPr="005A0D84" w:rsidRDefault="005A0D84" w:rsidP="006C274D">
            <w:pPr>
              <w:spacing w:line="276" w:lineRule="auto"/>
              <w:jc w:val="left"/>
            </w:pPr>
            <w:r w:rsidRPr="005A0D84">
              <w:t>BW: 6.5–9.1</w:t>
            </w:r>
          </w:p>
          <w:p w:rsidR="005A0D84" w:rsidRPr="005A0D84" w:rsidRDefault="005A0D84" w:rsidP="006C274D">
            <w:pPr>
              <w:spacing w:line="276" w:lineRule="auto"/>
              <w:jc w:val="left"/>
            </w:pPr>
            <w:r w:rsidRPr="005A0D84">
              <w:t>SW: 11.7–15.6</w:t>
            </w:r>
          </w:p>
        </w:tc>
        <w:tc>
          <w:tcPr>
            <w:tcW w:w="1425" w:type="dxa"/>
            <w:tcBorders>
              <w:left w:val="single" w:sz="8" w:space="0" w:color="auto"/>
            </w:tcBorders>
          </w:tcPr>
          <w:p w:rsidR="005A0D84" w:rsidRPr="005A0D84" w:rsidRDefault="005A0D84" w:rsidP="006C274D">
            <w:pPr>
              <w:spacing w:line="276" w:lineRule="auto"/>
              <w:jc w:val="left"/>
            </w:pPr>
            <w:r w:rsidRPr="005A0D84">
              <w:t>R&amp;D</w:t>
            </w:r>
          </w:p>
          <w:p w:rsidR="005A0D84" w:rsidRPr="005A0D84" w:rsidRDefault="005A0D84" w:rsidP="006C274D">
            <w:pPr>
              <w:spacing w:line="276" w:lineRule="auto"/>
              <w:jc w:val="left"/>
            </w:pPr>
            <w:r w:rsidRPr="005A0D84">
              <w:t>Application</w:t>
            </w:r>
          </w:p>
        </w:tc>
      </w:tr>
      <w:tr w:rsidR="005A0D84" w:rsidRPr="005A0D84" w:rsidTr="00C33F58">
        <w:trPr>
          <w:jc w:val="center"/>
        </w:trPr>
        <w:tc>
          <w:tcPr>
            <w:tcW w:w="2127" w:type="dxa"/>
          </w:tcPr>
          <w:p w:rsidR="005A0D84" w:rsidRPr="005A0D84" w:rsidRDefault="005A0D84" w:rsidP="005A0D84">
            <w:r w:rsidRPr="005A0D84">
              <w:t>Photovoltaic-</w:t>
            </w:r>
          </w:p>
          <w:p w:rsidR="005A0D84" w:rsidRPr="005A0D84" w:rsidRDefault="005A0D84" w:rsidP="005A0D84">
            <w:proofErr w:type="spellStart"/>
            <w:r w:rsidRPr="005A0D84">
              <w:t>Electrodialysis</w:t>
            </w:r>
            <w:proofErr w:type="spellEnd"/>
          </w:p>
          <w:p w:rsidR="005A0D84" w:rsidRPr="005A0D84" w:rsidRDefault="005A0D84" w:rsidP="005A0D84">
            <w:r w:rsidRPr="005A0D84">
              <w:t>Reversed</w:t>
            </w:r>
          </w:p>
        </w:tc>
        <w:tc>
          <w:tcPr>
            <w:tcW w:w="1842" w:type="dxa"/>
            <w:tcBorders>
              <w:right w:val="single" w:sz="8" w:space="0" w:color="000000" w:themeColor="text1"/>
            </w:tcBorders>
          </w:tcPr>
          <w:p w:rsidR="005A0D84" w:rsidRPr="005A0D84" w:rsidRDefault="005A0D84" w:rsidP="005A0D84">
            <w:r w:rsidRPr="005A0D84">
              <w:t>&lt; 100 m3/d</w:t>
            </w:r>
            <w:r w:rsidR="006B3DB2">
              <w:t>ay</w:t>
            </w:r>
          </w:p>
        </w:tc>
        <w:tc>
          <w:tcPr>
            <w:tcW w:w="1985" w:type="dxa"/>
            <w:tcBorders>
              <w:right w:val="single" w:sz="8" w:space="0" w:color="000000" w:themeColor="text1"/>
            </w:tcBorders>
          </w:tcPr>
          <w:p w:rsidR="005A0D84" w:rsidRPr="005A0D84" w:rsidRDefault="005A0D84" w:rsidP="005A0D84">
            <w:r w:rsidRPr="005A0D84">
              <w:t>electrical: only</w:t>
            </w:r>
          </w:p>
          <w:p w:rsidR="005A0D84" w:rsidRPr="005A0D84" w:rsidRDefault="005A0D84" w:rsidP="005A0D84">
            <w:r w:rsidRPr="005A0D84">
              <w:t>BW:3–4</w:t>
            </w:r>
          </w:p>
        </w:tc>
        <w:tc>
          <w:tcPr>
            <w:tcW w:w="1559" w:type="dxa"/>
            <w:tcBorders>
              <w:left w:val="single" w:sz="8" w:space="0" w:color="auto"/>
            </w:tcBorders>
          </w:tcPr>
          <w:p w:rsidR="005A0D84" w:rsidRPr="005A0D84" w:rsidRDefault="005A0D84" w:rsidP="005A0D84">
            <w:r w:rsidRPr="005A0D84">
              <w:t>BW:10.4–11.7</w:t>
            </w:r>
          </w:p>
        </w:tc>
        <w:tc>
          <w:tcPr>
            <w:tcW w:w="1425" w:type="dxa"/>
            <w:tcBorders>
              <w:left w:val="single" w:sz="8" w:space="0" w:color="auto"/>
            </w:tcBorders>
          </w:tcPr>
          <w:p w:rsidR="005A0D84" w:rsidRPr="005A0D84" w:rsidRDefault="005A0D84" w:rsidP="005A0D84">
            <w:r w:rsidRPr="005A0D84">
              <w:t>R&amp;D</w:t>
            </w:r>
          </w:p>
        </w:tc>
      </w:tr>
    </w:tbl>
    <w:p w:rsidR="005A0D84" w:rsidRDefault="006C274D" w:rsidP="005A0D84">
      <w:r>
        <w:t>BW: Blackish water</w:t>
      </w:r>
    </w:p>
    <w:p w:rsidR="006C274D" w:rsidRDefault="006C274D" w:rsidP="005A0D84">
      <w:r>
        <w:t>SW: Salt water</w:t>
      </w:r>
    </w:p>
    <w:p w:rsidR="008D5AEF" w:rsidRDefault="008D5AEF" w:rsidP="00CA4554">
      <w:pPr>
        <w:ind w:left="284" w:hanging="284"/>
        <w:jc w:val="left"/>
      </w:pPr>
    </w:p>
    <w:p w:rsidR="004F2E47" w:rsidRDefault="004F2E47" w:rsidP="00AA7B9F">
      <w:pPr>
        <w:pStyle w:val="Heading1"/>
      </w:pPr>
      <w:r>
        <w:t xml:space="preserve">Current status of </w:t>
      </w:r>
      <w:r w:rsidR="006B3DB2">
        <w:t xml:space="preserve">diffusion of the </w:t>
      </w:r>
      <w:r>
        <w:t>technology in Namibia</w:t>
      </w:r>
      <w:r w:rsidR="006B3DB2">
        <w:t xml:space="preserve"> and potential private sector involvement </w:t>
      </w:r>
    </w:p>
    <w:p w:rsidR="004F2E47" w:rsidRDefault="004F2E47" w:rsidP="004F2E47"/>
    <w:p w:rsidR="006B3DB2" w:rsidRDefault="006B3DB2" w:rsidP="006B3DB2">
      <w:pPr>
        <w:rPr>
          <w:lang w:val="en"/>
        </w:rPr>
      </w:pPr>
      <w:r w:rsidRPr="006B3DB2">
        <w:t xml:space="preserve">In 2007, </w:t>
      </w:r>
      <w:r w:rsidRPr="006B3DB2">
        <w:rPr>
          <w:bCs/>
          <w:lang w:val="en"/>
        </w:rPr>
        <w:t xml:space="preserve">NAMIBIA'S water utility, </w:t>
      </w:r>
      <w:proofErr w:type="spellStart"/>
      <w:r w:rsidRPr="006B3DB2">
        <w:rPr>
          <w:bCs/>
          <w:lang w:val="en"/>
        </w:rPr>
        <w:t>NamWater</w:t>
      </w:r>
      <w:proofErr w:type="spellEnd"/>
      <w:r w:rsidRPr="006B3DB2">
        <w:rPr>
          <w:bCs/>
          <w:lang w:val="en"/>
        </w:rPr>
        <w:t xml:space="preserve">, and the </w:t>
      </w:r>
      <w:proofErr w:type="spellStart"/>
      <w:r w:rsidRPr="006B3DB2">
        <w:rPr>
          <w:bCs/>
          <w:lang w:val="en"/>
        </w:rPr>
        <w:t>UraMin</w:t>
      </w:r>
      <w:proofErr w:type="spellEnd"/>
      <w:r w:rsidRPr="006B3DB2">
        <w:rPr>
          <w:bCs/>
          <w:lang w:val="en"/>
        </w:rPr>
        <w:t xml:space="preserve"> mining company signed an agreement to prepare for the construction of two water desalination plants north of </w:t>
      </w:r>
      <w:proofErr w:type="spellStart"/>
      <w:r w:rsidRPr="006B3DB2">
        <w:rPr>
          <w:bCs/>
          <w:lang w:val="en"/>
        </w:rPr>
        <w:t>Wlotzkasbaken</w:t>
      </w:r>
      <w:proofErr w:type="spellEnd"/>
      <w:r w:rsidRPr="006B3DB2">
        <w:rPr>
          <w:bCs/>
          <w:lang w:val="en"/>
        </w:rPr>
        <w:t xml:space="preserve">. </w:t>
      </w:r>
      <w:proofErr w:type="spellStart"/>
      <w:r w:rsidRPr="006B3DB2">
        <w:rPr>
          <w:lang w:val="en"/>
        </w:rPr>
        <w:t>UraMin</w:t>
      </w:r>
      <w:proofErr w:type="spellEnd"/>
      <w:r w:rsidRPr="006B3DB2">
        <w:rPr>
          <w:lang w:val="en"/>
        </w:rPr>
        <w:t xml:space="preserve"> intends to mine uranium near </w:t>
      </w:r>
      <w:proofErr w:type="spellStart"/>
      <w:r w:rsidRPr="006B3DB2">
        <w:rPr>
          <w:lang w:val="en"/>
        </w:rPr>
        <w:t>Trekkopje</w:t>
      </w:r>
      <w:proofErr w:type="spellEnd"/>
      <w:r w:rsidRPr="006B3DB2">
        <w:rPr>
          <w:lang w:val="en"/>
        </w:rPr>
        <w:t xml:space="preserve"> and will have substantial water requirements. The first stage is </w:t>
      </w:r>
      <w:proofErr w:type="gramStart"/>
      <w:r w:rsidRPr="006B3DB2">
        <w:rPr>
          <w:lang w:val="en"/>
        </w:rPr>
        <w:t>a</w:t>
      </w:r>
      <w:proofErr w:type="gramEnd"/>
      <w:r w:rsidRPr="006B3DB2">
        <w:rPr>
          <w:lang w:val="en"/>
        </w:rPr>
        <w:t xml:space="preserve"> N$250 million seawater intake and a pipeline to bring the water of the Atlantic Ocean to the shore three </w:t>
      </w:r>
      <w:proofErr w:type="spellStart"/>
      <w:r w:rsidRPr="006B3DB2">
        <w:rPr>
          <w:lang w:val="en"/>
        </w:rPr>
        <w:t>kilometres</w:t>
      </w:r>
      <w:proofErr w:type="spellEnd"/>
      <w:r w:rsidRPr="006B3DB2">
        <w:rPr>
          <w:lang w:val="en"/>
        </w:rPr>
        <w:t xml:space="preserve"> north of </w:t>
      </w:r>
      <w:proofErr w:type="spellStart"/>
      <w:r w:rsidRPr="006B3DB2">
        <w:rPr>
          <w:lang w:val="en"/>
        </w:rPr>
        <w:t>Wlotzkasbaken</w:t>
      </w:r>
      <w:proofErr w:type="spellEnd"/>
      <w:r w:rsidRPr="006B3DB2">
        <w:rPr>
          <w:lang w:val="en"/>
        </w:rPr>
        <w:t xml:space="preserve">. </w:t>
      </w:r>
      <w:r w:rsidRPr="006B3DB2">
        <w:rPr>
          <w:lang w:val="en"/>
        </w:rPr>
        <w:br/>
        <w:t xml:space="preserve">The next stage is a US$110 million (about N$710 million) seawater desalination plant for </w:t>
      </w:r>
      <w:proofErr w:type="spellStart"/>
      <w:r w:rsidRPr="006B3DB2">
        <w:rPr>
          <w:lang w:val="en"/>
        </w:rPr>
        <w:t>UraMin</w:t>
      </w:r>
      <w:proofErr w:type="spellEnd"/>
      <w:r w:rsidRPr="006B3DB2">
        <w:rPr>
          <w:lang w:val="en"/>
        </w:rPr>
        <w:t xml:space="preserve"> and a second one for </w:t>
      </w:r>
      <w:proofErr w:type="spellStart"/>
      <w:r w:rsidRPr="006B3DB2">
        <w:rPr>
          <w:lang w:val="en"/>
        </w:rPr>
        <w:t>NamWater</w:t>
      </w:r>
      <w:proofErr w:type="spellEnd"/>
      <w:r w:rsidRPr="006B3DB2">
        <w:rPr>
          <w:lang w:val="en"/>
        </w:rPr>
        <w:t xml:space="preserve"> costing approximately the same amount. The plants, together with the intake and pipeline, amount to a total investment of roughly N$1</w:t>
      </w:r>
      <w:proofErr w:type="gramStart"/>
      <w:r w:rsidRPr="006B3DB2">
        <w:rPr>
          <w:lang w:val="en"/>
        </w:rPr>
        <w:t>,67</w:t>
      </w:r>
      <w:proofErr w:type="gramEnd"/>
      <w:r w:rsidRPr="006B3DB2">
        <w:rPr>
          <w:lang w:val="en"/>
        </w:rPr>
        <w:t xml:space="preserve"> billion.</w:t>
      </w:r>
    </w:p>
    <w:p w:rsidR="00CA7976" w:rsidRDefault="00CA7976" w:rsidP="006B3DB2">
      <w:pPr>
        <w:rPr>
          <w:lang w:val="en"/>
        </w:rPr>
      </w:pPr>
    </w:p>
    <w:p w:rsidR="00CA7976" w:rsidRDefault="006D33C4" w:rsidP="006B3DB2">
      <w:r w:rsidRPr="006D33C4">
        <w:t xml:space="preserve">AREVA Resources Namibia has </w:t>
      </w:r>
      <w:r>
        <w:t xml:space="preserve">also </w:t>
      </w:r>
      <w:r w:rsidRPr="006D33C4">
        <w:t xml:space="preserve">built the first seawater </w:t>
      </w:r>
      <w:r w:rsidRPr="006D33C4">
        <w:rPr>
          <w:bCs/>
        </w:rPr>
        <w:t>desalination plant</w:t>
      </w:r>
      <w:r w:rsidRPr="006D33C4">
        <w:t xml:space="preserve"> in southern Africa.</w:t>
      </w:r>
    </w:p>
    <w:p w:rsidR="009465F4" w:rsidRDefault="009465F4" w:rsidP="006B3DB2"/>
    <w:p w:rsidR="009465F4" w:rsidRPr="006B3DB2" w:rsidRDefault="009465F4" w:rsidP="006B3DB2">
      <w:pPr>
        <w:rPr>
          <w:lang w:val="en"/>
        </w:rPr>
      </w:pPr>
    </w:p>
    <w:p w:rsidR="004F2E47" w:rsidRDefault="004F2E47" w:rsidP="004F2E47"/>
    <w:p w:rsidR="00BB2143" w:rsidRDefault="00BB2143" w:rsidP="00AA7B9F">
      <w:pPr>
        <w:pStyle w:val="Heading1"/>
      </w:pPr>
      <w:r w:rsidRPr="00BB2143">
        <w:t>Opportunities and barriers</w:t>
      </w:r>
    </w:p>
    <w:p w:rsidR="00BF6F5E" w:rsidRDefault="00BF6F5E" w:rsidP="00BF6F5E"/>
    <w:p w:rsidR="00304BD1" w:rsidRPr="00304BD1" w:rsidRDefault="00304BD1" w:rsidP="00304BD1">
      <w:r w:rsidRPr="00304BD1">
        <w:t xml:space="preserve">Desalination enables utilities in many water poor areas to access a nearly unlimited water resource. However, implementing desalination can sometimes exacerbate the problems of a poorly functioning water sector. Therefore, the best opportunities for implementation are in </w:t>
      </w:r>
      <w:r w:rsidRPr="00304BD1">
        <w:lastRenderedPageBreak/>
        <w:t>water sectors that are functioning well, with well-defined water policy, well-characterized water resource availability and demand, technical expertise, and relatively little waste and inefficiency.</w:t>
      </w:r>
    </w:p>
    <w:p w:rsidR="00304BD1" w:rsidRPr="00304BD1" w:rsidRDefault="00304BD1" w:rsidP="00304BD1"/>
    <w:p w:rsidR="00304BD1" w:rsidRPr="00304BD1" w:rsidRDefault="00304BD1" w:rsidP="00304BD1">
      <w:r w:rsidRPr="00304BD1">
        <w:t>Opportunities for desalination are greatest when:</w:t>
      </w:r>
    </w:p>
    <w:p w:rsidR="007704BD" w:rsidRPr="00304BD1" w:rsidRDefault="00087AE3" w:rsidP="00304BD1">
      <w:pPr>
        <w:numPr>
          <w:ilvl w:val="0"/>
          <w:numId w:val="19"/>
        </w:numPr>
      </w:pPr>
      <w:r w:rsidRPr="00304BD1">
        <w:t>Freshwater resources are inadequate to meet demand (water stress or water scarcity)</w:t>
      </w:r>
    </w:p>
    <w:p w:rsidR="007704BD" w:rsidRPr="00304BD1" w:rsidRDefault="00087AE3" w:rsidP="00304BD1">
      <w:pPr>
        <w:numPr>
          <w:ilvl w:val="0"/>
          <w:numId w:val="19"/>
        </w:numPr>
      </w:pPr>
      <w:r w:rsidRPr="00304BD1">
        <w:t>For membrane systems, an abundant source of brackish water with low salt/TDS concentration is available; or, for thermal systems, the population is located on a coastline with an adjacent facility (e.g., a power plant) that yields abundant waste heat</w:t>
      </w:r>
    </w:p>
    <w:p w:rsidR="007704BD" w:rsidRPr="00304BD1" w:rsidRDefault="00087AE3" w:rsidP="00304BD1">
      <w:pPr>
        <w:numPr>
          <w:ilvl w:val="0"/>
          <w:numId w:val="19"/>
        </w:numPr>
      </w:pPr>
      <w:r w:rsidRPr="00304BD1">
        <w:t>Consumers are opposed to the reuse of treated wastewater (see the chapter entitled Wastewater Reuse)</w:t>
      </w:r>
    </w:p>
    <w:p w:rsidR="00304BD1" w:rsidRPr="00304BD1" w:rsidRDefault="00304BD1" w:rsidP="00304BD1"/>
    <w:p w:rsidR="00304BD1" w:rsidRPr="00304BD1" w:rsidRDefault="00304BD1" w:rsidP="00304BD1">
      <w:r w:rsidRPr="00304BD1">
        <w:t>Barriers to desalination include environmental impacts. These include: effects of the concentrated waste stream on ecosystems; the impact of seawater intakes on aquatic life; and greenhouse gas emissions.</w:t>
      </w:r>
    </w:p>
    <w:p w:rsidR="00304BD1" w:rsidRPr="00304BD1" w:rsidRDefault="00304BD1" w:rsidP="00304BD1"/>
    <w:p w:rsidR="00304BD1" w:rsidRPr="00304BD1" w:rsidRDefault="00304BD1" w:rsidP="00304BD1">
      <w:r w:rsidRPr="00304BD1">
        <w:t xml:space="preserve">However, the environmental impacts of desalination must be weighed against those of expanding use of freshwater sources (e.g. groundwater depletion, diverting surface water flows). Although RO product water is almost totally pure, it is possible that some compounds of possible concern could get into product water; pre-treatment or post-treatment processes can be used to address the few compounds that are not removed well by RO (e.g., boron). </w:t>
      </w:r>
    </w:p>
    <w:p w:rsidR="00BF6F5E" w:rsidRDefault="00BF6F5E" w:rsidP="00BF6F5E"/>
    <w:p w:rsidR="009465F4" w:rsidRDefault="009465F4" w:rsidP="006211F6">
      <w:pPr>
        <w:pStyle w:val="Heading1"/>
      </w:pPr>
      <w:r w:rsidRPr="009465F4">
        <w:t>Ref</w:t>
      </w:r>
      <w:bookmarkStart w:id="0" w:name="_GoBack"/>
      <w:bookmarkEnd w:id="0"/>
      <w:r w:rsidRPr="009465F4">
        <w:t>erences</w:t>
      </w:r>
    </w:p>
    <w:p w:rsidR="006211F6" w:rsidRDefault="006211F6" w:rsidP="00BF6F5E">
      <w:pPr>
        <w:rPr>
          <w:b/>
          <w:sz w:val="28"/>
          <w:szCs w:val="28"/>
        </w:rPr>
      </w:pPr>
    </w:p>
    <w:p w:rsidR="007519D3" w:rsidRDefault="007519D3" w:rsidP="00BF6F5E">
      <w:r w:rsidRPr="00F21174">
        <w:t>Elliott</w:t>
      </w:r>
      <w:r>
        <w:t xml:space="preserve">, M., </w:t>
      </w:r>
      <w:r w:rsidRPr="00F21174">
        <w:t>Armstrong</w:t>
      </w:r>
      <w:r>
        <w:t>, A.,</w:t>
      </w:r>
      <w:r w:rsidRPr="00F21174">
        <w:t xml:space="preserve"> </w:t>
      </w:r>
      <w:proofErr w:type="spellStart"/>
      <w:r w:rsidRPr="00F21174">
        <w:t>Lobuglio</w:t>
      </w:r>
      <w:proofErr w:type="spellEnd"/>
      <w:r>
        <w:t>,</w:t>
      </w:r>
      <w:r w:rsidRPr="00F21174">
        <w:t xml:space="preserve"> </w:t>
      </w:r>
      <w:r>
        <w:t xml:space="preserve">J. and </w:t>
      </w:r>
      <w:r w:rsidRPr="00F21174">
        <w:t>Bartram</w:t>
      </w:r>
      <w:r>
        <w:t xml:space="preserve"> J. (2011) Technologies for climate change adaptation – The water sector. </w:t>
      </w:r>
      <w:proofErr w:type="gramStart"/>
      <w:r>
        <w:t>United Nations Environmental Programme (UNEP).</w:t>
      </w:r>
      <w:proofErr w:type="gramEnd"/>
      <w:r>
        <w:t xml:space="preserve"> [Available from </w:t>
      </w:r>
      <w:hyperlink r:id="rId8" w:history="1">
        <w:r w:rsidRPr="0033373A">
          <w:rPr>
            <w:rStyle w:val="Hyperlink"/>
          </w:rPr>
          <w:t>http://www.tech-action.org/Publications/TNA-Guidebooks</w:t>
        </w:r>
      </w:hyperlink>
      <w:r>
        <w:t xml:space="preserve">] </w:t>
      </w:r>
    </w:p>
    <w:p w:rsidR="007519D3" w:rsidRPr="00BF6F5E" w:rsidRDefault="007519D3" w:rsidP="00BF6F5E"/>
    <w:p w:rsidR="007519D3" w:rsidRDefault="007519D3" w:rsidP="00BF6F5E">
      <w:proofErr w:type="spellStart"/>
      <w:proofErr w:type="gramStart"/>
      <w:r>
        <w:t>Frioui</w:t>
      </w:r>
      <w:proofErr w:type="spellEnd"/>
      <w:r>
        <w:t xml:space="preserve">, S. and </w:t>
      </w:r>
      <w:proofErr w:type="spellStart"/>
      <w:r>
        <w:t>Oumeddour</w:t>
      </w:r>
      <w:proofErr w:type="spellEnd"/>
      <w:r>
        <w:t>, R. (2008).</w:t>
      </w:r>
      <w:proofErr w:type="gramEnd"/>
      <w:r>
        <w:t xml:space="preserve"> Investment and production cost of desalination plants by semi-empirical methods. Desalination, 223, 457 – 463.</w:t>
      </w:r>
    </w:p>
    <w:p w:rsidR="007519D3" w:rsidRDefault="007519D3" w:rsidP="00BF6F5E"/>
    <w:p w:rsidR="007519D3" w:rsidRDefault="007519D3" w:rsidP="00BF6F5E">
      <w:proofErr w:type="gramStart"/>
      <w:r>
        <w:t>IEA and IRENA (2012).</w:t>
      </w:r>
      <w:proofErr w:type="gramEnd"/>
      <w:r>
        <w:t xml:space="preserve"> Water desalination using renewable energy: Technology brief. </w:t>
      </w:r>
      <w:proofErr w:type="gramStart"/>
      <w:r>
        <w:t xml:space="preserve">International Energy Agency (IEA) and International Renewable Energy </w:t>
      </w:r>
      <w:proofErr w:type="spellStart"/>
      <w:r>
        <w:t>Aganecy</w:t>
      </w:r>
      <w:proofErr w:type="spellEnd"/>
      <w:r>
        <w:t xml:space="preserve"> (IRENA).</w:t>
      </w:r>
      <w:proofErr w:type="gramEnd"/>
      <w:r>
        <w:t xml:space="preserve"> [Available from </w:t>
      </w:r>
      <w:hyperlink r:id="rId9" w:history="1">
        <w:r w:rsidRPr="00B009C3">
          <w:rPr>
            <w:rStyle w:val="Hyperlink"/>
            <w:color w:val="0066FF"/>
          </w:rPr>
          <w:t>https://www.irena.org/DocumentDownloads/Publications/IRENA-ETSAP%20 Tech%20Brief%</w:t>
        </w:r>
      </w:hyperlink>
      <w:r w:rsidRPr="00B009C3">
        <w:rPr>
          <w:color w:val="0066FF"/>
          <w:u w:val="single"/>
        </w:rPr>
        <w:t>20I12%20Water-Desalination.pdf</w:t>
      </w:r>
      <w:r>
        <w:t>]</w:t>
      </w:r>
    </w:p>
    <w:p w:rsidR="007519D3" w:rsidRPr="009465F4" w:rsidRDefault="007519D3" w:rsidP="00BF6F5E"/>
    <w:p w:rsidR="007519D3" w:rsidRDefault="007519D3" w:rsidP="00BF6F5E">
      <w:proofErr w:type="gramStart"/>
      <w:r>
        <w:t>World Bank (2004).</w:t>
      </w:r>
      <w:proofErr w:type="gramEnd"/>
      <w:r>
        <w:t xml:space="preserve"> </w:t>
      </w:r>
      <w:proofErr w:type="gramStart"/>
      <w:r>
        <w:t>Seawater and brackish water desalination in the Middle East, North Africa and Central Asia.</w:t>
      </w:r>
      <w:proofErr w:type="gramEnd"/>
      <w:r>
        <w:t xml:space="preserve"> </w:t>
      </w:r>
      <w:proofErr w:type="gramStart"/>
      <w:r>
        <w:t>A review of key issues and experience in six countries.</w:t>
      </w:r>
      <w:proofErr w:type="gramEnd"/>
      <w:r>
        <w:t xml:space="preserve"> [Available from </w:t>
      </w:r>
      <w:hyperlink r:id="rId10" w:history="1">
        <w:r w:rsidRPr="00B009C3">
          <w:rPr>
            <w:rStyle w:val="Hyperlink"/>
            <w:color w:val="0066FF"/>
          </w:rPr>
          <w:t>http://siteresources.worldbank.org/INTWSS/Resources/Desal_mainreport-Final2.pdf</w:t>
        </w:r>
      </w:hyperlink>
      <w:r>
        <w:t>]</w:t>
      </w:r>
    </w:p>
    <w:sectPr w:rsidR="007519D3" w:rsidSect="00D35D0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E6" w:rsidRDefault="001512E6" w:rsidP="002A0390">
      <w:pPr>
        <w:spacing w:line="240" w:lineRule="auto"/>
      </w:pPr>
      <w:r>
        <w:separator/>
      </w:r>
    </w:p>
  </w:endnote>
  <w:endnote w:type="continuationSeparator" w:id="0">
    <w:p w:rsidR="001512E6" w:rsidRDefault="001512E6" w:rsidP="002A0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17099"/>
      <w:docPartObj>
        <w:docPartGallery w:val="Page Numbers (Bottom of Page)"/>
        <w:docPartUnique/>
      </w:docPartObj>
    </w:sdtPr>
    <w:sdtEndPr>
      <w:rPr>
        <w:noProof/>
      </w:rPr>
    </w:sdtEndPr>
    <w:sdtContent>
      <w:p w:rsidR="002A0390" w:rsidRDefault="002A0390">
        <w:pPr>
          <w:pStyle w:val="Footer"/>
          <w:jc w:val="center"/>
        </w:pPr>
        <w:r>
          <w:fldChar w:fldCharType="begin"/>
        </w:r>
        <w:r>
          <w:instrText xml:space="preserve"> PAGE   \* MERGEFORMAT </w:instrText>
        </w:r>
        <w:r>
          <w:fldChar w:fldCharType="separate"/>
        </w:r>
        <w:r w:rsidR="006211F6">
          <w:rPr>
            <w:noProof/>
          </w:rPr>
          <w:t>6</w:t>
        </w:r>
        <w:r>
          <w:rPr>
            <w:noProof/>
          </w:rPr>
          <w:fldChar w:fldCharType="end"/>
        </w:r>
      </w:p>
    </w:sdtContent>
  </w:sdt>
  <w:p w:rsidR="002A0390" w:rsidRDefault="002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E6" w:rsidRDefault="001512E6" w:rsidP="002A0390">
      <w:pPr>
        <w:spacing w:line="240" w:lineRule="auto"/>
      </w:pPr>
      <w:r>
        <w:separator/>
      </w:r>
    </w:p>
  </w:footnote>
  <w:footnote w:type="continuationSeparator" w:id="0">
    <w:p w:rsidR="001512E6" w:rsidRDefault="001512E6" w:rsidP="002A03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F4" w:rsidRPr="009465F4" w:rsidRDefault="009465F4" w:rsidP="009465F4">
    <w:pPr>
      <w:pStyle w:val="Header"/>
      <w:jc w:val="left"/>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C6"/>
    <w:multiLevelType w:val="hybridMultilevel"/>
    <w:tmpl w:val="697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30733"/>
    <w:multiLevelType w:val="hybridMultilevel"/>
    <w:tmpl w:val="41CA5284"/>
    <w:lvl w:ilvl="0" w:tplc="0A98D364">
      <w:start w:val="1"/>
      <w:numFmt w:val="decimal"/>
      <w:lvlText w:val="2.4.%1"/>
      <w:lvlJc w:val="center"/>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70C"/>
    <w:multiLevelType w:val="hybridMultilevel"/>
    <w:tmpl w:val="70B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9351F"/>
    <w:multiLevelType w:val="hybridMultilevel"/>
    <w:tmpl w:val="2488C6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46E0313"/>
    <w:multiLevelType w:val="hybridMultilevel"/>
    <w:tmpl w:val="387AEBAE"/>
    <w:lvl w:ilvl="0" w:tplc="CEB0B64A">
      <w:numFmt w:val="bullet"/>
      <w:lvlText w:val="·"/>
      <w:lvlJc w:val="left"/>
      <w:pPr>
        <w:ind w:left="928" w:hanging="360"/>
      </w:pPr>
      <w:rPr>
        <w:rFonts w:ascii="Cambria" w:eastAsia="Times New Roman" w:hAnsi="Cambria"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18C33682"/>
    <w:multiLevelType w:val="hybridMultilevel"/>
    <w:tmpl w:val="A1EC5A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774031"/>
    <w:multiLevelType w:val="hybridMultilevel"/>
    <w:tmpl w:val="D364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56A7D"/>
    <w:multiLevelType w:val="hybridMultilevel"/>
    <w:tmpl w:val="0EE85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22D50279"/>
    <w:multiLevelType w:val="multilevel"/>
    <w:tmpl w:val="743206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lvlText w:val="%1.%2.%3"/>
      <w:lvlJc w:val="left"/>
      <w:pPr>
        <w:ind w:left="720" w:hanging="720"/>
      </w:pPr>
      <w:rPr>
        <w:rFonts w:hint="default"/>
        <w:b/>
        <w:i/>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3570565"/>
    <w:multiLevelType w:val="hybridMultilevel"/>
    <w:tmpl w:val="B2E8E84E"/>
    <w:lvl w:ilvl="0" w:tplc="CEB0B64A">
      <w:numFmt w:val="bullet"/>
      <w:lvlText w:val="·"/>
      <w:lvlJc w:val="left"/>
      <w:pPr>
        <w:ind w:left="644" w:hanging="360"/>
      </w:pPr>
      <w:rPr>
        <w:rFonts w:ascii="Cambria" w:eastAsia="Times New Roman" w:hAnsi="Cambr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8FF008E"/>
    <w:multiLevelType w:val="hybridMultilevel"/>
    <w:tmpl w:val="8A30CB5A"/>
    <w:lvl w:ilvl="0" w:tplc="BE88F65C">
      <w:start w:val="1"/>
      <w:numFmt w:val="decimal"/>
      <w:lvlText w:val="3.2.%1."/>
      <w:lvlJc w:val="center"/>
      <w:pPr>
        <w:ind w:left="1004"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2E0A6D06"/>
    <w:multiLevelType w:val="hybridMultilevel"/>
    <w:tmpl w:val="8BF0E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977BAC"/>
    <w:multiLevelType w:val="hybridMultilevel"/>
    <w:tmpl w:val="9658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B21BDF"/>
    <w:multiLevelType w:val="hybridMultilevel"/>
    <w:tmpl w:val="CBFABC4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471829B4"/>
    <w:multiLevelType w:val="hybridMultilevel"/>
    <w:tmpl w:val="230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5E6875"/>
    <w:multiLevelType w:val="hybridMultilevel"/>
    <w:tmpl w:val="3D96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8E0085"/>
    <w:multiLevelType w:val="hybridMultilevel"/>
    <w:tmpl w:val="2666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1F41D8"/>
    <w:multiLevelType w:val="hybridMultilevel"/>
    <w:tmpl w:val="9DC8AE8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8"/>
  </w:num>
  <w:num w:numId="2">
    <w:abstractNumId w:val="8"/>
  </w:num>
  <w:num w:numId="3">
    <w:abstractNumId w:val="1"/>
  </w:num>
  <w:num w:numId="4">
    <w:abstractNumId w:val="10"/>
  </w:num>
  <w:num w:numId="5">
    <w:abstractNumId w:val="11"/>
  </w:num>
  <w:num w:numId="6">
    <w:abstractNumId w:val="2"/>
  </w:num>
  <w:num w:numId="7">
    <w:abstractNumId w:val="0"/>
  </w:num>
  <w:num w:numId="8">
    <w:abstractNumId w:val="5"/>
  </w:num>
  <w:num w:numId="9">
    <w:abstractNumId w:val="14"/>
  </w:num>
  <w:num w:numId="10">
    <w:abstractNumId w:val="16"/>
  </w:num>
  <w:num w:numId="11">
    <w:abstractNumId w:val="15"/>
  </w:num>
  <w:num w:numId="12">
    <w:abstractNumId w:val="13"/>
  </w:num>
  <w:num w:numId="13">
    <w:abstractNumId w:val="7"/>
  </w:num>
  <w:num w:numId="14">
    <w:abstractNumId w:val="3"/>
  </w:num>
  <w:num w:numId="15">
    <w:abstractNumId w:val="9"/>
  </w:num>
  <w:num w:numId="16">
    <w:abstractNumId w:val="4"/>
  </w:num>
  <w:num w:numId="17">
    <w:abstractNumId w:val="17"/>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3"/>
    <w:rsid w:val="000401D7"/>
    <w:rsid w:val="00087AE3"/>
    <w:rsid w:val="00100BB5"/>
    <w:rsid w:val="001512E6"/>
    <w:rsid w:val="00163434"/>
    <w:rsid w:val="00184980"/>
    <w:rsid w:val="0019760E"/>
    <w:rsid w:val="001A4486"/>
    <w:rsid w:val="001C5A7D"/>
    <w:rsid w:val="001E79C6"/>
    <w:rsid w:val="00223DC6"/>
    <w:rsid w:val="00250C17"/>
    <w:rsid w:val="002511A5"/>
    <w:rsid w:val="00293442"/>
    <w:rsid w:val="002A0390"/>
    <w:rsid w:val="002A7C54"/>
    <w:rsid w:val="00304BD1"/>
    <w:rsid w:val="00314104"/>
    <w:rsid w:val="00320968"/>
    <w:rsid w:val="004339DF"/>
    <w:rsid w:val="00441F6E"/>
    <w:rsid w:val="004515D0"/>
    <w:rsid w:val="004E3FA3"/>
    <w:rsid w:val="004F2E47"/>
    <w:rsid w:val="00505ED8"/>
    <w:rsid w:val="00512229"/>
    <w:rsid w:val="005A0D84"/>
    <w:rsid w:val="005F474D"/>
    <w:rsid w:val="006211F6"/>
    <w:rsid w:val="00636D70"/>
    <w:rsid w:val="006A1F81"/>
    <w:rsid w:val="006B3DB2"/>
    <w:rsid w:val="006C274D"/>
    <w:rsid w:val="006D33C4"/>
    <w:rsid w:val="006F3FF3"/>
    <w:rsid w:val="0074654C"/>
    <w:rsid w:val="007475B0"/>
    <w:rsid w:val="007519D3"/>
    <w:rsid w:val="0076677C"/>
    <w:rsid w:val="008764D9"/>
    <w:rsid w:val="00892A70"/>
    <w:rsid w:val="008D5AEF"/>
    <w:rsid w:val="008F65AC"/>
    <w:rsid w:val="00910138"/>
    <w:rsid w:val="0092331A"/>
    <w:rsid w:val="009465F4"/>
    <w:rsid w:val="009A348C"/>
    <w:rsid w:val="009E0A50"/>
    <w:rsid w:val="009E363F"/>
    <w:rsid w:val="00A043ED"/>
    <w:rsid w:val="00A76A38"/>
    <w:rsid w:val="00AA7B9F"/>
    <w:rsid w:val="00AF4A90"/>
    <w:rsid w:val="00B009C3"/>
    <w:rsid w:val="00B32642"/>
    <w:rsid w:val="00B326FF"/>
    <w:rsid w:val="00B358B2"/>
    <w:rsid w:val="00BB2143"/>
    <w:rsid w:val="00BD2E93"/>
    <w:rsid w:val="00BF6F5E"/>
    <w:rsid w:val="00C33F58"/>
    <w:rsid w:val="00CA4554"/>
    <w:rsid w:val="00CA7976"/>
    <w:rsid w:val="00D35D06"/>
    <w:rsid w:val="00D563F1"/>
    <w:rsid w:val="00D739F9"/>
    <w:rsid w:val="00DF3280"/>
    <w:rsid w:val="00E11A5B"/>
    <w:rsid w:val="00F121C6"/>
    <w:rsid w:val="00F21174"/>
    <w:rsid w:val="00F264E7"/>
    <w:rsid w:val="00F272BB"/>
    <w:rsid w:val="00F368A8"/>
    <w:rsid w:val="00F80BF5"/>
    <w:rsid w:val="00F8221A"/>
    <w:rsid w:val="00F9618E"/>
    <w:rsid w:val="00FF0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paragraph" w:styleId="BalloonText">
    <w:name w:val="Balloon Text"/>
    <w:basedOn w:val="Normal"/>
    <w:link w:val="BalloonTextChar"/>
    <w:uiPriority w:val="99"/>
    <w:semiHidden/>
    <w:unhideWhenUsed/>
    <w:rsid w:val="00946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F4"/>
    <w:rPr>
      <w:rFonts w:ascii="Tahoma" w:hAnsi="Tahoma" w:cs="Tahoma"/>
      <w:sz w:val="16"/>
      <w:szCs w:val="16"/>
      <w:lang w:eastAsia="en-GB"/>
    </w:rPr>
  </w:style>
  <w:style w:type="character" w:styleId="Hyperlink">
    <w:name w:val="Hyperlink"/>
    <w:basedOn w:val="DefaultParagraphFont"/>
    <w:uiPriority w:val="99"/>
    <w:unhideWhenUsed/>
    <w:rsid w:val="00B009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paragraph" w:styleId="BalloonText">
    <w:name w:val="Balloon Text"/>
    <w:basedOn w:val="Normal"/>
    <w:link w:val="BalloonTextChar"/>
    <w:uiPriority w:val="99"/>
    <w:semiHidden/>
    <w:unhideWhenUsed/>
    <w:rsid w:val="00946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F4"/>
    <w:rPr>
      <w:rFonts w:ascii="Tahoma" w:hAnsi="Tahoma" w:cs="Tahoma"/>
      <w:sz w:val="16"/>
      <w:szCs w:val="16"/>
      <w:lang w:eastAsia="en-GB"/>
    </w:rPr>
  </w:style>
  <w:style w:type="character" w:styleId="Hyperlink">
    <w:name w:val="Hyperlink"/>
    <w:basedOn w:val="DefaultParagraphFont"/>
    <w:uiPriority w:val="99"/>
    <w:unhideWhenUsed/>
    <w:rsid w:val="00B00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46">
      <w:bodyDiv w:val="1"/>
      <w:marLeft w:val="0"/>
      <w:marRight w:val="0"/>
      <w:marTop w:val="0"/>
      <w:marBottom w:val="0"/>
      <w:divBdr>
        <w:top w:val="none" w:sz="0" w:space="0" w:color="auto"/>
        <w:left w:val="none" w:sz="0" w:space="0" w:color="auto"/>
        <w:bottom w:val="none" w:sz="0" w:space="0" w:color="auto"/>
        <w:right w:val="none" w:sz="0" w:space="0" w:color="auto"/>
      </w:divBdr>
      <w:divsChild>
        <w:div w:id="1323461439">
          <w:marLeft w:val="0"/>
          <w:marRight w:val="0"/>
          <w:marTop w:val="0"/>
          <w:marBottom w:val="0"/>
          <w:divBdr>
            <w:top w:val="none" w:sz="0" w:space="0" w:color="auto"/>
            <w:left w:val="none" w:sz="0" w:space="0" w:color="auto"/>
            <w:bottom w:val="none" w:sz="0" w:space="0" w:color="auto"/>
            <w:right w:val="none" w:sz="0" w:space="0" w:color="auto"/>
          </w:divBdr>
          <w:divsChild>
            <w:div w:id="1893883682">
              <w:marLeft w:val="0"/>
              <w:marRight w:val="0"/>
              <w:marTop w:val="0"/>
              <w:marBottom w:val="0"/>
              <w:divBdr>
                <w:top w:val="none" w:sz="0" w:space="0" w:color="auto"/>
                <w:left w:val="none" w:sz="0" w:space="0" w:color="auto"/>
                <w:bottom w:val="none" w:sz="0" w:space="0" w:color="auto"/>
                <w:right w:val="none" w:sz="0" w:space="0" w:color="auto"/>
              </w:divBdr>
              <w:divsChild>
                <w:div w:id="1330519061">
                  <w:marLeft w:val="0"/>
                  <w:marRight w:val="0"/>
                  <w:marTop w:val="0"/>
                  <w:marBottom w:val="0"/>
                  <w:divBdr>
                    <w:top w:val="none" w:sz="0" w:space="0" w:color="auto"/>
                    <w:left w:val="none" w:sz="0" w:space="0" w:color="auto"/>
                    <w:bottom w:val="none" w:sz="0" w:space="0" w:color="auto"/>
                    <w:right w:val="none" w:sz="0" w:space="0" w:color="auto"/>
                  </w:divBdr>
                  <w:divsChild>
                    <w:div w:id="571047570">
                      <w:marLeft w:val="0"/>
                      <w:marRight w:val="0"/>
                      <w:marTop w:val="0"/>
                      <w:marBottom w:val="0"/>
                      <w:divBdr>
                        <w:top w:val="none" w:sz="0" w:space="0" w:color="auto"/>
                        <w:left w:val="none" w:sz="0" w:space="0" w:color="auto"/>
                        <w:bottom w:val="none" w:sz="0" w:space="0" w:color="auto"/>
                        <w:right w:val="none" w:sz="0" w:space="0" w:color="auto"/>
                      </w:divBdr>
                      <w:divsChild>
                        <w:div w:id="1614552834">
                          <w:marLeft w:val="0"/>
                          <w:marRight w:val="0"/>
                          <w:marTop w:val="0"/>
                          <w:marBottom w:val="0"/>
                          <w:divBdr>
                            <w:top w:val="none" w:sz="0" w:space="0" w:color="auto"/>
                            <w:left w:val="none" w:sz="0" w:space="0" w:color="auto"/>
                            <w:bottom w:val="none" w:sz="0" w:space="0" w:color="auto"/>
                            <w:right w:val="none" w:sz="0" w:space="0" w:color="auto"/>
                          </w:divBdr>
                          <w:divsChild>
                            <w:div w:id="149712816">
                              <w:marLeft w:val="0"/>
                              <w:marRight w:val="0"/>
                              <w:marTop w:val="0"/>
                              <w:marBottom w:val="0"/>
                              <w:divBdr>
                                <w:top w:val="none" w:sz="0" w:space="0" w:color="auto"/>
                                <w:left w:val="none" w:sz="0" w:space="0" w:color="auto"/>
                                <w:bottom w:val="none" w:sz="0" w:space="0" w:color="auto"/>
                                <w:right w:val="none" w:sz="0" w:space="0" w:color="auto"/>
                              </w:divBdr>
                              <w:divsChild>
                                <w:div w:id="1121993062">
                                  <w:marLeft w:val="0"/>
                                  <w:marRight w:val="0"/>
                                  <w:marTop w:val="0"/>
                                  <w:marBottom w:val="0"/>
                                  <w:divBdr>
                                    <w:top w:val="none" w:sz="0" w:space="0" w:color="auto"/>
                                    <w:left w:val="none" w:sz="0" w:space="0" w:color="auto"/>
                                    <w:bottom w:val="none" w:sz="0" w:space="0" w:color="auto"/>
                                    <w:right w:val="none" w:sz="0" w:space="0" w:color="auto"/>
                                  </w:divBdr>
                                  <w:divsChild>
                                    <w:div w:id="304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action.org/Publications/TNA-Guidebook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teresources.worldbank.org/INTWSS/Resources/Desal_mainreport-Final2.pdf" TargetMode="External"/><Relationship Id="rId4" Type="http://schemas.openxmlformats.org/officeDocument/2006/relationships/settings" Target="settings.xml"/><Relationship Id="rId9" Type="http://schemas.openxmlformats.org/officeDocument/2006/relationships/hyperlink" Target="https://www.irena.org/DocumentDownloads/Publications/IRENA-ETSAP%20%20Tech%20Brief%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TNdarana</dc:creator>
  <cp:lastModifiedBy>TNdarana</cp:lastModifiedBy>
  <cp:revision>3</cp:revision>
  <dcterms:created xsi:type="dcterms:W3CDTF">2016-02-02T12:05:00Z</dcterms:created>
  <dcterms:modified xsi:type="dcterms:W3CDTF">2016-02-02T14:08:00Z</dcterms:modified>
</cp:coreProperties>
</file>