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DC6" w:rsidRPr="009E0A50" w:rsidRDefault="0074654C" w:rsidP="00AA7B9F">
      <w:pPr>
        <w:jc w:val="center"/>
        <w:rPr>
          <w:b/>
          <w:sz w:val="32"/>
          <w:szCs w:val="32"/>
        </w:rPr>
      </w:pPr>
      <w:r w:rsidRPr="009E0A50">
        <w:rPr>
          <w:b/>
          <w:sz w:val="32"/>
          <w:szCs w:val="32"/>
        </w:rPr>
        <w:t>TECHNOLOGY FACT SHEET</w:t>
      </w:r>
    </w:p>
    <w:p w:rsidR="00BB2143" w:rsidRDefault="00BB2143" w:rsidP="009E0A50">
      <w:pPr>
        <w:jc w:val="left"/>
        <w:rPr>
          <w:b/>
        </w:rPr>
      </w:pPr>
    </w:p>
    <w:p w:rsidR="00BB2143" w:rsidRDefault="00E77454" w:rsidP="00AA7B9F">
      <w:pPr>
        <w:pStyle w:val="NoSpacing"/>
        <w:jc w:val="center"/>
        <w:rPr>
          <w:b/>
          <w:sz w:val="32"/>
          <w:szCs w:val="32"/>
        </w:rPr>
      </w:pPr>
      <w:r>
        <w:rPr>
          <w:b/>
          <w:sz w:val="32"/>
          <w:szCs w:val="32"/>
        </w:rPr>
        <w:t xml:space="preserve">Water Reclamation and Reuse: Ground water </w:t>
      </w:r>
      <w:proofErr w:type="gramStart"/>
      <w:r>
        <w:rPr>
          <w:b/>
          <w:sz w:val="32"/>
          <w:szCs w:val="32"/>
        </w:rPr>
        <w:t>recharge</w:t>
      </w:r>
      <w:proofErr w:type="gramEnd"/>
      <w:r>
        <w:rPr>
          <w:b/>
          <w:sz w:val="32"/>
          <w:szCs w:val="32"/>
        </w:rPr>
        <w:t xml:space="preserve"> (Water Banking)</w:t>
      </w:r>
    </w:p>
    <w:p w:rsidR="00AA7B9F" w:rsidRPr="00AA7B9F" w:rsidRDefault="00AA7B9F" w:rsidP="00AA7B9F">
      <w:pPr>
        <w:pStyle w:val="NoSpacing"/>
        <w:jc w:val="center"/>
        <w:rPr>
          <w:b/>
          <w:sz w:val="32"/>
          <w:szCs w:val="32"/>
        </w:rPr>
      </w:pPr>
    </w:p>
    <w:p w:rsidR="00BB2143" w:rsidRDefault="00BB2143" w:rsidP="009E0A50">
      <w:pPr>
        <w:jc w:val="left"/>
        <w:rPr>
          <w:b/>
        </w:rPr>
      </w:pPr>
    </w:p>
    <w:p w:rsidR="00BB2143" w:rsidRDefault="00BB2143" w:rsidP="00AA7B9F">
      <w:pPr>
        <w:pStyle w:val="Heading1"/>
      </w:pPr>
      <w:r>
        <w:t>Technology description</w:t>
      </w:r>
    </w:p>
    <w:p w:rsidR="00BB2143" w:rsidRDefault="00BB2143" w:rsidP="009E0A50">
      <w:pPr>
        <w:jc w:val="left"/>
        <w:rPr>
          <w:b/>
        </w:rPr>
      </w:pPr>
    </w:p>
    <w:p w:rsidR="00E77454" w:rsidRPr="00E77454" w:rsidRDefault="00E77454" w:rsidP="00E77454">
      <w:pPr>
        <w:jc w:val="left"/>
      </w:pPr>
      <w:r w:rsidRPr="00E77454">
        <w:t>A groundwater aquifer is important for freshwater storage and water transmission. It provides water resources that can be withdrawn for various purposes. The use of a recharge basin requires a wide area with permeable soil, an unconfined aquifer with transmissivity, and an unsaturated (or vadose) zone without restricting layers. With this system, the</w:t>
      </w:r>
      <w:r>
        <w:t xml:space="preserve"> </w:t>
      </w:r>
      <w:r w:rsidRPr="00E77454">
        <w:t>vadose zone and aquifer work as natural filters and remove suspended solids, organic substances,</w:t>
      </w:r>
      <w:r>
        <w:t xml:space="preserve"> </w:t>
      </w:r>
      <w:r w:rsidRPr="00E77454">
        <w:t>bacteria, viruses and other microorganisms.</w:t>
      </w:r>
    </w:p>
    <w:p w:rsidR="00BB2143" w:rsidRDefault="00BB2143" w:rsidP="009E0A50">
      <w:pPr>
        <w:jc w:val="left"/>
      </w:pPr>
    </w:p>
    <w:tbl>
      <w:tblPr>
        <w:tblStyle w:val="TableGrid"/>
        <w:tblW w:w="0" w:type="auto"/>
        <w:tblInd w:w="108" w:type="dxa"/>
        <w:tblLook w:val="04A0" w:firstRow="1" w:lastRow="0" w:firstColumn="1" w:lastColumn="0" w:noHBand="0" w:noVBand="1"/>
      </w:tblPr>
      <w:tblGrid>
        <w:gridCol w:w="2694"/>
        <w:gridCol w:w="6378"/>
      </w:tblGrid>
      <w:tr w:rsidR="0074654C" w:rsidTr="0074654C">
        <w:tc>
          <w:tcPr>
            <w:tcW w:w="2694" w:type="dxa"/>
            <w:shd w:val="clear" w:color="auto" w:fill="C4BC96" w:themeFill="background2" w:themeFillShade="BF"/>
          </w:tcPr>
          <w:p w:rsidR="0074654C" w:rsidRDefault="0074654C" w:rsidP="009E0A50">
            <w:pPr>
              <w:jc w:val="left"/>
            </w:pPr>
            <w:r>
              <w:t>Technology option</w:t>
            </w:r>
            <w:r w:rsidR="00B326FF">
              <w:t>s</w:t>
            </w:r>
          </w:p>
        </w:tc>
        <w:tc>
          <w:tcPr>
            <w:tcW w:w="6378" w:type="dxa"/>
            <w:shd w:val="clear" w:color="auto" w:fill="C4BC96" w:themeFill="background2" w:themeFillShade="BF"/>
          </w:tcPr>
          <w:p w:rsidR="0074654C" w:rsidRDefault="0074654C" w:rsidP="009E0A50">
            <w:pPr>
              <w:jc w:val="left"/>
            </w:pPr>
            <w:r>
              <w:t>Option description</w:t>
            </w:r>
          </w:p>
        </w:tc>
      </w:tr>
      <w:tr w:rsidR="0074654C" w:rsidTr="0074654C">
        <w:tc>
          <w:tcPr>
            <w:tcW w:w="2694" w:type="dxa"/>
          </w:tcPr>
          <w:p w:rsidR="00E77454" w:rsidRPr="00E77454" w:rsidRDefault="00E77454" w:rsidP="00E77454">
            <w:pPr>
              <w:jc w:val="left"/>
            </w:pPr>
            <w:r w:rsidRPr="00E77454">
              <w:t>Aquifer Storage and Recovery (ASR)</w:t>
            </w:r>
          </w:p>
          <w:p w:rsidR="0074654C" w:rsidRPr="0074654C" w:rsidRDefault="0074654C" w:rsidP="009E0A50">
            <w:pPr>
              <w:jc w:val="left"/>
            </w:pPr>
          </w:p>
        </w:tc>
        <w:tc>
          <w:tcPr>
            <w:tcW w:w="6378" w:type="dxa"/>
          </w:tcPr>
          <w:p w:rsidR="0074654C" w:rsidRDefault="001C34FC" w:rsidP="009E0A50">
            <w:pPr>
              <w:jc w:val="left"/>
            </w:pPr>
            <w:r>
              <w:rPr>
                <w:lang w:val="en"/>
              </w:rPr>
              <w:t>T</w:t>
            </w:r>
            <w:r w:rsidRPr="001C34FC">
              <w:rPr>
                <w:lang w:val="en"/>
              </w:rPr>
              <w:t xml:space="preserve">he re-injection of potable water back into an </w:t>
            </w:r>
            <w:hyperlink r:id="rId8" w:tooltip="Aquifer" w:history="1">
              <w:r w:rsidRPr="001C34FC">
                <w:rPr>
                  <w:rStyle w:val="Hyperlink"/>
                  <w:color w:val="auto"/>
                  <w:u w:val="none"/>
                  <w:lang w:val="en"/>
                </w:rPr>
                <w:t>aquifer</w:t>
              </w:r>
            </w:hyperlink>
            <w:r w:rsidRPr="001C34FC">
              <w:rPr>
                <w:lang w:val="en"/>
              </w:rPr>
              <w:t xml:space="preserve"> for later recovery and use. ASR has been done for municipal, industry and agriculture use.</w:t>
            </w:r>
          </w:p>
        </w:tc>
      </w:tr>
      <w:tr w:rsidR="0074654C" w:rsidTr="0074654C">
        <w:tc>
          <w:tcPr>
            <w:tcW w:w="2694" w:type="dxa"/>
          </w:tcPr>
          <w:p w:rsidR="00E77454" w:rsidRPr="00E77454" w:rsidRDefault="00E77454" w:rsidP="00E77454">
            <w:pPr>
              <w:jc w:val="left"/>
            </w:pPr>
            <w:r w:rsidRPr="00E77454">
              <w:t>Aquifer Storage Transfer &amp; Recovery (ASTR)</w:t>
            </w:r>
          </w:p>
          <w:p w:rsidR="00E77454" w:rsidRPr="00E77454" w:rsidRDefault="00E77454" w:rsidP="00E77454">
            <w:pPr>
              <w:jc w:val="left"/>
            </w:pPr>
          </w:p>
          <w:p w:rsidR="0074654C" w:rsidRPr="0074654C" w:rsidRDefault="0074654C" w:rsidP="009E0A50">
            <w:pPr>
              <w:jc w:val="left"/>
            </w:pPr>
          </w:p>
        </w:tc>
        <w:tc>
          <w:tcPr>
            <w:tcW w:w="6378" w:type="dxa"/>
          </w:tcPr>
          <w:p w:rsidR="0074654C" w:rsidRDefault="001C34FC" w:rsidP="009E0A50">
            <w:pPr>
              <w:jc w:val="left"/>
            </w:pPr>
            <w:r>
              <w:t>P</w:t>
            </w:r>
            <w:r w:rsidRPr="001C34FC">
              <w:t xml:space="preserve">rocess for converting </w:t>
            </w:r>
            <w:proofErr w:type="spellStart"/>
            <w:r w:rsidRPr="001C34FC">
              <w:t>stormwater</w:t>
            </w:r>
            <w:proofErr w:type="spellEnd"/>
            <w:r w:rsidRPr="001C34FC">
              <w:t xml:space="preserve"> into water of drinkable quality. The technique involves injecting </w:t>
            </w:r>
            <w:proofErr w:type="spellStart"/>
            <w:r w:rsidRPr="001C34FC">
              <w:t>stormwater</w:t>
            </w:r>
            <w:proofErr w:type="spellEnd"/>
            <w:r w:rsidRPr="001C34FC">
              <w:t>, which was treated by being passed through a reed bed or wetland, into an aquifer. The water, stored in darkened conditions for a prolonged period, becomes potable by natural processes.</w:t>
            </w:r>
          </w:p>
        </w:tc>
      </w:tr>
      <w:tr w:rsidR="0074654C" w:rsidRPr="0074654C" w:rsidTr="0074654C">
        <w:tc>
          <w:tcPr>
            <w:tcW w:w="2694" w:type="dxa"/>
          </w:tcPr>
          <w:p w:rsidR="00E77454" w:rsidRPr="00E77454" w:rsidRDefault="00E77454" w:rsidP="00E77454">
            <w:pPr>
              <w:jc w:val="left"/>
            </w:pPr>
            <w:r w:rsidRPr="00E77454">
              <w:t>Dune Filtration</w:t>
            </w:r>
          </w:p>
          <w:p w:rsidR="0074654C" w:rsidRPr="0074654C" w:rsidRDefault="0074654C" w:rsidP="00B17B6B">
            <w:pPr>
              <w:jc w:val="left"/>
            </w:pPr>
          </w:p>
        </w:tc>
        <w:tc>
          <w:tcPr>
            <w:tcW w:w="6378" w:type="dxa"/>
          </w:tcPr>
          <w:p w:rsidR="00B17B6B" w:rsidRPr="00B17B6B" w:rsidRDefault="00B17B6B" w:rsidP="00B17B6B">
            <w:pPr>
              <w:jc w:val="left"/>
              <w:rPr>
                <w:iCs/>
              </w:rPr>
            </w:pPr>
            <w:r w:rsidRPr="00B17B6B">
              <w:rPr>
                <w:iCs/>
              </w:rPr>
              <w:t>The infiltration of water through a sand dune and extraction</w:t>
            </w:r>
          </w:p>
          <w:p w:rsidR="0074654C" w:rsidRPr="0074654C" w:rsidRDefault="00B17B6B" w:rsidP="00B17B6B">
            <w:pPr>
              <w:jc w:val="left"/>
            </w:pPr>
            <w:proofErr w:type="gramStart"/>
            <w:r w:rsidRPr="00B17B6B">
              <w:rPr>
                <w:iCs/>
              </w:rPr>
              <w:t>from</w:t>
            </w:r>
            <w:proofErr w:type="gramEnd"/>
            <w:r w:rsidRPr="00B17B6B">
              <w:rPr>
                <w:iCs/>
              </w:rPr>
              <w:t xml:space="preserve"> boreholes, wells or ponds at a lower elevation for</w:t>
            </w:r>
            <w:r>
              <w:rPr>
                <w:iCs/>
              </w:rPr>
              <w:t xml:space="preserve"> </w:t>
            </w:r>
            <w:r w:rsidRPr="00B17B6B">
              <w:rPr>
                <w:iCs/>
              </w:rPr>
              <w:t>water quality improvement and to balance supply and</w:t>
            </w:r>
            <w:r>
              <w:rPr>
                <w:iCs/>
              </w:rPr>
              <w:t xml:space="preserve"> </w:t>
            </w:r>
            <w:r w:rsidRPr="00B17B6B">
              <w:rPr>
                <w:iCs/>
              </w:rPr>
              <w:t>demand.</w:t>
            </w:r>
          </w:p>
        </w:tc>
      </w:tr>
      <w:tr w:rsidR="00B17B6B" w:rsidRPr="0074654C" w:rsidTr="0074654C">
        <w:tc>
          <w:tcPr>
            <w:tcW w:w="2694" w:type="dxa"/>
          </w:tcPr>
          <w:p w:rsidR="00B17B6B" w:rsidRPr="00B17B6B" w:rsidRDefault="00B17B6B" w:rsidP="00B17B6B">
            <w:pPr>
              <w:jc w:val="left"/>
            </w:pPr>
            <w:r w:rsidRPr="00B17B6B">
              <w:t>Infiltration Basins</w:t>
            </w:r>
          </w:p>
          <w:p w:rsidR="00B17B6B" w:rsidRPr="00E77454" w:rsidRDefault="00B17B6B" w:rsidP="00E77454">
            <w:pPr>
              <w:jc w:val="left"/>
            </w:pPr>
          </w:p>
        </w:tc>
        <w:tc>
          <w:tcPr>
            <w:tcW w:w="6378" w:type="dxa"/>
          </w:tcPr>
          <w:p w:rsidR="00B17B6B" w:rsidRPr="00B17B6B" w:rsidRDefault="00B17B6B" w:rsidP="00B17B6B">
            <w:pPr>
              <w:jc w:val="left"/>
            </w:pPr>
            <w:r w:rsidRPr="00B17B6B">
              <w:rPr>
                <w:iCs/>
              </w:rPr>
              <w:t>Basins constructed in sand or gravel aquifers. Surface water is diverted to the basins and allowed to infiltrate through an unsaturated zone to the underlying unconfined aquifer.</w:t>
            </w:r>
          </w:p>
        </w:tc>
      </w:tr>
      <w:tr w:rsidR="00B17B6B" w:rsidRPr="0074654C" w:rsidTr="0074654C">
        <w:tc>
          <w:tcPr>
            <w:tcW w:w="2694" w:type="dxa"/>
          </w:tcPr>
          <w:p w:rsidR="00B17B6B" w:rsidRPr="00E77454" w:rsidRDefault="00B17B6B" w:rsidP="00E77454">
            <w:pPr>
              <w:jc w:val="left"/>
            </w:pPr>
            <w:r w:rsidRPr="00B17B6B">
              <w:t>Percolation Tank</w:t>
            </w:r>
          </w:p>
        </w:tc>
        <w:tc>
          <w:tcPr>
            <w:tcW w:w="6378" w:type="dxa"/>
          </w:tcPr>
          <w:p w:rsidR="00B17B6B" w:rsidRPr="00B17B6B" w:rsidRDefault="00B17B6B" w:rsidP="00B17B6B">
            <w:pPr>
              <w:jc w:val="left"/>
            </w:pPr>
            <w:r w:rsidRPr="00B17B6B">
              <w:rPr>
                <w:iCs/>
              </w:rPr>
              <w:t>Normally built in ephemeral streams, the percolation tank stores surface water allowing it to infiltrate into the underlying unconfined aquifers. The recharged water is then extracted down-gradient via wells or boreholes.</w:t>
            </w:r>
          </w:p>
        </w:tc>
      </w:tr>
    </w:tbl>
    <w:p w:rsidR="0074654C" w:rsidRPr="0074654C" w:rsidRDefault="0074654C" w:rsidP="009E0A50">
      <w:pPr>
        <w:jc w:val="left"/>
      </w:pPr>
    </w:p>
    <w:p w:rsidR="0074654C" w:rsidRDefault="0074654C" w:rsidP="009E0A50">
      <w:pPr>
        <w:jc w:val="left"/>
      </w:pPr>
    </w:p>
    <w:p w:rsidR="00F264E7" w:rsidRDefault="00F264E7" w:rsidP="00AA7B9F">
      <w:pPr>
        <w:pStyle w:val="Heading1"/>
      </w:pPr>
      <w:r>
        <w:t xml:space="preserve">Contribution </w:t>
      </w:r>
      <w:r w:rsidR="00CB5261">
        <w:t>to climate change adaptation</w:t>
      </w:r>
    </w:p>
    <w:p w:rsidR="00F264E7" w:rsidRDefault="00F264E7" w:rsidP="00F264E7"/>
    <w:p w:rsidR="00E77454" w:rsidRDefault="00E77454" w:rsidP="00E77454">
      <w:r w:rsidRPr="00E77454">
        <w:t>Groundwater recharge has been used to prevent the decline in groundwater level and to preserve the groundwater resource for future use.</w:t>
      </w:r>
      <w:r>
        <w:t xml:space="preserve"> </w:t>
      </w:r>
      <w:r w:rsidRPr="00E77454">
        <w:t>Compared to conventional surface water storage, aquifer</w:t>
      </w:r>
      <w:r>
        <w:t xml:space="preserve"> </w:t>
      </w:r>
      <w:r w:rsidRPr="00E77454">
        <w:t>recharge has many advantages, such as negligible evaporation, little secondary contamination by animals, and no algal blooming. This technology help store water resources in a sustainable manner for future use.</w:t>
      </w:r>
    </w:p>
    <w:p w:rsidR="00B17B6B" w:rsidRDefault="00B17B6B" w:rsidP="00E77454"/>
    <w:p w:rsidR="00B17B6B" w:rsidRPr="00E77454" w:rsidRDefault="00B17B6B" w:rsidP="00E77454"/>
    <w:p w:rsidR="00CB5261" w:rsidRDefault="00CB5261" w:rsidP="00F264E7"/>
    <w:p w:rsidR="00CB5261" w:rsidRDefault="00CB5261" w:rsidP="00CB5261">
      <w:pPr>
        <w:pStyle w:val="Heading1"/>
      </w:pPr>
      <w:r>
        <w:lastRenderedPageBreak/>
        <w:t xml:space="preserve">Contributions to development and </w:t>
      </w:r>
      <w:r w:rsidR="00C67E70">
        <w:t>potential beneficiaries</w:t>
      </w:r>
    </w:p>
    <w:p w:rsidR="00CB5261" w:rsidRDefault="00CB5261" w:rsidP="00CB5261"/>
    <w:p w:rsidR="00CB5261" w:rsidRDefault="00CB5261" w:rsidP="00CB5261">
      <w:r>
        <w:t>Discontinuity of water supply due to drought does affect the economy, human health and well-being and the agricultural sector. This technology provides resilience for communities to rely on poor water quality alternatives.</w:t>
      </w:r>
      <w:r w:rsidR="005140C4">
        <w:t xml:space="preserve"> </w:t>
      </w:r>
    </w:p>
    <w:p w:rsidR="00F264E7" w:rsidRPr="00F264E7" w:rsidRDefault="00F264E7" w:rsidP="00F264E7"/>
    <w:p w:rsidR="00BB2143" w:rsidRDefault="00BB2143" w:rsidP="00AA7B9F">
      <w:pPr>
        <w:pStyle w:val="Heading1"/>
      </w:pPr>
      <w:r>
        <w:t xml:space="preserve">Knowledge/capacity building </w:t>
      </w:r>
      <w:r w:rsidRPr="00BB2143">
        <w:t>requirements</w:t>
      </w:r>
    </w:p>
    <w:p w:rsidR="00E77454" w:rsidRPr="00E77454" w:rsidRDefault="00E77454" w:rsidP="00E77454"/>
    <w:p w:rsidR="00E77454" w:rsidRDefault="00E77454" w:rsidP="00E77454">
      <w:pPr>
        <w:jc w:val="left"/>
      </w:pPr>
      <w:r>
        <w:t xml:space="preserve">General knowledge and capacity requirements are: </w:t>
      </w:r>
    </w:p>
    <w:p w:rsidR="00E77454" w:rsidRDefault="00E77454" w:rsidP="00E77454">
      <w:pPr>
        <w:jc w:val="left"/>
      </w:pPr>
    </w:p>
    <w:p w:rsidR="00E77454" w:rsidRDefault="00E77454" w:rsidP="00E77454">
      <w:r>
        <w:t>Human resources: Implementation of water reclamation and reuse approaches requires the strengthening of local water and wastewater personnel’s technical and managerial ability to evaluate limitations of current practice, potential benefits and requirements of wastewater reuse as well as the fostering of their capability to implement new programs.</w:t>
      </w:r>
    </w:p>
    <w:p w:rsidR="0074654C" w:rsidRDefault="0074654C" w:rsidP="009E0A50">
      <w:pPr>
        <w:jc w:val="left"/>
      </w:pPr>
    </w:p>
    <w:p w:rsidR="00E77454" w:rsidRDefault="00E77454" w:rsidP="00E77454">
      <w:r w:rsidRPr="00E77454">
        <w:t>Policy and regulatory framework: It will be necessary for policies and legal frameworks that facilitate</w:t>
      </w:r>
      <w:r>
        <w:t xml:space="preserve"> </w:t>
      </w:r>
      <w:r w:rsidRPr="00E77454">
        <w:t>safe and appropriate reclamation and reuse programs to either be created or aligned in order to ensure the protection of human health and the environment.</w:t>
      </w:r>
    </w:p>
    <w:p w:rsidR="00E77454" w:rsidRDefault="00E77454" w:rsidP="00E77454">
      <w:pPr>
        <w:jc w:val="left"/>
      </w:pPr>
    </w:p>
    <w:p w:rsidR="00E77454" w:rsidRPr="00E77454" w:rsidRDefault="00E77454" w:rsidP="00E77454">
      <w:r w:rsidRPr="00E77454">
        <w:t>Institutions: National, regional, and local institutions will likely need to be supported in their efforts to identify ways in which they can improve effectiveness in regulating and managing water reclamation and reuse programs.</w:t>
      </w:r>
    </w:p>
    <w:p w:rsidR="00E77454" w:rsidRDefault="00E77454" w:rsidP="00E77454">
      <w:pPr>
        <w:jc w:val="left"/>
      </w:pPr>
    </w:p>
    <w:p w:rsidR="00E77454" w:rsidRPr="00E77454" w:rsidRDefault="00E77454" w:rsidP="00E77454">
      <w:r w:rsidRPr="00E77454">
        <w:t>Financing: Financing opportunities and services for water reclamation and reuse initiatives will need to be expanded in order to facilitate such initiatives. It is also likely that the capability of utilities and potential users to understand and access these services will need to be improved.</w:t>
      </w:r>
    </w:p>
    <w:p w:rsidR="00E77454" w:rsidRDefault="00E77454" w:rsidP="00E77454">
      <w:pPr>
        <w:jc w:val="left"/>
      </w:pPr>
    </w:p>
    <w:p w:rsidR="00E77454" w:rsidRPr="00E77454" w:rsidRDefault="00E77454" w:rsidP="00E77454">
      <w:r w:rsidRPr="00E77454">
        <w:t>Participation: Since public perception often determines the success or failure of water reclamation</w:t>
      </w:r>
      <w:r>
        <w:t xml:space="preserve"> </w:t>
      </w:r>
      <w:r w:rsidRPr="00E77454">
        <w:t>and reuse initiatives, civil society will need to be educated about the benefits of water reclamation</w:t>
      </w:r>
      <w:r>
        <w:t xml:space="preserve"> </w:t>
      </w:r>
      <w:r w:rsidRPr="00E77454">
        <w:t>and reuse as well as encouraged to participate in the decision-making process and implementation</w:t>
      </w:r>
      <w:r>
        <w:t xml:space="preserve"> </w:t>
      </w:r>
      <w:r w:rsidRPr="00E77454">
        <w:t>of such programs.</w:t>
      </w:r>
    </w:p>
    <w:p w:rsidR="00B326FF" w:rsidRPr="0074654C" w:rsidRDefault="00B326FF" w:rsidP="00B326FF">
      <w:pPr>
        <w:jc w:val="left"/>
      </w:pPr>
    </w:p>
    <w:p w:rsidR="009E0A50" w:rsidRDefault="009E0A50" w:rsidP="00AA7B9F">
      <w:pPr>
        <w:pStyle w:val="Heading1"/>
      </w:pPr>
      <w:r>
        <w:t>Institutional arrangements</w:t>
      </w:r>
    </w:p>
    <w:p w:rsidR="009E0A50" w:rsidRDefault="009E0A50" w:rsidP="009E0A50"/>
    <w:p w:rsidR="00505ED8" w:rsidRPr="00505ED8" w:rsidRDefault="00E77454" w:rsidP="00E77454">
      <w:r w:rsidRPr="00E77454">
        <w:t>The institutions that are most likely to be involved in water reclamation and reuse projects are those</w:t>
      </w:r>
      <w:r>
        <w:t xml:space="preserve"> </w:t>
      </w:r>
      <w:r w:rsidRPr="00E77454">
        <w:t>responsible for water supply, wastewater management, water resources management, environmental protection, public health and agriculture</w:t>
      </w:r>
      <w:r w:rsidR="00505ED8" w:rsidRPr="00505ED8">
        <w:t>.</w:t>
      </w:r>
    </w:p>
    <w:p w:rsidR="00505ED8" w:rsidRDefault="00505ED8" w:rsidP="00505ED8"/>
    <w:p w:rsidR="00BB2143" w:rsidRDefault="00BB2143" w:rsidP="00AA7B9F">
      <w:pPr>
        <w:pStyle w:val="Heading1"/>
      </w:pPr>
      <w:r w:rsidRPr="00BB2143">
        <w:t>Cost of implementation</w:t>
      </w:r>
    </w:p>
    <w:p w:rsidR="0074654C" w:rsidRDefault="0074654C" w:rsidP="009E0A50">
      <w:pPr>
        <w:jc w:val="left"/>
      </w:pPr>
    </w:p>
    <w:p w:rsidR="00E77454" w:rsidRPr="00E77454" w:rsidRDefault="00E77454" w:rsidP="00E77454">
      <w:pPr>
        <w:ind w:left="284" w:hanging="284"/>
        <w:jc w:val="left"/>
      </w:pPr>
      <w:r w:rsidRPr="00E77454">
        <w:t>Aquifer Storage and Recovery (ASR): Low to Moderate (</w:t>
      </w:r>
      <w:r w:rsidRPr="00E77454">
        <w:rPr>
          <w:i/>
          <w:iCs/>
        </w:rPr>
        <w:t>can be retrofitted to existing boreholes</w:t>
      </w:r>
      <w:r w:rsidRPr="00E77454">
        <w:t>)</w:t>
      </w:r>
    </w:p>
    <w:p w:rsidR="00E77454" w:rsidRPr="00E77454" w:rsidRDefault="00E77454" w:rsidP="00E77454">
      <w:pPr>
        <w:ind w:left="284" w:hanging="284"/>
        <w:jc w:val="left"/>
      </w:pPr>
    </w:p>
    <w:p w:rsidR="00E77454" w:rsidRPr="00E77454" w:rsidRDefault="00E77454" w:rsidP="00E77454">
      <w:pPr>
        <w:ind w:left="284" w:hanging="284"/>
        <w:jc w:val="left"/>
        <w:rPr>
          <w:i/>
          <w:iCs/>
        </w:rPr>
      </w:pPr>
      <w:r w:rsidRPr="00E77454">
        <w:t>Aquifer Storage Transfer &amp; Recovery (ASTR): Moderate to High (</w:t>
      </w:r>
      <w:r w:rsidRPr="00E77454">
        <w:rPr>
          <w:i/>
          <w:iCs/>
        </w:rPr>
        <w:t>recharge up-gradient of existing</w:t>
      </w:r>
    </w:p>
    <w:p w:rsidR="00E77454" w:rsidRPr="00E77454" w:rsidRDefault="00E77454" w:rsidP="00E77454">
      <w:pPr>
        <w:ind w:left="284" w:hanging="284"/>
        <w:jc w:val="left"/>
      </w:pPr>
      <w:proofErr w:type="gramStart"/>
      <w:r w:rsidRPr="00E77454">
        <w:rPr>
          <w:i/>
          <w:iCs/>
        </w:rPr>
        <w:t>boreholes</w:t>
      </w:r>
      <w:proofErr w:type="gramEnd"/>
      <w:r w:rsidRPr="00E77454">
        <w:t>)</w:t>
      </w:r>
    </w:p>
    <w:p w:rsidR="00E77454" w:rsidRPr="00E77454" w:rsidRDefault="00E77454" w:rsidP="00E77454">
      <w:pPr>
        <w:ind w:left="284" w:hanging="284"/>
        <w:jc w:val="left"/>
      </w:pPr>
    </w:p>
    <w:p w:rsidR="00E77454" w:rsidRPr="00E77454" w:rsidRDefault="00E77454" w:rsidP="00E77454">
      <w:pPr>
        <w:ind w:left="284" w:hanging="284"/>
        <w:jc w:val="left"/>
      </w:pPr>
      <w:r w:rsidRPr="00E77454">
        <w:t>Dune Filtration: Low (</w:t>
      </w:r>
      <w:r w:rsidRPr="00E77454">
        <w:rPr>
          <w:i/>
          <w:iCs/>
        </w:rPr>
        <w:t>only shallow wells / excavations required</w:t>
      </w:r>
      <w:r w:rsidRPr="00E77454">
        <w:t>)</w:t>
      </w:r>
    </w:p>
    <w:p w:rsidR="004F2E47" w:rsidRDefault="004F2E47" w:rsidP="002A0390">
      <w:pPr>
        <w:ind w:left="284" w:hanging="284"/>
        <w:jc w:val="left"/>
      </w:pPr>
    </w:p>
    <w:p w:rsidR="001C34FC" w:rsidRPr="001C34FC" w:rsidRDefault="001C34FC" w:rsidP="001C34FC">
      <w:pPr>
        <w:ind w:left="284" w:hanging="284"/>
        <w:jc w:val="left"/>
        <w:rPr>
          <w:i/>
          <w:iCs/>
        </w:rPr>
      </w:pPr>
      <w:r w:rsidRPr="001C34FC">
        <w:t xml:space="preserve">Infiltration Basins: Moderate </w:t>
      </w:r>
      <w:r w:rsidRPr="001C34FC">
        <w:rPr>
          <w:i/>
          <w:iCs/>
        </w:rPr>
        <w:t>(can recharge up-gradient of existing</w:t>
      </w:r>
    </w:p>
    <w:p w:rsidR="001C34FC" w:rsidRPr="001C34FC" w:rsidRDefault="001C34FC" w:rsidP="001C34FC">
      <w:pPr>
        <w:ind w:left="284" w:hanging="284"/>
        <w:jc w:val="left"/>
        <w:rPr>
          <w:i/>
          <w:iCs/>
        </w:rPr>
      </w:pPr>
      <w:proofErr w:type="gramStart"/>
      <w:r w:rsidRPr="001C34FC">
        <w:rPr>
          <w:i/>
          <w:iCs/>
        </w:rPr>
        <w:t>boreholes</w:t>
      </w:r>
      <w:proofErr w:type="gramEnd"/>
      <w:r w:rsidRPr="001C34FC">
        <w:rPr>
          <w:i/>
          <w:iCs/>
        </w:rPr>
        <w:t>)</w:t>
      </w:r>
    </w:p>
    <w:p w:rsidR="001C34FC" w:rsidRPr="001C34FC" w:rsidRDefault="001C34FC" w:rsidP="001C34FC">
      <w:pPr>
        <w:ind w:left="284" w:hanging="284"/>
        <w:jc w:val="left"/>
        <w:rPr>
          <w:i/>
          <w:iCs/>
        </w:rPr>
      </w:pPr>
    </w:p>
    <w:p w:rsidR="001C34FC" w:rsidRDefault="001C34FC" w:rsidP="001C34FC">
      <w:pPr>
        <w:ind w:left="284" w:hanging="284"/>
        <w:jc w:val="left"/>
      </w:pPr>
      <w:r w:rsidRPr="001C34FC">
        <w:t xml:space="preserve"> Percolation Tank: Low to Moderate, depending on size of dam</w:t>
      </w:r>
    </w:p>
    <w:p w:rsidR="001C34FC" w:rsidRDefault="001C34FC" w:rsidP="001C34FC">
      <w:pPr>
        <w:ind w:left="284" w:hanging="284"/>
        <w:jc w:val="left"/>
      </w:pPr>
    </w:p>
    <w:p w:rsidR="004F2E47" w:rsidRDefault="004F2E47" w:rsidP="00AA7B9F">
      <w:pPr>
        <w:pStyle w:val="Heading1"/>
      </w:pPr>
      <w:r>
        <w:t xml:space="preserve">Current status of </w:t>
      </w:r>
      <w:r w:rsidR="005140C4">
        <w:t xml:space="preserve">the diffusion of the </w:t>
      </w:r>
      <w:r>
        <w:t>technology in Namibia</w:t>
      </w:r>
    </w:p>
    <w:p w:rsidR="004F2E47" w:rsidRDefault="004F2E47" w:rsidP="004F2E47"/>
    <w:p w:rsidR="004F2E47" w:rsidRDefault="00B17B6B" w:rsidP="004F2E47">
      <w:r>
        <w:t>Combined ASR and ASTR technologies have been implemented in Windhoek.</w:t>
      </w:r>
    </w:p>
    <w:p w:rsidR="00B17B6B" w:rsidRDefault="00B17B6B" w:rsidP="004F2E47"/>
    <w:p w:rsidR="00B17B6B" w:rsidRDefault="00B17B6B" w:rsidP="00B17B6B">
      <w:r w:rsidRPr="00B17B6B">
        <w:t>The Namibian capital Windhoek has a current water use</w:t>
      </w:r>
      <w:r>
        <w:t xml:space="preserve"> </w:t>
      </w:r>
      <w:r w:rsidRPr="00B17B6B">
        <w:t>3 of ~21 Mm / annum, most of which comes from three</w:t>
      </w:r>
      <w:r>
        <w:t xml:space="preserve"> </w:t>
      </w:r>
      <w:r w:rsidRPr="00B17B6B">
        <w:t>dams. The remainder is sourced from a groundwater and</w:t>
      </w:r>
      <w:r>
        <w:t xml:space="preserve"> </w:t>
      </w:r>
      <w:r w:rsidRPr="00B17B6B">
        <w:t>reclaimed water.</w:t>
      </w:r>
      <w:r>
        <w:t xml:space="preserve"> </w:t>
      </w:r>
      <w:r w:rsidRPr="00B17B6B">
        <w:t>To improve water assurance, the city opted for artificial</w:t>
      </w:r>
      <w:r>
        <w:t xml:space="preserve"> </w:t>
      </w:r>
      <w:r w:rsidRPr="00B17B6B">
        <w:t>recharge over other options because it represented a</w:t>
      </w:r>
      <w:r>
        <w:t xml:space="preserve"> </w:t>
      </w:r>
      <w:r w:rsidRPr="00B17B6B">
        <w:t>significant cost saving with the same assurance of supply.</w:t>
      </w:r>
    </w:p>
    <w:p w:rsidR="007622E7" w:rsidRDefault="007622E7" w:rsidP="00B17B6B"/>
    <w:p w:rsidR="007622E7" w:rsidRDefault="00F12B25" w:rsidP="00F12B25">
      <w:r>
        <w:t>The purpose was to</w:t>
      </w:r>
      <w:r w:rsidRPr="00F12B25">
        <w:t xml:space="preserve"> improve water security by 'banking' surface water underground,</w:t>
      </w:r>
      <w:r>
        <w:t xml:space="preserve"> </w:t>
      </w:r>
      <w:r w:rsidRPr="00F12B25">
        <w:t xml:space="preserve">where evaporation and aquifer losses are negligible. </w:t>
      </w:r>
      <w:proofErr w:type="gramStart"/>
      <w:r w:rsidRPr="00F12B25">
        <w:t>To be able to</w:t>
      </w:r>
      <w:r>
        <w:t xml:space="preserve"> </w:t>
      </w:r>
      <w:r w:rsidRPr="00F12B25">
        <w:t>supply virtually the entire city's current use when the aquifer is full,</w:t>
      </w:r>
      <w:r>
        <w:t xml:space="preserve"> </w:t>
      </w:r>
      <w:r w:rsidRPr="00F12B25">
        <w:t>and then for it to be able to be rapidly and fully recharged</w:t>
      </w:r>
      <w:r>
        <w:t xml:space="preserve"> </w:t>
      </w:r>
      <w:r w:rsidRPr="00F12B25">
        <w:t>afterwards.</w:t>
      </w:r>
      <w:proofErr w:type="gramEnd"/>
      <w:r>
        <w:t xml:space="preserve"> </w:t>
      </w:r>
    </w:p>
    <w:p w:rsidR="00B17B6B" w:rsidRDefault="00B17B6B" w:rsidP="004F2E47"/>
    <w:p w:rsidR="00F12B25" w:rsidRPr="00F12B25" w:rsidRDefault="00F12B25" w:rsidP="00F12B25">
      <w:r w:rsidRPr="00F12B25">
        <w:t>Aquifer's sustainable yield: 1.7 Mm /annum (without artificial</w:t>
      </w:r>
      <w:r>
        <w:t xml:space="preserve"> </w:t>
      </w:r>
      <w:r w:rsidRPr="00F12B25">
        <w:t>recharge)</w:t>
      </w:r>
    </w:p>
    <w:p w:rsidR="00F12B25" w:rsidRPr="00F12B25" w:rsidRDefault="00F12B25" w:rsidP="00F12B25">
      <w:r w:rsidRPr="00F12B25">
        <w:t xml:space="preserve">3 Current artificial recharge </w:t>
      </w:r>
      <w:proofErr w:type="gramStart"/>
      <w:r w:rsidRPr="00F12B25">
        <w:t>capacity</w:t>
      </w:r>
      <w:proofErr w:type="gramEnd"/>
      <w:r w:rsidRPr="00F12B25">
        <w:t>: 2.8 Mm /annum (5 injection</w:t>
      </w:r>
      <w:r>
        <w:t xml:space="preserve"> </w:t>
      </w:r>
      <w:r w:rsidRPr="00F12B25">
        <w:t>boreholes)</w:t>
      </w:r>
    </w:p>
    <w:p w:rsidR="00F12B25" w:rsidRPr="00F12B25" w:rsidRDefault="00F12B25" w:rsidP="00F12B25">
      <w:r w:rsidRPr="00F12B25">
        <w:t>3 Target artificial recharge capacity: 8 Mm /annum (8 new injection</w:t>
      </w:r>
      <w:r>
        <w:t xml:space="preserve"> </w:t>
      </w:r>
      <w:r w:rsidRPr="00F12B25">
        <w:t>boreholes have been drilled)</w:t>
      </w:r>
    </w:p>
    <w:p w:rsidR="00F12B25" w:rsidRPr="00F12B25" w:rsidRDefault="00F12B25" w:rsidP="00F12B25">
      <w:r w:rsidRPr="00F12B25">
        <w:t xml:space="preserve">3 Current maximum </w:t>
      </w:r>
      <w:proofErr w:type="gramStart"/>
      <w:r w:rsidRPr="00F12B25">
        <w:t>yield</w:t>
      </w:r>
      <w:proofErr w:type="gramEnd"/>
      <w:r w:rsidRPr="00F12B25">
        <w:t>: 11Mm /annum (with artificial recharge)</w:t>
      </w:r>
    </w:p>
    <w:p w:rsidR="00F12B25" w:rsidRDefault="00F12B25" w:rsidP="00F12B25">
      <w:r w:rsidRPr="00F12B25">
        <w:t>3 Target yield: 19 Mm /annum (with artificial recharge)</w:t>
      </w:r>
    </w:p>
    <w:p w:rsidR="00F12B25" w:rsidRDefault="00F12B25" w:rsidP="004F2E47"/>
    <w:p w:rsidR="00F12B25" w:rsidRDefault="00F12B25" w:rsidP="004F2E47">
      <w:r>
        <w:t>The following were recorded as challenges and lessons learned</w:t>
      </w:r>
    </w:p>
    <w:p w:rsidR="00F12B25" w:rsidRDefault="00F12B25" w:rsidP="00F12B25">
      <w:pPr>
        <w:pStyle w:val="ListParagraph"/>
        <w:numPr>
          <w:ilvl w:val="0"/>
          <w:numId w:val="9"/>
        </w:numPr>
      </w:pPr>
      <w:r w:rsidRPr="00F12B25">
        <w:t>Artificial Recharge can be the most cost-effective option for</w:t>
      </w:r>
      <w:r>
        <w:t xml:space="preserve"> </w:t>
      </w:r>
      <w:r w:rsidRPr="00F12B25">
        <w:t xml:space="preserve">enhancing a city's water security </w:t>
      </w:r>
      <w:r>
        <w:t>a</w:t>
      </w:r>
      <w:r w:rsidRPr="00F12B25">
        <w:t>nd supply system.</w:t>
      </w:r>
      <w:r>
        <w:t xml:space="preserve"> </w:t>
      </w:r>
      <w:r w:rsidRPr="00F12B25">
        <w:t>Complex, fractured aquifers can be used for artificial recharge</w:t>
      </w:r>
      <w:r>
        <w:t xml:space="preserve"> </w:t>
      </w:r>
      <w:r w:rsidRPr="00F12B25">
        <w:t>provided detailed hydrogeological assessments are undertaken to</w:t>
      </w:r>
      <w:r>
        <w:t xml:space="preserve"> </w:t>
      </w:r>
      <w:r w:rsidRPr="00F12B25">
        <w:t>understand the groundwater flow system.</w:t>
      </w:r>
      <w:r>
        <w:t xml:space="preserve"> </w:t>
      </w:r>
    </w:p>
    <w:p w:rsidR="00F12B25" w:rsidRDefault="00F12B25" w:rsidP="00F12B25"/>
    <w:p w:rsidR="00F12B25" w:rsidRDefault="00F12B25" w:rsidP="00F12B25">
      <w:pPr>
        <w:pStyle w:val="ListParagraph"/>
        <w:numPr>
          <w:ilvl w:val="0"/>
          <w:numId w:val="9"/>
        </w:numPr>
      </w:pPr>
      <w:r w:rsidRPr="00F12B25">
        <w:t>Finalising agreements between the source water supplier</w:t>
      </w:r>
      <w:r>
        <w:t xml:space="preserve"> </w:t>
      </w:r>
      <w:r w:rsidRPr="00F12B25">
        <w:t>(</w:t>
      </w:r>
      <w:proofErr w:type="spellStart"/>
      <w:r w:rsidRPr="00F12B25">
        <w:t>NamWater</w:t>
      </w:r>
      <w:proofErr w:type="spellEnd"/>
      <w:r w:rsidRPr="00F12B25">
        <w:t>) and the scheme operator (City of Windhoek) delayed the</w:t>
      </w:r>
      <w:r>
        <w:t xml:space="preserve"> </w:t>
      </w:r>
      <w:r w:rsidRPr="00F12B25">
        <w:t>initial operation of the scheme. Institutional agreements are</w:t>
      </w:r>
      <w:r>
        <w:t xml:space="preserve"> </w:t>
      </w:r>
      <w:r w:rsidRPr="00F12B25">
        <w:t>commonly the greatest impediment to implementing artificial</w:t>
      </w:r>
      <w:r>
        <w:t xml:space="preserve"> </w:t>
      </w:r>
      <w:r w:rsidRPr="00F12B25">
        <w:t>recharge schemes.</w:t>
      </w:r>
    </w:p>
    <w:p w:rsidR="00F12B25" w:rsidRPr="004F2E47" w:rsidRDefault="00F12B25" w:rsidP="004F2E47"/>
    <w:p w:rsidR="00BB2143" w:rsidRDefault="00BB2143" w:rsidP="00AA7B9F">
      <w:pPr>
        <w:pStyle w:val="Heading1"/>
      </w:pPr>
      <w:r w:rsidRPr="00BB2143">
        <w:t>Opportunities and barriers</w:t>
      </w:r>
    </w:p>
    <w:p w:rsidR="00BF6F5E" w:rsidRDefault="00BF6F5E" w:rsidP="00BF6F5E"/>
    <w:p w:rsidR="001C34FC" w:rsidRDefault="001C34FC" w:rsidP="001C34FC">
      <w:r w:rsidRPr="001C34FC">
        <w:t>Groundwater recharge has been used to prevent the decline in groundwater level and to preserve the</w:t>
      </w:r>
      <w:r>
        <w:t xml:space="preserve"> </w:t>
      </w:r>
      <w:r w:rsidRPr="001C34FC">
        <w:t>groundwater resource for future use. Compared to conventional surface water storage, aquifer</w:t>
      </w:r>
      <w:r>
        <w:t xml:space="preserve"> </w:t>
      </w:r>
      <w:r w:rsidRPr="001C34FC">
        <w:t>recharge has many advantages, such as negligible evaporation, little secondary contamination by</w:t>
      </w:r>
      <w:r>
        <w:t xml:space="preserve"> </w:t>
      </w:r>
      <w:r w:rsidRPr="001C34FC">
        <w:t>animals, and no algal blooming.</w:t>
      </w:r>
    </w:p>
    <w:p w:rsidR="001C34FC" w:rsidRDefault="001C34FC" w:rsidP="001C34FC"/>
    <w:p w:rsidR="001C34FC" w:rsidRPr="001C34FC" w:rsidRDefault="001C34FC" w:rsidP="001C34FC">
      <w:r w:rsidRPr="001C34FC">
        <w:t>It is also less costly because no pipeline construction is required.</w:t>
      </w:r>
    </w:p>
    <w:p w:rsidR="001C34FC" w:rsidRPr="001C34FC" w:rsidRDefault="001C34FC" w:rsidP="001C34FC"/>
    <w:p w:rsidR="001C34FC" w:rsidRDefault="001C34FC" w:rsidP="001C34FC">
      <w:r w:rsidRPr="001C34FC">
        <w:t>Groundwater recharge with reclaimed water presents various</w:t>
      </w:r>
      <w:r>
        <w:t xml:space="preserve"> </w:t>
      </w:r>
      <w:r w:rsidRPr="001C34FC">
        <w:t>health concerns when water is extracted from a collection well and used for irrigation or other</w:t>
      </w:r>
      <w:r>
        <w:t xml:space="preserve"> </w:t>
      </w:r>
      <w:r w:rsidRPr="001C34FC">
        <w:t>purposes</w:t>
      </w:r>
      <w:r>
        <w:t>.</w:t>
      </w:r>
    </w:p>
    <w:p w:rsidR="00BF69EA" w:rsidRDefault="00BF69EA" w:rsidP="001C34FC"/>
    <w:p w:rsidR="00BF69EA" w:rsidRDefault="00BF69EA" w:rsidP="00D4664A">
      <w:pPr>
        <w:pStyle w:val="Heading1"/>
      </w:pPr>
      <w:r>
        <w:t>Ref</w:t>
      </w:r>
      <w:bookmarkStart w:id="0" w:name="_GoBack"/>
      <w:bookmarkEnd w:id="0"/>
      <w:r>
        <w:t>erences</w:t>
      </w:r>
    </w:p>
    <w:p w:rsidR="00BF69EA" w:rsidRDefault="00BF69EA" w:rsidP="001C34FC"/>
    <w:p w:rsidR="00BF69EA" w:rsidRDefault="00BF69EA" w:rsidP="00BF69EA">
      <w:proofErr w:type="gramStart"/>
      <w:r w:rsidRPr="00BF69EA">
        <w:t>DWA</w:t>
      </w:r>
      <w:r>
        <w:t xml:space="preserve"> (</w:t>
      </w:r>
      <w:r w:rsidRPr="00BF69EA">
        <w:t>2010</w:t>
      </w:r>
      <w:r>
        <w:t>)</w:t>
      </w:r>
      <w:r w:rsidRPr="00BF69EA">
        <w:t>.</w:t>
      </w:r>
      <w:proofErr w:type="gramEnd"/>
      <w:r w:rsidRPr="00BF69EA">
        <w:t xml:space="preserve"> </w:t>
      </w:r>
      <w:proofErr w:type="gramStart"/>
      <w:r w:rsidRPr="00BF69EA">
        <w:t>Strategy and Guideline Development for National Groundwater Planning</w:t>
      </w:r>
      <w:r>
        <w:t xml:space="preserve"> </w:t>
      </w:r>
      <w:r w:rsidRPr="00BF69EA">
        <w:t>Requirements.</w:t>
      </w:r>
      <w:proofErr w:type="gramEnd"/>
      <w:r w:rsidRPr="00BF69EA">
        <w:t xml:space="preserve"> </w:t>
      </w:r>
      <w:proofErr w:type="gramStart"/>
      <w:r w:rsidRPr="00BF69EA">
        <w:t>Water Banking: A practical guide to using Artificial Groundwater Recharge</w:t>
      </w:r>
      <w:r>
        <w:t>.</w:t>
      </w:r>
      <w:proofErr w:type="gramEnd"/>
      <w:r>
        <w:t xml:space="preserve"> </w:t>
      </w:r>
      <w:proofErr w:type="gramStart"/>
      <w:r>
        <w:t>Department of Water Affairs (DWA), South Africa.</w:t>
      </w:r>
      <w:proofErr w:type="gramEnd"/>
    </w:p>
    <w:p w:rsidR="00BF69EA" w:rsidRDefault="00BF69EA" w:rsidP="00BF69EA"/>
    <w:p w:rsidR="00BF69EA" w:rsidRPr="00BF69EA" w:rsidRDefault="00BF69EA" w:rsidP="00BF69EA">
      <w:r w:rsidRPr="00BF69EA">
        <w:t xml:space="preserve">Elliott, M., Armstrong, A., </w:t>
      </w:r>
      <w:proofErr w:type="spellStart"/>
      <w:r w:rsidRPr="00BF69EA">
        <w:t>Lobuglio</w:t>
      </w:r>
      <w:proofErr w:type="spellEnd"/>
      <w:r w:rsidRPr="00BF69EA">
        <w:t xml:space="preserve">, J. and Bartram J. (2011) Technologies for climate change adaptation – The water sector. </w:t>
      </w:r>
      <w:proofErr w:type="gramStart"/>
      <w:r w:rsidRPr="00BF69EA">
        <w:t>United Nations Environmental Programme (UNEP).</w:t>
      </w:r>
      <w:proofErr w:type="gramEnd"/>
      <w:r w:rsidRPr="00BF69EA">
        <w:t xml:space="preserve"> [Available from </w:t>
      </w:r>
      <w:hyperlink r:id="rId9" w:history="1">
        <w:r w:rsidRPr="00BF69EA">
          <w:rPr>
            <w:rStyle w:val="Hyperlink"/>
          </w:rPr>
          <w:t>http://www.tech-action.org/Publications/TNA-Guidebooks</w:t>
        </w:r>
      </w:hyperlink>
      <w:r w:rsidRPr="00BF69EA">
        <w:t xml:space="preserve">] </w:t>
      </w:r>
    </w:p>
    <w:p w:rsidR="00BF69EA" w:rsidRDefault="00BF69EA" w:rsidP="00BF69EA"/>
    <w:p w:rsidR="00BF69EA" w:rsidRDefault="00BF69EA" w:rsidP="00BF69EA"/>
    <w:sectPr w:rsidR="00BF69EA" w:rsidSect="0074654C">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22E" w:rsidRDefault="006B722E" w:rsidP="002A0390">
      <w:pPr>
        <w:spacing w:line="240" w:lineRule="auto"/>
      </w:pPr>
      <w:r>
        <w:separator/>
      </w:r>
    </w:p>
  </w:endnote>
  <w:endnote w:type="continuationSeparator" w:id="0">
    <w:p w:rsidR="006B722E" w:rsidRDefault="006B722E" w:rsidP="002A03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9517099"/>
      <w:docPartObj>
        <w:docPartGallery w:val="Page Numbers (Bottom of Page)"/>
        <w:docPartUnique/>
      </w:docPartObj>
    </w:sdtPr>
    <w:sdtEndPr>
      <w:rPr>
        <w:noProof/>
      </w:rPr>
    </w:sdtEndPr>
    <w:sdtContent>
      <w:p w:rsidR="002A0390" w:rsidRDefault="002A0390">
        <w:pPr>
          <w:pStyle w:val="Footer"/>
          <w:jc w:val="center"/>
        </w:pPr>
        <w:r>
          <w:fldChar w:fldCharType="begin"/>
        </w:r>
        <w:r>
          <w:instrText xml:space="preserve"> PAGE   \* MERGEFORMAT </w:instrText>
        </w:r>
        <w:r>
          <w:fldChar w:fldCharType="separate"/>
        </w:r>
        <w:r w:rsidR="00D4664A">
          <w:rPr>
            <w:noProof/>
          </w:rPr>
          <w:t>4</w:t>
        </w:r>
        <w:r>
          <w:rPr>
            <w:noProof/>
          </w:rPr>
          <w:fldChar w:fldCharType="end"/>
        </w:r>
      </w:p>
    </w:sdtContent>
  </w:sdt>
  <w:p w:rsidR="002A0390" w:rsidRDefault="002A03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22E" w:rsidRDefault="006B722E" w:rsidP="002A0390">
      <w:pPr>
        <w:spacing w:line="240" w:lineRule="auto"/>
      </w:pPr>
      <w:r>
        <w:separator/>
      </w:r>
    </w:p>
  </w:footnote>
  <w:footnote w:type="continuationSeparator" w:id="0">
    <w:p w:rsidR="006B722E" w:rsidRDefault="006B722E" w:rsidP="002A039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61C6"/>
    <w:multiLevelType w:val="hybridMultilevel"/>
    <w:tmpl w:val="697C1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A30733"/>
    <w:multiLevelType w:val="hybridMultilevel"/>
    <w:tmpl w:val="41CA5284"/>
    <w:lvl w:ilvl="0" w:tplc="0A98D364">
      <w:start w:val="1"/>
      <w:numFmt w:val="decimal"/>
      <w:lvlText w:val="2.4.%1"/>
      <w:lvlJc w:val="center"/>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C7270C"/>
    <w:multiLevelType w:val="hybridMultilevel"/>
    <w:tmpl w:val="70BC5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C33682"/>
    <w:multiLevelType w:val="hybridMultilevel"/>
    <w:tmpl w:val="A1EC5ABE"/>
    <w:lvl w:ilvl="0" w:tplc="FFFFFFFF">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2D50279"/>
    <w:multiLevelType w:val="multilevel"/>
    <w:tmpl w:val="7432061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sz w:val="24"/>
        <w:szCs w:val="24"/>
      </w:rPr>
    </w:lvl>
    <w:lvl w:ilvl="2">
      <w:start w:val="1"/>
      <w:numFmt w:val="decimal"/>
      <w:lvlText w:val="%1.%2.%3"/>
      <w:lvlJc w:val="left"/>
      <w:pPr>
        <w:ind w:left="720" w:hanging="720"/>
      </w:pPr>
      <w:rPr>
        <w:rFonts w:hint="default"/>
        <w:b/>
        <w:i/>
        <w:color w:val="auto"/>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28FF008E"/>
    <w:multiLevelType w:val="hybridMultilevel"/>
    <w:tmpl w:val="8A30CB5A"/>
    <w:lvl w:ilvl="0" w:tplc="BE88F65C">
      <w:start w:val="1"/>
      <w:numFmt w:val="decimal"/>
      <w:lvlText w:val="3.2.%1."/>
      <w:lvlJc w:val="center"/>
      <w:pPr>
        <w:ind w:left="1004" w:hanging="360"/>
      </w:pPr>
      <w:rPr>
        <w:rFonts w:hint="default"/>
        <w:b/>
        <w:bCs w:val="0"/>
        <w:i/>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nsid w:val="2E0A6D06"/>
    <w:multiLevelType w:val="hybridMultilevel"/>
    <w:tmpl w:val="8BF0EE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4AC3DE6"/>
    <w:multiLevelType w:val="hybridMultilevel"/>
    <w:tmpl w:val="DE6C5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1"/>
  </w:num>
  <w:num w:numId="4">
    <w:abstractNumId w:val="5"/>
  </w:num>
  <w:num w:numId="5">
    <w:abstractNumId w:val="6"/>
  </w:num>
  <w:num w:numId="6">
    <w:abstractNumId w:val="2"/>
  </w:num>
  <w:num w:numId="7">
    <w:abstractNumId w:val="0"/>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FF3"/>
    <w:rsid w:val="000401D7"/>
    <w:rsid w:val="00076B97"/>
    <w:rsid w:val="00100BB5"/>
    <w:rsid w:val="00163434"/>
    <w:rsid w:val="00184980"/>
    <w:rsid w:val="001A4486"/>
    <w:rsid w:val="001C34FC"/>
    <w:rsid w:val="00223DC6"/>
    <w:rsid w:val="00230906"/>
    <w:rsid w:val="00250C17"/>
    <w:rsid w:val="002511A5"/>
    <w:rsid w:val="002A0390"/>
    <w:rsid w:val="002A7C54"/>
    <w:rsid w:val="00314104"/>
    <w:rsid w:val="00441F6E"/>
    <w:rsid w:val="004F2E47"/>
    <w:rsid w:val="00505ED8"/>
    <w:rsid w:val="005140C4"/>
    <w:rsid w:val="00636D70"/>
    <w:rsid w:val="006B722E"/>
    <w:rsid w:val="006F3FF3"/>
    <w:rsid w:val="00744FFA"/>
    <w:rsid w:val="0074654C"/>
    <w:rsid w:val="007475B0"/>
    <w:rsid w:val="007622E7"/>
    <w:rsid w:val="008764D9"/>
    <w:rsid w:val="008F65AC"/>
    <w:rsid w:val="00910138"/>
    <w:rsid w:val="0092331A"/>
    <w:rsid w:val="009A348C"/>
    <w:rsid w:val="009E0A50"/>
    <w:rsid w:val="009E363F"/>
    <w:rsid w:val="00AA7B9F"/>
    <w:rsid w:val="00B15A3F"/>
    <w:rsid w:val="00B17B6B"/>
    <w:rsid w:val="00B326FF"/>
    <w:rsid w:val="00BB2143"/>
    <w:rsid w:val="00BF69EA"/>
    <w:rsid w:val="00BF6F5E"/>
    <w:rsid w:val="00C67E70"/>
    <w:rsid w:val="00C80F95"/>
    <w:rsid w:val="00C90E74"/>
    <w:rsid w:val="00CB5261"/>
    <w:rsid w:val="00D4664A"/>
    <w:rsid w:val="00D739F9"/>
    <w:rsid w:val="00DC1E24"/>
    <w:rsid w:val="00E77454"/>
    <w:rsid w:val="00F12B25"/>
    <w:rsid w:val="00F264E7"/>
    <w:rsid w:val="00F368A8"/>
    <w:rsid w:val="00F8221A"/>
    <w:rsid w:val="00F9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C17"/>
    <w:pPr>
      <w:spacing w:after="0"/>
      <w:jc w:val="both"/>
    </w:pPr>
    <w:rPr>
      <w:rFonts w:asciiTheme="majorHAnsi" w:hAnsiTheme="majorHAnsi" w:cs="Times New Roman"/>
      <w:lang w:eastAsia="en-GB"/>
    </w:rPr>
  </w:style>
  <w:style w:type="paragraph" w:styleId="Heading1">
    <w:name w:val="heading 1"/>
    <w:basedOn w:val="Normal"/>
    <w:next w:val="Normal"/>
    <w:link w:val="Heading1Char"/>
    <w:autoRedefine/>
    <w:uiPriority w:val="9"/>
    <w:qFormat/>
    <w:rsid w:val="009E0A50"/>
    <w:pPr>
      <w:keepNext/>
      <w:keepLines/>
      <w:numPr>
        <w:numId w:val="2"/>
      </w:numPr>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9E0A50"/>
    <w:pPr>
      <w:keepNext/>
      <w:keepLines/>
      <w:numPr>
        <w:ilvl w:val="1"/>
        <w:numId w:val="2"/>
      </w:numPr>
      <w:outlineLvl w:val="1"/>
    </w:pPr>
    <w:rPr>
      <w:rFonts w:eastAsiaTheme="majorEastAsia" w:cstheme="majorBidi"/>
      <w:b/>
      <w:bCs/>
    </w:rPr>
  </w:style>
  <w:style w:type="paragraph" w:styleId="Heading3">
    <w:name w:val="heading 3"/>
    <w:basedOn w:val="Normal"/>
    <w:next w:val="Normal"/>
    <w:link w:val="Heading3Char"/>
    <w:uiPriority w:val="9"/>
    <w:unhideWhenUsed/>
    <w:rsid w:val="000401D7"/>
    <w:pPr>
      <w:spacing w:line="240" w:lineRule="auto"/>
      <w:ind w:left="709" w:hanging="425"/>
      <w:outlineLvl w:val="2"/>
    </w:pPr>
    <w:rPr>
      <w:b/>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0A50"/>
    <w:rPr>
      <w:rFonts w:asciiTheme="majorHAnsi" w:eastAsiaTheme="majorEastAsia" w:hAnsiTheme="majorHAnsi" w:cstheme="majorBidi"/>
      <w:b/>
      <w:bCs/>
      <w:lang w:eastAsia="en-GB"/>
    </w:rPr>
  </w:style>
  <w:style w:type="character" w:customStyle="1" w:styleId="Heading1Char">
    <w:name w:val="Heading 1 Char"/>
    <w:basedOn w:val="DefaultParagraphFont"/>
    <w:link w:val="Heading1"/>
    <w:uiPriority w:val="9"/>
    <w:rsid w:val="009E0A50"/>
    <w:rPr>
      <w:rFonts w:asciiTheme="majorHAnsi" w:eastAsiaTheme="majorEastAsia" w:hAnsiTheme="majorHAnsi" w:cstheme="majorBidi"/>
      <w:b/>
      <w:bCs/>
      <w:sz w:val="28"/>
      <w:szCs w:val="28"/>
      <w:lang w:eastAsia="en-GB"/>
    </w:rPr>
  </w:style>
  <w:style w:type="character" w:customStyle="1" w:styleId="Heading3Char">
    <w:name w:val="Heading 3 Char"/>
    <w:basedOn w:val="DefaultParagraphFont"/>
    <w:link w:val="Heading3"/>
    <w:uiPriority w:val="9"/>
    <w:rsid w:val="000401D7"/>
    <w:rPr>
      <w:rFonts w:asciiTheme="majorHAnsi" w:hAnsiTheme="majorHAnsi" w:cs="Times New Roman"/>
      <w:b/>
      <w:i/>
      <w:lang w:eastAsia="en-GB"/>
    </w:rPr>
  </w:style>
  <w:style w:type="paragraph" w:styleId="ListParagraph">
    <w:name w:val="List Paragraph"/>
    <w:basedOn w:val="Normal"/>
    <w:uiPriority w:val="34"/>
    <w:qFormat/>
    <w:rsid w:val="00BB2143"/>
    <w:pPr>
      <w:ind w:left="720"/>
      <w:contextualSpacing/>
    </w:pPr>
  </w:style>
  <w:style w:type="table" w:styleId="TableGrid">
    <w:name w:val="Table Grid"/>
    <w:basedOn w:val="TableNormal"/>
    <w:uiPriority w:val="59"/>
    <w:rsid w:val="00746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0390"/>
    <w:pPr>
      <w:tabs>
        <w:tab w:val="center" w:pos="4513"/>
        <w:tab w:val="right" w:pos="9026"/>
      </w:tabs>
      <w:spacing w:line="240" w:lineRule="auto"/>
    </w:pPr>
  </w:style>
  <w:style w:type="character" w:customStyle="1" w:styleId="HeaderChar">
    <w:name w:val="Header Char"/>
    <w:basedOn w:val="DefaultParagraphFont"/>
    <w:link w:val="Header"/>
    <w:uiPriority w:val="99"/>
    <w:rsid w:val="002A0390"/>
    <w:rPr>
      <w:rFonts w:asciiTheme="majorHAnsi" w:hAnsiTheme="majorHAnsi" w:cs="Times New Roman"/>
      <w:lang w:eastAsia="en-GB"/>
    </w:rPr>
  </w:style>
  <w:style w:type="paragraph" w:styleId="Footer">
    <w:name w:val="footer"/>
    <w:basedOn w:val="Normal"/>
    <w:link w:val="FooterChar"/>
    <w:uiPriority w:val="99"/>
    <w:unhideWhenUsed/>
    <w:rsid w:val="002A0390"/>
    <w:pPr>
      <w:tabs>
        <w:tab w:val="center" w:pos="4513"/>
        <w:tab w:val="right" w:pos="9026"/>
      </w:tabs>
      <w:spacing w:line="240" w:lineRule="auto"/>
    </w:pPr>
  </w:style>
  <w:style w:type="character" w:customStyle="1" w:styleId="FooterChar">
    <w:name w:val="Footer Char"/>
    <w:basedOn w:val="DefaultParagraphFont"/>
    <w:link w:val="Footer"/>
    <w:uiPriority w:val="99"/>
    <w:rsid w:val="002A0390"/>
    <w:rPr>
      <w:rFonts w:asciiTheme="majorHAnsi" w:hAnsiTheme="majorHAnsi" w:cs="Times New Roman"/>
      <w:lang w:eastAsia="en-GB"/>
    </w:rPr>
  </w:style>
  <w:style w:type="paragraph" w:styleId="NoSpacing">
    <w:name w:val="No Spacing"/>
    <w:uiPriority w:val="1"/>
    <w:qFormat/>
    <w:rsid w:val="00AA7B9F"/>
    <w:pPr>
      <w:spacing w:after="0" w:line="240" w:lineRule="auto"/>
      <w:jc w:val="both"/>
    </w:pPr>
    <w:rPr>
      <w:rFonts w:asciiTheme="majorHAnsi" w:hAnsiTheme="majorHAnsi" w:cs="Times New Roman"/>
      <w:lang w:eastAsia="en-GB"/>
    </w:rPr>
  </w:style>
  <w:style w:type="character" w:styleId="Hyperlink">
    <w:name w:val="Hyperlink"/>
    <w:basedOn w:val="DefaultParagraphFont"/>
    <w:uiPriority w:val="99"/>
    <w:unhideWhenUsed/>
    <w:rsid w:val="001C34F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C17"/>
    <w:pPr>
      <w:spacing w:after="0"/>
      <w:jc w:val="both"/>
    </w:pPr>
    <w:rPr>
      <w:rFonts w:asciiTheme="majorHAnsi" w:hAnsiTheme="majorHAnsi" w:cs="Times New Roman"/>
      <w:lang w:eastAsia="en-GB"/>
    </w:rPr>
  </w:style>
  <w:style w:type="paragraph" w:styleId="Heading1">
    <w:name w:val="heading 1"/>
    <w:basedOn w:val="Normal"/>
    <w:next w:val="Normal"/>
    <w:link w:val="Heading1Char"/>
    <w:autoRedefine/>
    <w:uiPriority w:val="9"/>
    <w:qFormat/>
    <w:rsid w:val="009E0A50"/>
    <w:pPr>
      <w:keepNext/>
      <w:keepLines/>
      <w:numPr>
        <w:numId w:val="2"/>
      </w:numPr>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9E0A50"/>
    <w:pPr>
      <w:keepNext/>
      <w:keepLines/>
      <w:numPr>
        <w:ilvl w:val="1"/>
        <w:numId w:val="2"/>
      </w:numPr>
      <w:outlineLvl w:val="1"/>
    </w:pPr>
    <w:rPr>
      <w:rFonts w:eastAsiaTheme="majorEastAsia" w:cstheme="majorBidi"/>
      <w:b/>
      <w:bCs/>
    </w:rPr>
  </w:style>
  <w:style w:type="paragraph" w:styleId="Heading3">
    <w:name w:val="heading 3"/>
    <w:basedOn w:val="Normal"/>
    <w:next w:val="Normal"/>
    <w:link w:val="Heading3Char"/>
    <w:uiPriority w:val="9"/>
    <w:unhideWhenUsed/>
    <w:rsid w:val="000401D7"/>
    <w:pPr>
      <w:spacing w:line="240" w:lineRule="auto"/>
      <w:ind w:left="709" w:hanging="425"/>
      <w:outlineLvl w:val="2"/>
    </w:pPr>
    <w:rPr>
      <w:b/>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0A50"/>
    <w:rPr>
      <w:rFonts w:asciiTheme="majorHAnsi" w:eastAsiaTheme="majorEastAsia" w:hAnsiTheme="majorHAnsi" w:cstheme="majorBidi"/>
      <w:b/>
      <w:bCs/>
      <w:lang w:eastAsia="en-GB"/>
    </w:rPr>
  </w:style>
  <w:style w:type="character" w:customStyle="1" w:styleId="Heading1Char">
    <w:name w:val="Heading 1 Char"/>
    <w:basedOn w:val="DefaultParagraphFont"/>
    <w:link w:val="Heading1"/>
    <w:uiPriority w:val="9"/>
    <w:rsid w:val="009E0A50"/>
    <w:rPr>
      <w:rFonts w:asciiTheme="majorHAnsi" w:eastAsiaTheme="majorEastAsia" w:hAnsiTheme="majorHAnsi" w:cstheme="majorBidi"/>
      <w:b/>
      <w:bCs/>
      <w:sz w:val="28"/>
      <w:szCs w:val="28"/>
      <w:lang w:eastAsia="en-GB"/>
    </w:rPr>
  </w:style>
  <w:style w:type="character" w:customStyle="1" w:styleId="Heading3Char">
    <w:name w:val="Heading 3 Char"/>
    <w:basedOn w:val="DefaultParagraphFont"/>
    <w:link w:val="Heading3"/>
    <w:uiPriority w:val="9"/>
    <w:rsid w:val="000401D7"/>
    <w:rPr>
      <w:rFonts w:asciiTheme="majorHAnsi" w:hAnsiTheme="majorHAnsi" w:cs="Times New Roman"/>
      <w:b/>
      <w:i/>
      <w:lang w:eastAsia="en-GB"/>
    </w:rPr>
  </w:style>
  <w:style w:type="paragraph" w:styleId="ListParagraph">
    <w:name w:val="List Paragraph"/>
    <w:basedOn w:val="Normal"/>
    <w:uiPriority w:val="34"/>
    <w:qFormat/>
    <w:rsid w:val="00BB2143"/>
    <w:pPr>
      <w:ind w:left="720"/>
      <w:contextualSpacing/>
    </w:pPr>
  </w:style>
  <w:style w:type="table" w:styleId="TableGrid">
    <w:name w:val="Table Grid"/>
    <w:basedOn w:val="TableNormal"/>
    <w:uiPriority w:val="59"/>
    <w:rsid w:val="00746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0390"/>
    <w:pPr>
      <w:tabs>
        <w:tab w:val="center" w:pos="4513"/>
        <w:tab w:val="right" w:pos="9026"/>
      </w:tabs>
      <w:spacing w:line="240" w:lineRule="auto"/>
    </w:pPr>
  </w:style>
  <w:style w:type="character" w:customStyle="1" w:styleId="HeaderChar">
    <w:name w:val="Header Char"/>
    <w:basedOn w:val="DefaultParagraphFont"/>
    <w:link w:val="Header"/>
    <w:uiPriority w:val="99"/>
    <w:rsid w:val="002A0390"/>
    <w:rPr>
      <w:rFonts w:asciiTheme="majorHAnsi" w:hAnsiTheme="majorHAnsi" w:cs="Times New Roman"/>
      <w:lang w:eastAsia="en-GB"/>
    </w:rPr>
  </w:style>
  <w:style w:type="paragraph" w:styleId="Footer">
    <w:name w:val="footer"/>
    <w:basedOn w:val="Normal"/>
    <w:link w:val="FooterChar"/>
    <w:uiPriority w:val="99"/>
    <w:unhideWhenUsed/>
    <w:rsid w:val="002A0390"/>
    <w:pPr>
      <w:tabs>
        <w:tab w:val="center" w:pos="4513"/>
        <w:tab w:val="right" w:pos="9026"/>
      </w:tabs>
      <w:spacing w:line="240" w:lineRule="auto"/>
    </w:pPr>
  </w:style>
  <w:style w:type="character" w:customStyle="1" w:styleId="FooterChar">
    <w:name w:val="Footer Char"/>
    <w:basedOn w:val="DefaultParagraphFont"/>
    <w:link w:val="Footer"/>
    <w:uiPriority w:val="99"/>
    <w:rsid w:val="002A0390"/>
    <w:rPr>
      <w:rFonts w:asciiTheme="majorHAnsi" w:hAnsiTheme="majorHAnsi" w:cs="Times New Roman"/>
      <w:lang w:eastAsia="en-GB"/>
    </w:rPr>
  </w:style>
  <w:style w:type="paragraph" w:styleId="NoSpacing">
    <w:name w:val="No Spacing"/>
    <w:uiPriority w:val="1"/>
    <w:qFormat/>
    <w:rsid w:val="00AA7B9F"/>
    <w:pPr>
      <w:spacing w:after="0" w:line="240" w:lineRule="auto"/>
      <w:jc w:val="both"/>
    </w:pPr>
    <w:rPr>
      <w:rFonts w:asciiTheme="majorHAnsi" w:hAnsiTheme="majorHAnsi" w:cs="Times New Roman"/>
      <w:lang w:eastAsia="en-GB"/>
    </w:rPr>
  </w:style>
  <w:style w:type="character" w:styleId="Hyperlink">
    <w:name w:val="Hyperlink"/>
    <w:basedOn w:val="DefaultParagraphFont"/>
    <w:uiPriority w:val="99"/>
    <w:unhideWhenUsed/>
    <w:rsid w:val="001C34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73546">
      <w:bodyDiv w:val="1"/>
      <w:marLeft w:val="0"/>
      <w:marRight w:val="0"/>
      <w:marTop w:val="0"/>
      <w:marBottom w:val="0"/>
      <w:divBdr>
        <w:top w:val="none" w:sz="0" w:space="0" w:color="auto"/>
        <w:left w:val="none" w:sz="0" w:space="0" w:color="auto"/>
        <w:bottom w:val="none" w:sz="0" w:space="0" w:color="auto"/>
        <w:right w:val="none" w:sz="0" w:space="0" w:color="auto"/>
      </w:divBdr>
      <w:divsChild>
        <w:div w:id="1323461439">
          <w:marLeft w:val="0"/>
          <w:marRight w:val="0"/>
          <w:marTop w:val="0"/>
          <w:marBottom w:val="0"/>
          <w:divBdr>
            <w:top w:val="none" w:sz="0" w:space="0" w:color="auto"/>
            <w:left w:val="none" w:sz="0" w:space="0" w:color="auto"/>
            <w:bottom w:val="none" w:sz="0" w:space="0" w:color="auto"/>
            <w:right w:val="none" w:sz="0" w:space="0" w:color="auto"/>
          </w:divBdr>
          <w:divsChild>
            <w:div w:id="1893883682">
              <w:marLeft w:val="0"/>
              <w:marRight w:val="0"/>
              <w:marTop w:val="0"/>
              <w:marBottom w:val="0"/>
              <w:divBdr>
                <w:top w:val="none" w:sz="0" w:space="0" w:color="auto"/>
                <w:left w:val="none" w:sz="0" w:space="0" w:color="auto"/>
                <w:bottom w:val="none" w:sz="0" w:space="0" w:color="auto"/>
                <w:right w:val="none" w:sz="0" w:space="0" w:color="auto"/>
              </w:divBdr>
              <w:divsChild>
                <w:div w:id="1330519061">
                  <w:marLeft w:val="0"/>
                  <w:marRight w:val="0"/>
                  <w:marTop w:val="0"/>
                  <w:marBottom w:val="0"/>
                  <w:divBdr>
                    <w:top w:val="none" w:sz="0" w:space="0" w:color="auto"/>
                    <w:left w:val="none" w:sz="0" w:space="0" w:color="auto"/>
                    <w:bottom w:val="none" w:sz="0" w:space="0" w:color="auto"/>
                    <w:right w:val="none" w:sz="0" w:space="0" w:color="auto"/>
                  </w:divBdr>
                  <w:divsChild>
                    <w:div w:id="571047570">
                      <w:marLeft w:val="0"/>
                      <w:marRight w:val="0"/>
                      <w:marTop w:val="0"/>
                      <w:marBottom w:val="0"/>
                      <w:divBdr>
                        <w:top w:val="none" w:sz="0" w:space="0" w:color="auto"/>
                        <w:left w:val="none" w:sz="0" w:space="0" w:color="auto"/>
                        <w:bottom w:val="none" w:sz="0" w:space="0" w:color="auto"/>
                        <w:right w:val="none" w:sz="0" w:space="0" w:color="auto"/>
                      </w:divBdr>
                      <w:divsChild>
                        <w:div w:id="1614552834">
                          <w:marLeft w:val="0"/>
                          <w:marRight w:val="0"/>
                          <w:marTop w:val="0"/>
                          <w:marBottom w:val="0"/>
                          <w:divBdr>
                            <w:top w:val="none" w:sz="0" w:space="0" w:color="auto"/>
                            <w:left w:val="none" w:sz="0" w:space="0" w:color="auto"/>
                            <w:bottom w:val="none" w:sz="0" w:space="0" w:color="auto"/>
                            <w:right w:val="none" w:sz="0" w:space="0" w:color="auto"/>
                          </w:divBdr>
                          <w:divsChild>
                            <w:div w:id="149712816">
                              <w:marLeft w:val="0"/>
                              <w:marRight w:val="0"/>
                              <w:marTop w:val="0"/>
                              <w:marBottom w:val="0"/>
                              <w:divBdr>
                                <w:top w:val="none" w:sz="0" w:space="0" w:color="auto"/>
                                <w:left w:val="none" w:sz="0" w:space="0" w:color="auto"/>
                                <w:bottom w:val="none" w:sz="0" w:space="0" w:color="auto"/>
                                <w:right w:val="none" w:sz="0" w:space="0" w:color="auto"/>
                              </w:divBdr>
                              <w:divsChild>
                                <w:div w:id="1121993062">
                                  <w:marLeft w:val="0"/>
                                  <w:marRight w:val="0"/>
                                  <w:marTop w:val="0"/>
                                  <w:marBottom w:val="0"/>
                                  <w:divBdr>
                                    <w:top w:val="none" w:sz="0" w:space="0" w:color="auto"/>
                                    <w:left w:val="none" w:sz="0" w:space="0" w:color="auto"/>
                                    <w:bottom w:val="none" w:sz="0" w:space="0" w:color="auto"/>
                                    <w:right w:val="none" w:sz="0" w:space="0" w:color="auto"/>
                                  </w:divBdr>
                                  <w:divsChild>
                                    <w:div w:id="30489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quife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ech-action.org/Publications/TNA-Guide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1157</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CSIR</Company>
  <LinksUpToDate>false</LinksUpToDate>
  <CharactersWithSpaces>7743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TNdarana</dc:creator>
  <cp:lastModifiedBy>TNdarana</cp:lastModifiedBy>
  <cp:revision>3</cp:revision>
  <dcterms:created xsi:type="dcterms:W3CDTF">2016-02-02T13:55:00Z</dcterms:created>
  <dcterms:modified xsi:type="dcterms:W3CDTF">2016-02-02T14:09:00Z</dcterms:modified>
</cp:coreProperties>
</file>