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71D05" w14:textId="3C1F1EB1" w:rsidR="00B003DD" w:rsidRPr="004126D2" w:rsidRDefault="00CE280D" w:rsidP="00F7672C">
      <w:pPr>
        <w:spacing w:after="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1F497D"/>
          <w:sz w:val="22"/>
          <w:szCs w:val="22"/>
          <w:lang w:val="en-GB"/>
        </w:rPr>
        <w: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6"/>
        <w:gridCol w:w="1946"/>
        <w:gridCol w:w="695"/>
        <w:gridCol w:w="739"/>
        <w:gridCol w:w="4044"/>
      </w:tblGrid>
      <w:tr w:rsidR="00B003DD" w:rsidRPr="00B60582" w14:paraId="09784495" w14:textId="77777777" w:rsidTr="00DD17E8">
        <w:trPr>
          <w:trHeight w:val="613"/>
        </w:trPr>
        <w:tc>
          <w:tcPr>
            <w:tcW w:w="163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34126A1" w14:textId="77777777" w:rsidR="00B003DD" w:rsidRPr="004126D2" w:rsidRDefault="00B003DD" w:rsidP="00655EC7">
            <w:pP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Country:</w:t>
            </w:r>
          </w:p>
        </w:tc>
        <w:tc>
          <w:tcPr>
            <w:tcW w:w="194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6E6E6"/>
          </w:tcPr>
          <w:p w14:paraId="1573B1DA" w14:textId="4513917F" w:rsidR="00B003DD" w:rsidRPr="001757F8" w:rsidRDefault="00F82403" w:rsidP="00655EC7">
            <w:pPr>
              <w:tabs>
                <w:tab w:val="left" w:pos="90"/>
              </w:tabs>
              <w:spacing w:before="60" w:after="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w:t>
            </w:r>
            <w:r w:rsidR="00695521">
              <w:rPr>
                <w:rFonts w:ascii="Times New Roman" w:hAnsi="Times New Roman" w:cs="Times New Roman"/>
                <w:color w:val="000000" w:themeColor="text1"/>
                <w:sz w:val="22"/>
                <w:szCs w:val="22"/>
                <w:lang w:val="en-GB"/>
              </w:rPr>
              <w:t>Dominican Republic</w:t>
            </w:r>
          </w:p>
        </w:tc>
        <w:tc>
          <w:tcPr>
            <w:tcW w:w="695" w:type="dxa"/>
            <w:tcBorders>
              <w:left w:val="single" w:sz="4" w:space="0" w:color="1F497D" w:themeColor="text2"/>
              <w:right w:val="single" w:sz="4" w:space="0" w:color="1F497D" w:themeColor="text2"/>
            </w:tcBorders>
            <w:shd w:val="clear" w:color="auto" w:fill="auto"/>
          </w:tcPr>
          <w:p w14:paraId="127AB6FD" w14:textId="77777777"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c>
          <w:tcPr>
            <w:tcW w:w="739" w:type="dxa"/>
            <w:vMerge w:val="restart"/>
            <w:tcBorders>
              <w:top w:val="single" w:sz="4" w:space="0" w:color="1F497D" w:themeColor="text2"/>
              <w:left w:val="single" w:sz="4" w:space="0" w:color="1F497D" w:themeColor="text2"/>
              <w:right w:val="single" w:sz="4" w:space="0" w:color="1F497D" w:themeColor="text2"/>
            </w:tcBorders>
            <w:shd w:val="clear" w:color="auto" w:fill="auto"/>
          </w:tcPr>
          <w:p w14:paraId="08CAC3A2" w14:textId="77777777" w:rsidR="00B003DD" w:rsidRPr="00BA50D5" w:rsidRDefault="00B003DD" w:rsidP="00655EC7">
            <w:pPr>
              <w:tabs>
                <w:tab w:val="left" w:pos="90"/>
              </w:tabs>
              <w:spacing w:before="60" w:after="60"/>
              <w:rPr>
                <w:rFonts w:ascii="Times New Roman" w:hAnsi="Times New Roman" w:cs="Times New Roman"/>
                <w:i/>
                <w:color w:val="000000" w:themeColor="text1"/>
                <w:sz w:val="22"/>
                <w:szCs w:val="22"/>
              </w:rPr>
            </w:pPr>
            <w:r>
              <w:rPr>
                <w:rFonts w:ascii="Times New Roman" w:hAnsi="Times New Roman" w:cs="Times New Roman"/>
                <w:b/>
                <w:bCs/>
                <w:color w:val="000000" w:themeColor="text1"/>
                <w:sz w:val="22"/>
                <w:szCs w:val="22"/>
                <w:lang w:val="en-GB"/>
              </w:rPr>
              <w:t>Title:</w:t>
            </w:r>
          </w:p>
        </w:tc>
        <w:tc>
          <w:tcPr>
            <w:tcW w:w="4044"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6E6E6"/>
          </w:tcPr>
          <w:p w14:paraId="65BFC869" w14:textId="77777777" w:rsidR="00C87FFE" w:rsidRPr="00BA50D5" w:rsidRDefault="00560754" w:rsidP="00560754">
            <w:pPr>
              <w:tabs>
                <w:tab w:val="left" w:pos="90"/>
              </w:tabs>
              <w:spacing w:before="60" w:after="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 portable, pocket-sized, universal early warning system for disasters for Santo Domingo </w:t>
            </w:r>
          </w:p>
        </w:tc>
      </w:tr>
      <w:tr w:rsidR="00B003DD" w:rsidRPr="004126D2" w14:paraId="1DFEC352" w14:textId="77777777" w:rsidTr="00DD17E8">
        <w:trPr>
          <w:trHeight w:val="747"/>
        </w:trPr>
        <w:tc>
          <w:tcPr>
            <w:tcW w:w="163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65EBB2D6" w14:textId="77777777" w:rsidR="00B003DD" w:rsidRPr="004126D2" w:rsidRDefault="00B003DD" w:rsidP="00655EC7">
            <w:pP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Request Identification Number:</w:t>
            </w:r>
          </w:p>
        </w:tc>
        <w:tc>
          <w:tcPr>
            <w:tcW w:w="1946" w:type="dxa"/>
            <w:tcBorders>
              <w:top w:val="nil"/>
              <w:left w:val="single" w:sz="4" w:space="0" w:color="1F497D" w:themeColor="text2"/>
              <w:bottom w:val="single" w:sz="4" w:space="0" w:color="1F497D" w:themeColor="text2"/>
              <w:right w:val="single" w:sz="4" w:space="0" w:color="1F497D" w:themeColor="text2"/>
            </w:tcBorders>
            <w:shd w:val="clear" w:color="auto" w:fill="E6E6E6"/>
          </w:tcPr>
          <w:p w14:paraId="1E38AA1D" w14:textId="30727933" w:rsidR="00B003DD" w:rsidRPr="004126D2" w:rsidRDefault="00355F19" w:rsidP="00655EC7">
            <w:pPr>
              <w:tabs>
                <w:tab w:val="left" w:pos="90"/>
              </w:tabs>
              <w:spacing w:before="60" w:after="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2015000028</w:t>
            </w:r>
          </w:p>
        </w:tc>
        <w:tc>
          <w:tcPr>
            <w:tcW w:w="695" w:type="dxa"/>
            <w:tcBorders>
              <w:left w:val="single" w:sz="4" w:space="0" w:color="1F497D" w:themeColor="text2"/>
              <w:right w:val="single" w:sz="4" w:space="0" w:color="1F497D" w:themeColor="text2"/>
            </w:tcBorders>
            <w:shd w:val="clear" w:color="auto" w:fill="auto"/>
          </w:tcPr>
          <w:p w14:paraId="7EE2E35D" w14:textId="77777777"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c>
          <w:tcPr>
            <w:tcW w:w="739" w:type="dxa"/>
            <w:vMerge/>
            <w:tcBorders>
              <w:left w:val="single" w:sz="4" w:space="0" w:color="1F497D" w:themeColor="text2"/>
              <w:bottom w:val="single" w:sz="4" w:space="0" w:color="1F497D" w:themeColor="text2"/>
              <w:right w:val="single" w:sz="4" w:space="0" w:color="1F497D" w:themeColor="text2"/>
            </w:tcBorders>
            <w:shd w:val="clear" w:color="auto" w:fill="E6E6E6"/>
          </w:tcPr>
          <w:p w14:paraId="613955E7" w14:textId="77777777"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c>
          <w:tcPr>
            <w:tcW w:w="4044" w:type="dxa"/>
            <w:vMerge/>
            <w:tcBorders>
              <w:top w:val="nil"/>
              <w:left w:val="single" w:sz="4" w:space="0" w:color="1F497D" w:themeColor="text2"/>
              <w:bottom w:val="single" w:sz="4" w:space="0" w:color="1F497D" w:themeColor="text2"/>
              <w:right w:val="single" w:sz="4" w:space="0" w:color="1F497D" w:themeColor="text2"/>
            </w:tcBorders>
            <w:shd w:val="clear" w:color="auto" w:fill="E6E6E6"/>
          </w:tcPr>
          <w:p w14:paraId="6FA16724" w14:textId="77777777"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r>
    </w:tbl>
    <w:p w14:paraId="5197E25A" w14:textId="77777777" w:rsidR="0066390F" w:rsidRDefault="0066390F" w:rsidP="0076470C">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4126D2" w:rsidRPr="00B60582" w14:paraId="0971C0A9" w14:textId="77777777" w:rsidTr="004126D2">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4AD36E10" w14:textId="77777777" w:rsidR="004126D2" w:rsidRDefault="00F36A91" w:rsidP="004F2F27">
            <w:pP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Summary of the CTCN Technical Assistance</w:t>
            </w:r>
          </w:p>
          <w:p w14:paraId="2C322DB6" w14:textId="77777777" w:rsidR="004F2F27" w:rsidRPr="00ED4328" w:rsidRDefault="004F2F27" w:rsidP="004F2F27">
            <w:pPr>
              <w:rPr>
                <w:rFonts w:ascii="Times New Roman" w:hAnsi="Times New Roman" w:cs="Times New Roman"/>
                <w:b/>
                <w:color w:val="000000" w:themeColor="text1"/>
                <w:sz w:val="22"/>
                <w:szCs w:val="22"/>
              </w:rPr>
            </w:pPr>
          </w:p>
          <w:p w14:paraId="1C10670D" w14:textId="77777777" w:rsidR="00ED4328" w:rsidRPr="003C025A" w:rsidRDefault="00ED4328" w:rsidP="004F2F2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As part of its activities for adaptation to climate change, the Dominican Institute of Integral Development (</w:t>
            </w:r>
            <w:r>
              <w:rPr>
                <w:rFonts w:ascii="Times New Roman" w:hAnsi="Times New Roman" w:cs="Times New Roman"/>
                <w:i/>
                <w:iCs/>
                <w:color w:val="000000" w:themeColor="text1"/>
                <w:sz w:val="22"/>
                <w:szCs w:val="22"/>
                <w:lang w:val="en-GB"/>
              </w:rPr>
              <w:t>Instituto Dominicano de Desarrollo Integral</w:t>
            </w:r>
            <w:r>
              <w:rPr>
                <w:rFonts w:ascii="Times New Roman" w:hAnsi="Times New Roman" w:cs="Times New Roman"/>
                <w:color w:val="000000" w:themeColor="text1"/>
                <w:sz w:val="22"/>
                <w:szCs w:val="22"/>
                <w:lang w:val="en-GB"/>
              </w:rPr>
              <w:t xml:space="preserve">, IDDI) has embarked on an initiative to develop and implement new technology to improve access to early warnings of hydro-meteorological phenomena for residents of at-risk areas in the city of Santo Domingo. As the CTCN National Designated Entity (NDE) and in partnership with IDDI, the Ministry of Environment and Natural Resources submitted a request to CTCN for technical assistance in this area. </w:t>
            </w:r>
          </w:p>
          <w:p w14:paraId="3C4E1F96" w14:textId="77777777" w:rsidR="00ED4328" w:rsidRPr="003C025A" w:rsidRDefault="00ED4328" w:rsidP="004F2F27">
            <w:pPr>
              <w:rPr>
                <w:rFonts w:ascii="Times New Roman" w:hAnsi="Times New Roman" w:cs="Times New Roman"/>
                <w:color w:val="000000" w:themeColor="text1"/>
                <w:sz w:val="22"/>
                <w:szCs w:val="22"/>
              </w:rPr>
            </w:pPr>
          </w:p>
          <w:p w14:paraId="1C1E8A5F" w14:textId="3EB81C3F" w:rsidR="00ED4328" w:rsidRDefault="00ED4328" w:rsidP="004F2F2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This resulted in a survey mission organi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ed by IDDI and Gesellschaft für Internationale Zusammenarbeit (GIZ) to identify the key problems with Santo Domingo’s early warning system (EWS) and identify, attract the interest of and involve key actors, with the subsequent development of this response plan for the request</w:t>
            </w:r>
            <w:r w:rsidR="00876463">
              <w:rPr>
                <w:rFonts w:ascii="Times New Roman" w:hAnsi="Times New Roman" w:cs="Times New Roman"/>
                <w:color w:val="000000" w:themeColor="text1"/>
                <w:sz w:val="22"/>
                <w:szCs w:val="22"/>
                <w:lang w:val="en-GB"/>
              </w:rPr>
              <w:t xml:space="preserve"> of the Dominican Republic</w:t>
            </w:r>
            <w:r>
              <w:rPr>
                <w:rFonts w:ascii="Times New Roman" w:hAnsi="Times New Roman" w:cs="Times New Roman"/>
                <w:color w:val="000000" w:themeColor="text1"/>
                <w:sz w:val="22"/>
                <w:szCs w:val="22"/>
                <w:lang w:val="en-GB"/>
              </w:rPr>
              <w:t>.</w:t>
            </w:r>
          </w:p>
          <w:p w14:paraId="5AAF1FEC" w14:textId="77777777" w:rsidR="00ED4328" w:rsidRDefault="00ED4328" w:rsidP="004F2F27">
            <w:pPr>
              <w:rPr>
                <w:rFonts w:ascii="Times New Roman" w:hAnsi="Times New Roman" w:cs="Times New Roman"/>
                <w:color w:val="000000" w:themeColor="text1"/>
                <w:sz w:val="22"/>
                <w:szCs w:val="22"/>
              </w:rPr>
            </w:pPr>
          </w:p>
          <w:p w14:paraId="0B689088" w14:textId="77777777" w:rsidR="00ED4328" w:rsidRDefault="00ED4328" w:rsidP="004F2F2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It was found that the majority of residents of Santo Domingo do not have access to appropriate information on the risks of disasters or acute imminent dangers (especially in the poorest neighbourhoods, such as 24 de Abril, Capotillo, Domingo Savio, Espaillat, Gualey, La Zurza, Luperón, María Auxiliadora, Mejoramiento Social, Simón Bolivar, Villa Consuelo, Villa Francisca, Villa Juana and Villas Agrícolas). </w:t>
            </w:r>
          </w:p>
          <w:p w14:paraId="457D652F" w14:textId="77777777" w:rsidR="004126D2" w:rsidRPr="00ED4328" w:rsidRDefault="004126D2" w:rsidP="004F2F27">
            <w:pPr>
              <w:rPr>
                <w:rFonts w:ascii="Times New Roman" w:hAnsi="Times New Roman" w:cs="Times New Roman"/>
                <w:b/>
                <w:color w:val="000000" w:themeColor="text1"/>
                <w:sz w:val="22"/>
                <w:szCs w:val="22"/>
              </w:rPr>
            </w:pPr>
          </w:p>
          <w:p w14:paraId="769F8341" w14:textId="77777777" w:rsidR="00ED4328" w:rsidRDefault="00ED4328" w:rsidP="004F2F2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In light of this conclusion, it was proposed that the CTCN technical assistance should help to ensure the population of Santo Domingo is suitably informed of the risks of disasters in the corresponding districts and receives easy to understand and relevant warnings that allow residents to take appropriate action against imminent dangers. </w:t>
            </w:r>
          </w:p>
          <w:p w14:paraId="607B43E1" w14:textId="77777777" w:rsidR="00ED4328" w:rsidRDefault="00ED4328" w:rsidP="004F2F27">
            <w:pPr>
              <w:rPr>
                <w:rFonts w:ascii="Times New Roman" w:hAnsi="Times New Roman" w:cs="Times New Roman"/>
                <w:color w:val="000000" w:themeColor="text1"/>
                <w:sz w:val="22"/>
                <w:szCs w:val="22"/>
              </w:rPr>
            </w:pPr>
          </w:p>
          <w:p w14:paraId="73E804E6" w14:textId="77777777" w:rsidR="00ED4328" w:rsidRDefault="00ED4328" w:rsidP="004F2F2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technical assistance aims to identify, verify and validate improvements and innovations for a rapid and easy to understand EWS and information on natural disasters in terms of practical applicability, working with the actors involved and using the most vulnerable districts of Santo Domingo as a reference point. </w:t>
            </w:r>
          </w:p>
          <w:p w14:paraId="2710D68E" w14:textId="77777777" w:rsidR="00ED4328" w:rsidRDefault="00ED4328" w:rsidP="004F2F27">
            <w:pPr>
              <w:rPr>
                <w:rFonts w:ascii="Times New Roman" w:hAnsi="Times New Roman" w:cs="Times New Roman"/>
                <w:color w:val="000000" w:themeColor="text1"/>
                <w:sz w:val="22"/>
                <w:szCs w:val="22"/>
              </w:rPr>
            </w:pPr>
          </w:p>
          <w:p w14:paraId="4C03C7BF" w14:textId="5D7868E8" w:rsidR="00ED4328" w:rsidRDefault="00ED4328" w:rsidP="004F2F2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This work process will run for approximately eight months and will entail an analysis of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that impact both the area and the issue, a mapping of actors involved in these early warning systems and an analysis of the EWS processes for hydro-meteorological phenomena. A study will also be undertaken to analyse possibilities of and requirements for the introduction of new information and communication technology (ICT) for communicating early warnings to the public (especially smartphones and apps).</w:t>
            </w:r>
          </w:p>
          <w:p w14:paraId="4812D323" w14:textId="77777777" w:rsidR="00ED4328" w:rsidRDefault="00ED4328" w:rsidP="004F2F27">
            <w:pPr>
              <w:rPr>
                <w:rFonts w:ascii="Times New Roman" w:hAnsi="Times New Roman" w:cs="Times New Roman"/>
                <w:color w:val="000000" w:themeColor="text1"/>
                <w:sz w:val="22"/>
                <w:szCs w:val="22"/>
              </w:rPr>
            </w:pPr>
          </w:p>
          <w:p w14:paraId="153ABD02" w14:textId="704E2076" w:rsidR="00ED4328" w:rsidRPr="004F2F27" w:rsidRDefault="00455BBF" w:rsidP="00455BB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Based on the results of the above work process, the CTCN assistance will help identify and set out an action plan with proposals for future intervention in a consensual manner and in a way that fits and strengthens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not only in the area of the IDDI project in Santo Domingo but also extending to other threats in other regions of the Dominican Republic. The results will be presented at an international conference upon completion of the project. Donors and regional and international representatives will be invited to the conference to communicate and discuss the results and secure funding to implement the action plan that is produced.</w:t>
            </w:r>
          </w:p>
        </w:tc>
      </w:tr>
      <w:tr w:rsidR="004126D2" w:rsidRPr="00B60582" w14:paraId="3FE1427B" w14:textId="77777777" w:rsidTr="004126D2">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6E6E6"/>
          </w:tcPr>
          <w:p w14:paraId="6BF8B915" w14:textId="77777777" w:rsidR="00C87FFE" w:rsidRPr="00ED4328" w:rsidRDefault="00C87FFE" w:rsidP="00D914AB">
            <w:pPr>
              <w:spacing w:line="276" w:lineRule="auto"/>
              <w:rPr>
                <w:rFonts w:ascii="Times New Roman" w:hAnsi="Times New Roman" w:cs="Times New Roman"/>
                <w:b/>
                <w:color w:val="000000" w:themeColor="text1"/>
                <w:sz w:val="22"/>
                <w:szCs w:val="22"/>
              </w:rPr>
            </w:pPr>
          </w:p>
        </w:tc>
      </w:tr>
    </w:tbl>
    <w:p w14:paraId="3FC0393B" w14:textId="77777777" w:rsidR="004126D2" w:rsidRPr="004F2F27" w:rsidRDefault="004126D2" w:rsidP="0076470C">
      <w:pPr>
        <w:spacing w:after="0" w:line="276" w:lineRule="auto"/>
        <w:rPr>
          <w:rFonts w:ascii="Times New Roman" w:hAnsi="Times New Roman" w:cs="Times New Roman"/>
          <w:b/>
          <w:color w:val="000000" w:themeColor="text1"/>
          <w:sz w:val="22"/>
          <w:szCs w:val="22"/>
        </w:rPr>
      </w:pPr>
    </w:p>
    <w:p w14:paraId="4C607063" w14:textId="77777777" w:rsidR="006835A9" w:rsidRPr="00ED4328" w:rsidRDefault="006835A9" w:rsidP="0076470C">
      <w:pPr>
        <w:spacing w:after="0" w:line="276" w:lineRule="auto"/>
        <w:rPr>
          <w:rFonts w:ascii="Times New Roman" w:hAnsi="Times New Roman" w:cs="Times New Roman"/>
          <w:b/>
          <w:color w:val="000000" w:themeColor="text1"/>
          <w:sz w:val="22"/>
          <w:szCs w:val="22"/>
        </w:rPr>
      </w:pPr>
    </w:p>
    <w:p w14:paraId="2AC46BA5" w14:textId="77777777" w:rsidR="00B25485" w:rsidRPr="001757F8" w:rsidRDefault="00695521" w:rsidP="00695521">
      <w:pPr>
        <w:pStyle w:val="ListParagraph"/>
        <w:numPr>
          <w:ilvl w:val="0"/>
          <w:numId w:val="11"/>
        </w:numPr>
        <w:spacing w:after="0" w:line="276" w:lineRule="auto"/>
        <w:rPr>
          <w:rFonts w:ascii="Times New Roman" w:hAnsi="Times New Roman" w:cs="Times New Roman"/>
          <w:b/>
          <w:color w:val="1F497D" w:themeColor="text2"/>
        </w:rPr>
      </w:pPr>
      <w:r>
        <w:rPr>
          <w:rFonts w:ascii="Times New Roman" w:hAnsi="Times New Roman" w:cs="Times New Roman"/>
          <w:b/>
          <w:bCs/>
          <w:color w:val="1F497D" w:themeColor="text2"/>
          <w:lang w:val="en-GB"/>
        </w:rPr>
        <w:t>Overview of the CTCN technical assistance</w:t>
      </w:r>
    </w:p>
    <w:p w14:paraId="4C625F13" w14:textId="77777777" w:rsidR="0087122E" w:rsidRDefault="0087122E" w:rsidP="00AA7C62">
      <w:pPr>
        <w:spacing w:after="0" w:line="276" w:lineRule="auto"/>
        <w:rPr>
          <w:rFonts w:ascii="Times New Roman" w:hAnsi="Times New Roman" w:cs="Times New Roman"/>
          <w:color w:val="000000" w:themeColor="text1"/>
          <w:sz w:val="22"/>
          <w:szCs w:val="22"/>
        </w:rPr>
      </w:pPr>
    </w:p>
    <w:p w14:paraId="74E63656" w14:textId="77777777" w:rsidR="00AA7C62" w:rsidRPr="003C025A" w:rsidRDefault="00AA7C62" w:rsidP="00AA7C62">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As part of its activities for adaptation to climate change, the Dominican Institute of Integral Development (</w:t>
      </w:r>
      <w:r>
        <w:rPr>
          <w:rFonts w:ascii="Times New Roman" w:hAnsi="Times New Roman" w:cs="Times New Roman"/>
          <w:i/>
          <w:iCs/>
          <w:color w:val="000000" w:themeColor="text1"/>
          <w:sz w:val="22"/>
          <w:szCs w:val="22"/>
          <w:lang w:val="en-GB"/>
        </w:rPr>
        <w:t>Instituto Dominicano de Desarrollo Integral</w:t>
      </w:r>
      <w:r>
        <w:rPr>
          <w:rFonts w:ascii="Times New Roman" w:hAnsi="Times New Roman" w:cs="Times New Roman"/>
          <w:color w:val="000000" w:themeColor="text1"/>
          <w:sz w:val="22"/>
          <w:szCs w:val="22"/>
          <w:lang w:val="en-GB"/>
        </w:rPr>
        <w:t>, IDDI</w:t>
      </w:r>
      <w:r w:rsidR="002B0D61">
        <w:rPr>
          <w:rFonts w:ascii="Times New Roman" w:hAnsi="Times New Roman" w:cs="Times New Roman"/>
          <w:color w:val="000000" w:themeColor="text1"/>
          <w:sz w:val="22"/>
          <w:szCs w:val="22"/>
          <w:lang w:val="en-GB"/>
        </w:rPr>
        <w:t>)</w:t>
      </w:r>
      <w:r>
        <w:rPr>
          <w:rFonts w:ascii="Times New Roman" w:hAnsi="Times New Roman" w:cs="Times New Roman"/>
          <w:color w:val="000000" w:themeColor="text1"/>
          <w:sz w:val="22"/>
          <w:szCs w:val="22"/>
          <w:lang w:val="en-GB"/>
        </w:rPr>
        <w:t xml:space="preserve"> has embarked on an initiative to develop and implement new technology to improve access to early warnings of hydro-meteorological phenomena for residents of at-risk areas in the city of Santo Domingo. As the CTCN National Designated Entity (NDE) and in partnership with IDDI, the Ministry of Environment and Natural Resources submitted a request to CTCN for technical assistance in this area. </w:t>
      </w:r>
    </w:p>
    <w:p w14:paraId="3EBF8AA9" w14:textId="77777777" w:rsidR="00AA7C62" w:rsidRPr="003C025A" w:rsidRDefault="00AA7C62" w:rsidP="00AA7C62">
      <w:pPr>
        <w:spacing w:after="0" w:line="276" w:lineRule="auto"/>
        <w:rPr>
          <w:rFonts w:ascii="Times New Roman" w:hAnsi="Times New Roman" w:cs="Times New Roman"/>
          <w:color w:val="000000" w:themeColor="text1"/>
          <w:sz w:val="22"/>
          <w:szCs w:val="22"/>
        </w:rPr>
      </w:pPr>
    </w:p>
    <w:p w14:paraId="55375454" w14:textId="4D84D02F" w:rsidR="00B25485" w:rsidRPr="003C025A" w:rsidRDefault="00AA7C62" w:rsidP="00AA7C62">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This resulted in a survey mission organi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ed by IDDI and Gesellschaft für Internationale Zusammenarbeit (GIZ) to identify the key problems with Santo Domingo’s early warning system (EWS) and identify, attract the interest of and involve key actors, with the subsequent development of this response plan for the</w:t>
      </w:r>
      <w:r w:rsidR="00876463">
        <w:rPr>
          <w:rFonts w:ascii="Times New Roman" w:hAnsi="Times New Roman" w:cs="Times New Roman"/>
          <w:color w:val="000000" w:themeColor="text1"/>
          <w:sz w:val="22"/>
          <w:szCs w:val="22"/>
          <w:lang w:val="en-GB"/>
        </w:rPr>
        <w:t xml:space="preserve"> </w:t>
      </w:r>
      <w:r>
        <w:rPr>
          <w:rFonts w:ascii="Times New Roman" w:hAnsi="Times New Roman" w:cs="Times New Roman"/>
          <w:color w:val="000000" w:themeColor="text1"/>
          <w:sz w:val="22"/>
          <w:szCs w:val="22"/>
          <w:lang w:val="en-GB"/>
        </w:rPr>
        <w:t>request</w:t>
      </w:r>
      <w:r w:rsidR="00876463">
        <w:rPr>
          <w:rFonts w:ascii="Times New Roman" w:hAnsi="Times New Roman" w:cs="Times New Roman"/>
          <w:color w:val="000000" w:themeColor="text1"/>
          <w:sz w:val="22"/>
          <w:szCs w:val="22"/>
          <w:lang w:val="en-GB"/>
        </w:rPr>
        <w:t xml:space="preserve"> of the</w:t>
      </w:r>
      <w:r w:rsidR="00876463" w:rsidRPr="00876463">
        <w:rPr>
          <w:rFonts w:ascii="Times New Roman" w:hAnsi="Times New Roman" w:cs="Times New Roman"/>
          <w:color w:val="000000" w:themeColor="text1"/>
          <w:sz w:val="22"/>
          <w:szCs w:val="22"/>
          <w:lang w:val="en-GB"/>
        </w:rPr>
        <w:t xml:space="preserve"> </w:t>
      </w:r>
      <w:r w:rsidR="00876463">
        <w:rPr>
          <w:rFonts w:ascii="Times New Roman" w:hAnsi="Times New Roman" w:cs="Times New Roman"/>
          <w:color w:val="000000" w:themeColor="text1"/>
          <w:sz w:val="22"/>
          <w:szCs w:val="22"/>
          <w:lang w:val="en-GB"/>
        </w:rPr>
        <w:t>Dominican Republic</w:t>
      </w:r>
      <w:r>
        <w:rPr>
          <w:rFonts w:ascii="Times New Roman" w:hAnsi="Times New Roman" w:cs="Times New Roman"/>
          <w:color w:val="000000" w:themeColor="text1"/>
          <w:sz w:val="22"/>
          <w:szCs w:val="22"/>
          <w:lang w:val="en-GB"/>
        </w:rPr>
        <w:t>.</w:t>
      </w:r>
    </w:p>
    <w:p w14:paraId="46AAF9AD" w14:textId="77777777" w:rsidR="00103B24" w:rsidRPr="003C025A" w:rsidRDefault="00103B24" w:rsidP="00AA7C62">
      <w:pPr>
        <w:spacing w:after="0" w:line="276" w:lineRule="auto"/>
        <w:rPr>
          <w:rFonts w:ascii="Times New Roman" w:hAnsi="Times New Roman" w:cs="Times New Roman"/>
          <w:color w:val="000000" w:themeColor="text1"/>
          <w:sz w:val="22"/>
          <w:szCs w:val="22"/>
        </w:rPr>
      </w:pPr>
    </w:p>
    <w:p w14:paraId="28392F8D" w14:textId="77777777" w:rsidR="00103B24" w:rsidRDefault="00103B24" w:rsidP="00103B24">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It was found that the majority of residents of Santo Domingo do not have access to appropriate information on the risks of disasters or acute imminent dangers (especially in the poorest neighbourhoods, such as 24 de Abril, Capotillo, Domingo Savio, Espaillat, Gualey, La Zurza, Luperón, María Auxiliadora, Mejoramiento Social, Simón Bolivar, Villa Consuelo, Villa Francisca, Villa Juana and Villas Agrícolas). </w:t>
      </w:r>
    </w:p>
    <w:p w14:paraId="34E1F590" w14:textId="77777777" w:rsidR="00103B24" w:rsidRDefault="00103B24" w:rsidP="00103B24">
      <w:pPr>
        <w:spacing w:after="0" w:line="276" w:lineRule="auto"/>
        <w:rPr>
          <w:rFonts w:ascii="Times New Roman" w:hAnsi="Times New Roman" w:cs="Times New Roman"/>
          <w:color w:val="000000" w:themeColor="text1"/>
          <w:sz w:val="22"/>
          <w:szCs w:val="22"/>
        </w:rPr>
      </w:pPr>
    </w:p>
    <w:p w14:paraId="5B9657C6" w14:textId="77777777" w:rsidR="00103B24" w:rsidRDefault="00F52E99" w:rsidP="00E84142">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 series of positive conditions (possibilities) were also identified as a starting point for improving the aforementioned situation: </w:t>
      </w:r>
    </w:p>
    <w:p w14:paraId="31B22531" w14:textId="77777777" w:rsidR="00103B24" w:rsidRPr="00D77308" w:rsidRDefault="00103B24" w:rsidP="00D77308">
      <w:pPr>
        <w:pStyle w:val="ListParagraph"/>
        <w:numPr>
          <w:ilvl w:val="0"/>
          <w:numId w:val="20"/>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 national 24-7 system for monitoring natural phenomena </w:t>
      </w:r>
    </w:p>
    <w:p w14:paraId="1A498F9C" w14:textId="77777777" w:rsidR="00103B24" w:rsidRPr="00D77308" w:rsidRDefault="00103B24" w:rsidP="00D77308">
      <w:pPr>
        <w:pStyle w:val="ListParagraph"/>
        <w:numPr>
          <w:ilvl w:val="0"/>
          <w:numId w:val="20"/>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political will of key actors (e.g. the Technical Committee, Civil Protection) to become involved and cooperate with the technical assistance for improving the existing EWS </w:t>
      </w:r>
    </w:p>
    <w:p w14:paraId="1317201A" w14:textId="77777777" w:rsidR="00103B24" w:rsidRPr="00D77308" w:rsidRDefault="00103B24" w:rsidP="00637285">
      <w:pPr>
        <w:pStyle w:val="ListParagraph"/>
        <w:numPr>
          <w:ilvl w:val="0"/>
          <w:numId w:val="20"/>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proliferation of mobile phone technology and a stable mobile network, in accordance with to partners </w:t>
      </w:r>
    </w:p>
    <w:p w14:paraId="79374368" w14:textId="678C6F39" w:rsidR="00103B24" w:rsidRPr="00D77308" w:rsidRDefault="00B75BE0" w:rsidP="00D77308">
      <w:pPr>
        <w:pStyle w:val="ListParagraph"/>
        <w:numPr>
          <w:ilvl w:val="0"/>
          <w:numId w:val="20"/>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contracts between the state and mobile service providers to prioriti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 xml:space="preserve">e warnings and alarms. </w:t>
      </w:r>
    </w:p>
    <w:p w14:paraId="5821F54D" w14:textId="77777777" w:rsidR="00AA7C62" w:rsidRPr="00AA7C62" w:rsidRDefault="00AA7C62" w:rsidP="00AA7C62">
      <w:pPr>
        <w:spacing w:after="0" w:line="276" w:lineRule="auto"/>
        <w:rPr>
          <w:rFonts w:ascii="Times New Roman" w:hAnsi="Times New Roman" w:cs="Times New Roman"/>
          <w:b/>
          <w:color w:val="000000" w:themeColor="text1"/>
          <w:sz w:val="22"/>
          <w:szCs w:val="22"/>
        </w:rPr>
      </w:pPr>
    </w:p>
    <w:p w14:paraId="29CC6304" w14:textId="77777777" w:rsidR="00B25485" w:rsidRPr="001757F8" w:rsidRDefault="00695521" w:rsidP="00B25485">
      <w:pPr>
        <w:pStyle w:val="ListParagraph"/>
        <w:numPr>
          <w:ilvl w:val="1"/>
          <w:numId w:val="11"/>
        </w:numPr>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Objectives (outcomes)</w:t>
      </w:r>
    </w:p>
    <w:p w14:paraId="20FF5457" w14:textId="77777777" w:rsidR="0087122E" w:rsidRDefault="0087122E" w:rsidP="00E2758A">
      <w:pPr>
        <w:spacing w:after="0" w:line="276" w:lineRule="auto"/>
        <w:rPr>
          <w:rFonts w:ascii="Times New Roman" w:hAnsi="Times New Roman" w:cs="Times New Roman"/>
          <w:color w:val="000000" w:themeColor="text1"/>
          <w:sz w:val="22"/>
          <w:szCs w:val="22"/>
        </w:rPr>
      </w:pPr>
    </w:p>
    <w:p w14:paraId="7E5356CF" w14:textId="77777777" w:rsidR="00E2758A" w:rsidRDefault="00BB2701" w:rsidP="00E2758A">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In this context, it was proposed that the CTCN technical assistance should help to ensure the population of Santo Domingo is suitably informed of the risks of disasters in the corresponding districts and receives easy to understand and relevant warnings that allow residents to take appropriate action against imminent dangers. </w:t>
      </w:r>
    </w:p>
    <w:p w14:paraId="5E362ECB" w14:textId="77777777" w:rsidR="00FA1538" w:rsidRDefault="00FA1538" w:rsidP="00E2758A">
      <w:pPr>
        <w:spacing w:after="0" w:line="276" w:lineRule="auto"/>
        <w:rPr>
          <w:rFonts w:ascii="Times New Roman" w:hAnsi="Times New Roman" w:cs="Times New Roman"/>
          <w:color w:val="000000" w:themeColor="text1"/>
          <w:sz w:val="22"/>
          <w:szCs w:val="22"/>
        </w:rPr>
      </w:pPr>
    </w:p>
    <w:p w14:paraId="5FAE1BA7" w14:textId="77777777" w:rsidR="00D77308" w:rsidRDefault="00BB2701" w:rsidP="00FA1538">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technical assistance aims to identify, verify and validate improvements and innovations for a rapid and easy to understand EWS and information on natural disasters in terms of its practical applicability, working with the actors involved and using the most vulnerable districts of Santo Domingo as a reference point.</w:t>
      </w:r>
    </w:p>
    <w:p w14:paraId="3567C3D0" w14:textId="77777777" w:rsidR="00D77308" w:rsidRDefault="00D77308" w:rsidP="00FA1538">
      <w:pPr>
        <w:spacing w:after="0" w:line="276" w:lineRule="auto"/>
        <w:rPr>
          <w:rFonts w:ascii="Times New Roman" w:hAnsi="Times New Roman" w:cs="Times New Roman"/>
          <w:color w:val="000000" w:themeColor="text1"/>
          <w:sz w:val="22"/>
          <w:szCs w:val="22"/>
        </w:rPr>
      </w:pPr>
    </w:p>
    <w:p w14:paraId="68CFDCD9" w14:textId="77777777" w:rsidR="00D77308" w:rsidRDefault="00D77308" w:rsidP="00D77308">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This does not only include the assessment and possible introduction of new ICT but also improving the content of EWS messages in terms of how easy they are to understand and their call to action, as well as measures to ensure information is received on time. </w:t>
      </w:r>
    </w:p>
    <w:p w14:paraId="09586C51" w14:textId="77777777" w:rsidR="0028305A" w:rsidRDefault="0028305A" w:rsidP="00B25485">
      <w:pPr>
        <w:spacing w:after="0" w:line="276" w:lineRule="auto"/>
        <w:rPr>
          <w:rFonts w:ascii="Times New Roman" w:hAnsi="Times New Roman" w:cs="Times New Roman"/>
          <w:color w:val="000000" w:themeColor="text1"/>
          <w:sz w:val="22"/>
          <w:szCs w:val="22"/>
        </w:rPr>
      </w:pPr>
    </w:p>
    <w:p w14:paraId="20402017" w14:textId="4FC067AB" w:rsidR="00695521" w:rsidRDefault="00050605" w:rsidP="00597DB0">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lastRenderedPageBreak/>
        <w:t>The initiative covers aspects whose relevance is not confined to the Caribbean but that also extends to the wider international community. This will allow the project to serve as an example and to contribute to improving EWS access among the population of the Dominican Republic in general, as well as for non-hydro-meteorological phenomena like tsunamis.</w:t>
      </w:r>
    </w:p>
    <w:p w14:paraId="571BE2D4" w14:textId="77777777" w:rsidR="006835A9" w:rsidRDefault="006835A9" w:rsidP="00050605">
      <w:pPr>
        <w:spacing w:after="0" w:line="276" w:lineRule="auto"/>
        <w:rPr>
          <w:rFonts w:ascii="Times New Roman" w:hAnsi="Times New Roman" w:cs="Times New Roman"/>
          <w:color w:val="000000" w:themeColor="text1"/>
          <w:sz w:val="22"/>
          <w:szCs w:val="22"/>
        </w:rPr>
      </w:pPr>
    </w:p>
    <w:p w14:paraId="63D9BC00" w14:textId="77777777" w:rsidR="00B25485" w:rsidRPr="00695521" w:rsidRDefault="00B25485" w:rsidP="00B25485">
      <w:pPr>
        <w:spacing w:after="0" w:line="276" w:lineRule="auto"/>
        <w:rPr>
          <w:rFonts w:ascii="Times New Roman" w:hAnsi="Times New Roman" w:cs="Times New Roman"/>
          <w:b/>
          <w:color w:val="000000" w:themeColor="text1"/>
          <w:sz w:val="22"/>
          <w:szCs w:val="22"/>
        </w:rPr>
      </w:pPr>
    </w:p>
    <w:p w14:paraId="330E35CD" w14:textId="77777777" w:rsidR="00B25485" w:rsidRPr="00F21B90" w:rsidRDefault="00B25485" w:rsidP="00B25485">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1.2 Results (outputs)</w:t>
      </w:r>
    </w:p>
    <w:p w14:paraId="4332BF3B" w14:textId="77777777" w:rsidR="00B25485" w:rsidRPr="00F21B90" w:rsidRDefault="00B25485" w:rsidP="00B25485">
      <w:pPr>
        <w:spacing w:after="0" w:line="276" w:lineRule="auto"/>
        <w:rPr>
          <w:rFonts w:ascii="Times New Roman" w:hAnsi="Times New Roman" w:cs="Times New Roman"/>
          <w:b/>
          <w:color w:val="000000" w:themeColor="text1"/>
          <w:sz w:val="22"/>
          <w:szCs w:val="22"/>
        </w:rPr>
      </w:pPr>
    </w:p>
    <w:p w14:paraId="0CDF1866" w14:textId="2FEA524D" w:rsidR="00824FBD" w:rsidRDefault="00824FBD" w:rsidP="00824FBD">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CTCN assistance will help address open questions and lay the foundations for the design of projects that contri</w:t>
      </w:r>
      <w:r w:rsidR="00597DB0">
        <w:rPr>
          <w:rFonts w:ascii="Times New Roman" w:hAnsi="Times New Roman" w:cs="Times New Roman"/>
          <w:color w:val="000000" w:themeColor="text1"/>
          <w:sz w:val="22"/>
          <w:szCs w:val="22"/>
          <w:lang w:val="en-GB"/>
        </w:rPr>
        <w:t>bute to improving access to EWS</w:t>
      </w:r>
      <w:r>
        <w:rPr>
          <w:rFonts w:ascii="Times New Roman" w:hAnsi="Times New Roman" w:cs="Times New Roman"/>
          <w:color w:val="000000" w:themeColor="text1"/>
          <w:sz w:val="22"/>
          <w:szCs w:val="22"/>
          <w:lang w:val="en-GB"/>
        </w:rPr>
        <w:t xml:space="preserve"> among the population and make them more effective. </w:t>
      </w:r>
    </w:p>
    <w:p w14:paraId="65B7ABFD" w14:textId="77777777" w:rsidR="0028305A" w:rsidRDefault="0028305A" w:rsidP="00824FBD">
      <w:pPr>
        <w:spacing w:after="0" w:line="276" w:lineRule="auto"/>
        <w:rPr>
          <w:rFonts w:ascii="Times New Roman" w:hAnsi="Times New Roman" w:cs="Times New Roman"/>
          <w:color w:val="000000" w:themeColor="text1"/>
          <w:sz w:val="22"/>
          <w:szCs w:val="22"/>
        </w:rPr>
      </w:pPr>
    </w:p>
    <w:p w14:paraId="524DE5D2" w14:textId="3C65CB76" w:rsidR="00F0457B" w:rsidRDefault="00824FBD" w:rsidP="00637285">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This work process will run for approximately eight months and will entail an analysis of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that affect both the area and the issue, a mapping of actors involved in these early warning systems and an analysis of the EWS processes for hydro-meteorological phenomena. These activities will improve the understanding of the context and the current situation and help identify any bottlenecks that require subsequent action.  </w:t>
      </w:r>
    </w:p>
    <w:p w14:paraId="11768C1F" w14:textId="77777777" w:rsidR="00637285" w:rsidRDefault="00637285" w:rsidP="00637285">
      <w:pPr>
        <w:spacing w:after="0" w:line="276" w:lineRule="auto"/>
        <w:rPr>
          <w:rFonts w:ascii="Times New Roman" w:hAnsi="Times New Roman" w:cs="Times New Roman"/>
          <w:color w:val="000000" w:themeColor="text1"/>
          <w:sz w:val="22"/>
          <w:szCs w:val="22"/>
        </w:rPr>
      </w:pPr>
    </w:p>
    <w:p w14:paraId="0BEA4B25" w14:textId="77777777" w:rsidR="00F0457B" w:rsidRDefault="00F0457B" w:rsidP="00F0457B">
      <w:pPr>
        <w:spacing w:after="0" w:line="276" w:lineRule="auto"/>
        <w:rPr>
          <w:rFonts w:ascii="Times New Roman" w:hAnsi="Times New Roman" w:cs="Times New Roman"/>
          <w:color w:val="000000" w:themeColor="text1"/>
          <w:sz w:val="22"/>
          <w:szCs w:val="22"/>
        </w:rPr>
      </w:pPr>
    </w:p>
    <w:p w14:paraId="365181AA" w14:textId="6FFF85A2" w:rsidR="00F0457B" w:rsidRDefault="00637285" w:rsidP="00637285">
      <w:pPr>
        <w:pStyle w:val="ListParagraph"/>
        <w:numPr>
          <w:ilvl w:val="0"/>
          <w:numId w:val="22"/>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An analysis of the utility, scope and deficiencies of the existing risk analyses for the project area with respect to early warnings</w:t>
      </w:r>
    </w:p>
    <w:p w14:paraId="6FE82B93" w14:textId="5D88C3CD" w:rsidR="00211CE4" w:rsidRPr="00F0457B" w:rsidRDefault="00637285" w:rsidP="00637285">
      <w:pPr>
        <w:pStyle w:val="ListParagraph"/>
        <w:numPr>
          <w:ilvl w:val="0"/>
          <w:numId w:val="22"/>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An analysis of roles and responsibilities, in addition to the performance of the actors and institutions involved in the EWS for hydro-meteorological phenomena in the Dominican Republic </w:t>
      </w:r>
    </w:p>
    <w:p w14:paraId="38DC97EB" w14:textId="04D06F9A" w:rsidR="00211CE4" w:rsidRDefault="00D03E88" w:rsidP="00637285">
      <w:pPr>
        <w:pStyle w:val="ListParagraph"/>
        <w:numPr>
          <w:ilvl w:val="0"/>
          <w:numId w:val="22"/>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An analysis of existing hydro-meteorological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including defining gaps and additional requirements.</w:t>
      </w:r>
    </w:p>
    <w:p w14:paraId="01BCF368" w14:textId="77777777" w:rsidR="00211CE4" w:rsidRDefault="00211CE4" w:rsidP="00B25485">
      <w:pPr>
        <w:spacing w:after="0" w:line="276" w:lineRule="auto"/>
        <w:rPr>
          <w:rFonts w:ascii="Times New Roman" w:hAnsi="Times New Roman" w:cs="Times New Roman"/>
          <w:color w:val="000000" w:themeColor="text1"/>
          <w:sz w:val="22"/>
          <w:szCs w:val="22"/>
        </w:rPr>
      </w:pPr>
    </w:p>
    <w:p w14:paraId="48D298E0" w14:textId="77777777" w:rsidR="00211CE4" w:rsidRDefault="006D1D55" w:rsidP="00B25485">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 study will also be undertaken to analyse possibilities of and requirements for the introduction of new information and communication technology (ICT) for communicating early warnings to the public (especially smartphones and apps), with the following result. </w:t>
      </w:r>
    </w:p>
    <w:p w14:paraId="523F96C7" w14:textId="77777777" w:rsidR="00211CE4" w:rsidRDefault="00211CE4" w:rsidP="00B25485">
      <w:pPr>
        <w:spacing w:after="0" w:line="276" w:lineRule="auto"/>
        <w:rPr>
          <w:rFonts w:ascii="Times New Roman" w:hAnsi="Times New Roman" w:cs="Times New Roman"/>
          <w:color w:val="000000" w:themeColor="text1"/>
          <w:sz w:val="22"/>
          <w:szCs w:val="22"/>
        </w:rPr>
      </w:pPr>
    </w:p>
    <w:p w14:paraId="6C88331F" w14:textId="77777777" w:rsidR="00211CE4" w:rsidRPr="00F0457B" w:rsidRDefault="00211CE4" w:rsidP="00F0457B">
      <w:pPr>
        <w:pStyle w:val="ListParagraph"/>
        <w:numPr>
          <w:ilvl w:val="0"/>
          <w:numId w:val="23"/>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Analysis of the possibilities of and technical requirements for the use of apps to communicate early warnings and related information.</w:t>
      </w:r>
    </w:p>
    <w:p w14:paraId="401E1C81" w14:textId="77777777" w:rsidR="00211CE4" w:rsidRDefault="00211CE4" w:rsidP="00B25485">
      <w:pPr>
        <w:spacing w:after="0" w:line="276" w:lineRule="auto"/>
        <w:rPr>
          <w:rFonts w:ascii="Times New Roman" w:hAnsi="Times New Roman" w:cs="Times New Roman"/>
          <w:color w:val="000000" w:themeColor="text1"/>
          <w:sz w:val="22"/>
          <w:szCs w:val="22"/>
        </w:rPr>
      </w:pPr>
    </w:p>
    <w:p w14:paraId="5E385E99" w14:textId="4051DDA4" w:rsidR="00824FBD" w:rsidRDefault="00824FBD" w:rsidP="00B25485">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Finally, in the context of the assistance provided by CTCN, interventions to address the needs identified during this initial process will be identified in a consensual manner and fitting in with and strengthening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with the following results:</w:t>
      </w:r>
    </w:p>
    <w:p w14:paraId="3391F657" w14:textId="77777777" w:rsidR="00211CE4" w:rsidRDefault="00211CE4" w:rsidP="00B25485">
      <w:pPr>
        <w:spacing w:after="0" w:line="276" w:lineRule="auto"/>
        <w:rPr>
          <w:rFonts w:ascii="Times New Roman" w:hAnsi="Times New Roman" w:cs="Times New Roman"/>
          <w:color w:val="000000" w:themeColor="text1"/>
          <w:sz w:val="22"/>
          <w:szCs w:val="22"/>
        </w:rPr>
      </w:pPr>
    </w:p>
    <w:p w14:paraId="01A42A85" w14:textId="34F87E7E" w:rsidR="00B25485" w:rsidRDefault="00211CE4" w:rsidP="00C05596">
      <w:pPr>
        <w:pStyle w:val="ListParagraph"/>
        <w:numPr>
          <w:ilvl w:val="0"/>
          <w:numId w:val="23"/>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Development of an action plan that includes outlines of proposals for projects agreed with the actors involved in the issue </w:t>
      </w:r>
    </w:p>
    <w:p w14:paraId="11FFEBAA" w14:textId="77777777" w:rsidR="00C05596" w:rsidRPr="00F0457B" w:rsidRDefault="00D03E88" w:rsidP="00D03E88">
      <w:pPr>
        <w:pStyle w:val="ListParagraph"/>
        <w:numPr>
          <w:ilvl w:val="0"/>
          <w:numId w:val="23"/>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results of the response plan have been presented and discussed with donors and regional representatives at an international conference. </w:t>
      </w:r>
    </w:p>
    <w:p w14:paraId="220086D8" w14:textId="77777777" w:rsidR="00F0457B" w:rsidRPr="00824FBD" w:rsidRDefault="00F0457B" w:rsidP="00B25485">
      <w:pPr>
        <w:spacing w:after="0" w:line="276" w:lineRule="auto"/>
        <w:rPr>
          <w:rFonts w:ascii="Times New Roman" w:hAnsi="Times New Roman" w:cs="Times New Roman"/>
          <w:b/>
          <w:color w:val="000000" w:themeColor="text1"/>
          <w:sz w:val="22"/>
          <w:szCs w:val="22"/>
        </w:rPr>
      </w:pPr>
    </w:p>
    <w:p w14:paraId="0941C049" w14:textId="77777777" w:rsidR="00B25485" w:rsidRPr="0084331F" w:rsidRDefault="00B25485" w:rsidP="00B25485">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1.3 Technology aspects</w:t>
      </w:r>
    </w:p>
    <w:p w14:paraId="3A7A6801" w14:textId="77777777" w:rsidR="00B25485" w:rsidRPr="00F21B90" w:rsidRDefault="00B25485" w:rsidP="00B25485">
      <w:pPr>
        <w:spacing w:after="0" w:line="276" w:lineRule="auto"/>
        <w:rPr>
          <w:rFonts w:ascii="Times New Roman" w:hAnsi="Times New Roman" w:cs="Times New Roman"/>
          <w:b/>
          <w:color w:val="000000" w:themeColor="text1"/>
          <w:sz w:val="22"/>
          <w:szCs w:val="22"/>
        </w:rPr>
      </w:pPr>
    </w:p>
    <w:p w14:paraId="04F4C865" w14:textId="46129BA6" w:rsidR="00742A26" w:rsidRDefault="00641168" w:rsidP="00597DB0">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CTCN technical assistance will provide knowledge and practical skills for developing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with a focus on the population and in line with the concepts developed by the United </w:t>
      </w:r>
      <w:r>
        <w:rPr>
          <w:rFonts w:ascii="Times New Roman" w:hAnsi="Times New Roman" w:cs="Times New Roman"/>
          <w:color w:val="000000" w:themeColor="text1"/>
          <w:sz w:val="22"/>
          <w:szCs w:val="22"/>
          <w:lang w:val="en-GB"/>
        </w:rPr>
        <w:lastRenderedPageBreak/>
        <w:t>Nation</w:t>
      </w:r>
      <w:r w:rsidR="00597DB0">
        <w:rPr>
          <w:rFonts w:ascii="Times New Roman" w:hAnsi="Times New Roman" w:cs="Times New Roman"/>
          <w:color w:val="000000" w:themeColor="text1"/>
          <w:sz w:val="22"/>
          <w:szCs w:val="22"/>
          <w:lang w:val="en-GB"/>
        </w:rPr>
        <w:t>s</w:t>
      </w:r>
      <w:r>
        <w:rPr>
          <w:rFonts w:ascii="Times New Roman" w:hAnsi="Times New Roman" w:cs="Times New Roman"/>
          <w:color w:val="000000" w:themeColor="text1"/>
          <w:sz w:val="22"/>
          <w:szCs w:val="22"/>
          <w:lang w:val="en-GB"/>
        </w:rPr>
        <w:t xml:space="preserve"> International Strategy for Disaster Reduction (UNISDR) and </w:t>
      </w:r>
      <w:r>
        <w:rPr>
          <w:rFonts w:ascii="Times New Roman" w:hAnsi="Times New Roman" w:cs="Times New Roman"/>
          <w:sz w:val="22"/>
          <w:szCs w:val="22"/>
          <w:lang w:val="en-GB"/>
        </w:rPr>
        <w:t xml:space="preserve">the Sendai Framework for Disaster Risk Reduction, which stresses the need to promote the development of and investment in effective mechanisms (which are compatible at the national level) for regional early warnings and multiple threats. </w:t>
      </w:r>
      <w:r>
        <w:rPr>
          <w:rFonts w:ascii="Times New Roman" w:hAnsi="Times New Roman" w:cs="Times New Roman"/>
          <w:color w:val="000000" w:themeColor="text1"/>
          <w:sz w:val="22"/>
          <w:szCs w:val="22"/>
          <w:lang w:val="en-GB"/>
        </w:rPr>
        <w:t xml:space="preserve">The CTCN technical assistance will involve the design and facilitation of analysis processes, involving all relevant actors related to the existing risk analyses, the clarification and confirmation of roles and responsibilities throughout all phases of early warning processes, as well as early warning processes themselves. The analysis processes will also be accompanied by technical assistance based on practical experience of implementing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The analysis processes will lay the foundations for reaching a common understanding of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for hydro-meteorological phenomena among all actors, including users, as well as their requirements and identifying necessary adjustments. </w:t>
      </w:r>
    </w:p>
    <w:p w14:paraId="3DB87434" w14:textId="77777777" w:rsidR="00824FBD" w:rsidRDefault="00824FBD" w:rsidP="007931E1">
      <w:pPr>
        <w:spacing w:after="0" w:line="276" w:lineRule="auto"/>
        <w:rPr>
          <w:rFonts w:ascii="Times New Roman" w:hAnsi="Times New Roman" w:cs="Times New Roman"/>
          <w:color w:val="000000" w:themeColor="text1"/>
          <w:sz w:val="22"/>
          <w:szCs w:val="22"/>
        </w:rPr>
      </w:pPr>
    </w:p>
    <w:p w14:paraId="684EBA7E" w14:textId="77777777" w:rsidR="00327A07" w:rsidRDefault="005A080F" w:rsidP="007931E1">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 study will also be undertaken to analyse possibilities of and requirements for the introduction of new ICT (especially smartphones and apps) for communicating early warnings to the public and technical specifications will be developed for a smartphone app or alternative technologies that can be implemented in the context of the pilot area and with the potential to be used for other risks.</w:t>
      </w:r>
    </w:p>
    <w:p w14:paraId="2F55582E" w14:textId="77777777" w:rsidR="005A080F" w:rsidRPr="00641168" w:rsidRDefault="005A080F" w:rsidP="007931E1">
      <w:pPr>
        <w:spacing w:after="0" w:line="276" w:lineRule="auto"/>
        <w:rPr>
          <w:rFonts w:ascii="Times New Roman" w:hAnsi="Times New Roman" w:cs="Times New Roman"/>
          <w:color w:val="000000" w:themeColor="text1"/>
          <w:sz w:val="22"/>
          <w:szCs w:val="22"/>
        </w:rPr>
      </w:pPr>
    </w:p>
    <w:p w14:paraId="78249F78" w14:textId="763A0FF3" w:rsidR="00824FBD" w:rsidRPr="00641168" w:rsidRDefault="005A080F" w:rsidP="00B8099E">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Based on the results of the above work process, the CTCN assistance will help identify and set out an action plan with proposals for future intervention in a consensual manner and in a way that fits and strengthens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not only in the area of the IDDI project in Santo Domingo but also extending to other threats in other regions of the Dominican Republic. The results will be presented at an international conference upon completion of the project. Donors and regional and international representatives will be invited to the conference to communicate and discuss the results and secure funding to implement the action plan that is produced.</w:t>
      </w:r>
    </w:p>
    <w:p w14:paraId="3006B8BA" w14:textId="77777777" w:rsidR="00824FBD" w:rsidRPr="00641168" w:rsidRDefault="00824FBD" w:rsidP="007931E1">
      <w:pPr>
        <w:spacing w:after="0" w:line="276" w:lineRule="auto"/>
        <w:rPr>
          <w:rFonts w:ascii="Times New Roman" w:hAnsi="Times New Roman" w:cs="Times New Roman"/>
          <w:color w:val="000000" w:themeColor="text1"/>
          <w:sz w:val="22"/>
          <w:szCs w:val="22"/>
        </w:rPr>
      </w:pPr>
    </w:p>
    <w:p w14:paraId="0CE99469" w14:textId="77777777" w:rsidR="001C232B" w:rsidRPr="00F21B90" w:rsidRDefault="001C232B" w:rsidP="007931E1">
      <w:pPr>
        <w:spacing w:after="0" w:line="276" w:lineRule="auto"/>
        <w:rPr>
          <w:rFonts w:ascii="Times New Roman" w:hAnsi="Times New Roman" w:cs="Times New Roman"/>
          <w:i/>
          <w:color w:val="000000" w:themeColor="text1"/>
          <w:sz w:val="22"/>
          <w:szCs w:val="22"/>
        </w:rPr>
      </w:pPr>
    </w:p>
    <w:p w14:paraId="77EF35A4" w14:textId="7C822DC3" w:rsidR="00B25485" w:rsidRPr="00AB7287" w:rsidRDefault="005C04D5" w:rsidP="00B25485">
      <w:pPr>
        <w:pStyle w:val="ListParagraph"/>
        <w:numPr>
          <w:ilvl w:val="0"/>
          <w:numId w:val="11"/>
        </w:numPr>
        <w:spacing w:after="0" w:line="276" w:lineRule="auto"/>
        <w:rPr>
          <w:rFonts w:ascii="Times New Roman" w:hAnsi="Times New Roman" w:cs="Times New Roman"/>
          <w:b/>
          <w:color w:val="1F497D" w:themeColor="text2"/>
        </w:rPr>
      </w:pPr>
      <w:r>
        <w:rPr>
          <w:rFonts w:ascii="Times New Roman" w:hAnsi="Times New Roman" w:cs="Times New Roman"/>
          <w:b/>
          <w:bCs/>
          <w:color w:val="1F497D" w:themeColor="text2"/>
          <w:lang w:val="en-GB"/>
        </w:rPr>
        <w:t xml:space="preserve">Description of the </w:t>
      </w:r>
      <w:r w:rsidR="004244C5">
        <w:rPr>
          <w:rFonts w:ascii="Times New Roman" w:hAnsi="Times New Roman" w:cs="Times New Roman"/>
          <w:b/>
          <w:bCs/>
          <w:color w:val="1F497D" w:themeColor="text2"/>
          <w:lang w:val="en-GB"/>
        </w:rPr>
        <w:t>a</w:t>
      </w:r>
      <w:r>
        <w:rPr>
          <w:rFonts w:ascii="Times New Roman" w:hAnsi="Times New Roman" w:cs="Times New Roman"/>
          <w:b/>
          <w:bCs/>
          <w:color w:val="1F497D" w:themeColor="text2"/>
          <w:lang w:val="en-GB"/>
        </w:rPr>
        <w:t>ssistance</w:t>
      </w:r>
    </w:p>
    <w:p w14:paraId="2EE9C8F1" w14:textId="77777777" w:rsidR="005C04D5" w:rsidRPr="00AB7287" w:rsidRDefault="005C04D5" w:rsidP="005C04D5">
      <w:pPr>
        <w:pStyle w:val="ListParagraph"/>
        <w:spacing w:after="0" w:line="276" w:lineRule="auto"/>
        <w:rPr>
          <w:rFonts w:ascii="Times New Roman" w:hAnsi="Times New Roman" w:cs="Times New Roman"/>
          <w:b/>
          <w:color w:val="000000" w:themeColor="text1"/>
          <w:sz w:val="22"/>
          <w:szCs w:val="22"/>
        </w:rPr>
      </w:pPr>
    </w:p>
    <w:p w14:paraId="59CEA2D6" w14:textId="77777777" w:rsidR="005C04D5" w:rsidRPr="00AB7287" w:rsidRDefault="006835A9" w:rsidP="005C04D5">
      <w:pPr>
        <w:pStyle w:val="ListParagraph"/>
        <w:numPr>
          <w:ilvl w:val="1"/>
          <w:numId w:val="11"/>
        </w:numPr>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Activities</w:t>
      </w:r>
    </w:p>
    <w:p w14:paraId="6749CB0D" w14:textId="77777777" w:rsidR="005C04D5" w:rsidRPr="00AB7287" w:rsidRDefault="005C04D5" w:rsidP="005C04D5">
      <w:pPr>
        <w:spacing w:after="0" w:line="276" w:lineRule="auto"/>
        <w:rPr>
          <w:rFonts w:ascii="Times New Roman" w:hAnsi="Times New Roman" w:cs="Times New Roman"/>
          <w:b/>
          <w:color w:val="000000" w:themeColor="text1"/>
          <w:sz w:val="22"/>
          <w:szCs w:val="22"/>
        </w:rPr>
      </w:pPr>
    </w:p>
    <w:p w14:paraId="14FF8D5D" w14:textId="66CB21D7" w:rsidR="005C04D5" w:rsidRPr="00B66AD5" w:rsidRDefault="006835A9" w:rsidP="007E5C5F">
      <w:pPr>
        <w:spacing w:after="0"/>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Activity 1 – Review of the existing risk analysis for the project area </w:t>
      </w:r>
      <w:r w:rsidR="007E5C5F">
        <w:rPr>
          <w:rFonts w:ascii="Times New Roman" w:hAnsi="Times New Roman" w:cs="Times New Roman"/>
          <w:b/>
          <w:bCs/>
          <w:color w:val="000000" w:themeColor="text1"/>
          <w:sz w:val="22"/>
          <w:szCs w:val="22"/>
          <w:lang w:val="en-GB"/>
        </w:rPr>
        <w:t>from an</w:t>
      </w:r>
      <w:r>
        <w:rPr>
          <w:rFonts w:ascii="Times New Roman" w:hAnsi="Times New Roman" w:cs="Times New Roman"/>
          <w:b/>
          <w:bCs/>
          <w:color w:val="000000" w:themeColor="text1"/>
          <w:sz w:val="22"/>
          <w:szCs w:val="22"/>
          <w:lang w:val="en-GB"/>
        </w:rPr>
        <w:t xml:space="preserve"> EWS perspective</w:t>
      </w:r>
      <w:r>
        <w:rPr>
          <w:rFonts w:ascii="Times New Roman" w:hAnsi="Times New Roman" w:cs="Times New Roman"/>
          <w:color w:val="000000" w:themeColor="text1"/>
          <w:sz w:val="22"/>
          <w:szCs w:val="22"/>
          <w:lang w:val="en-GB"/>
        </w:rPr>
        <w:tab/>
      </w:r>
    </w:p>
    <w:p w14:paraId="438C5E50" w14:textId="77777777" w:rsidR="00AB7287" w:rsidRPr="00AB7287" w:rsidRDefault="001D7A29" w:rsidP="001D7A29">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Activity 1 will analyse the possibilities of and requirements for an EWS for hydro-meteorological phenomena in the pilot area and make recommendations for future attempts to analyse risks in the project area. This outcome will serve as a reference for the following steps.</w:t>
      </w:r>
    </w:p>
    <w:p w14:paraId="7B0AFA47" w14:textId="77777777" w:rsidR="00AB7287" w:rsidRPr="00B66AD5" w:rsidRDefault="00AB7287" w:rsidP="005C04D5">
      <w:pPr>
        <w:contextualSpacing/>
        <w:rPr>
          <w:rFonts w:ascii="Times New Roman" w:hAnsi="Times New Roman" w:cs="Times New Roman"/>
          <w:bCs/>
          <w:i/>
          <w:color w:val="000000" w:themeColor="text1"/>
          <w:sz w:val="22"/>
          <w:szCs w:val="22"/>
        </w:rPr>
      </w:pPr>
    </w:p>
    <w:p w14:paraId="6F30601D" w14:textId="77777777" w:rsidR="005C04D5" w:rsidRPr="00AB7287" w:rsidRDefault="00B66AD5"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1.1 –</w:t>
      </w:r>
      <w:r>
        <w:rPr>
          <w:rFonts w:ascii="Times New Roman" w:hAnsi="Times New Roman" w:cs="Times New Roman"/>
          <w:color w:val="000000" w:themeColor="text1"/>
          <w:sz w:val="22"/>
          <w:szCs w:val="22"/>
          <w:lang w:val="en-GB"/>
        </w:rPr>
        <w:t xml:space="preserve"> Gathering existing documentation</w:t>
      </w:r>
    </w:p>
    <w:p w14:paraId="2DE42F26" w14:textId="77777777" w:rsidR="005C04D5" w:rsidRPr="00AB7287" w:rsidRDefault="00B66AD5" w:rsidP="005C04D5">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1.2 –</w:t>
      </w:r>
      <w:r>
        <w:rPr>
          <w:rFonts w:ascii="Times New Roman" w:hAnsi="Times New Roman" w:cs="Times New Roman"/>
          <w:color w:val="000000" w:themeColor="text1"/>
          <w:sz w:val="22"/>
          <w:szCs w:val="22"/>
          <w:lang w:val="en-GB"/>
        </w:rPr>
        <w:t xml:space="preserve"> Reviewing and analysing information that is gathered</w:t>
      </w:r>
    </w:p>
    <w:p w14:paraId="25F18CF6" w14:textId="77777777" w:rsidR="00AB7287" w:rsidRPr="00AB7287" w:rsidRDefault="00AB7287" w:rsidP="00AB7287">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1.3 –</w:t>
      </w:r>
      <w:r>
        <w:rPr>
          <w:rFonts w:ascii="Times New Roman" w:hAnsi="Times New Roman" w:cs="Times New Roman"/>
          <w:color w:val="000000" w:themeColor="text1"/>
          <w:sz w:val="22"/>
          <w:szCs w:val="22"/>
          <w:lang w:val="en-GB"/>
        </w:rPr>
        <w:t xml:space="preserve"> Validation with actors in the project area</w:t>
      </w:r>
    </w:p>
    <w:p w14:paraId="3EB99022" w14:textId="77777777" w:rsidR="00AB7287" w:rsidRPr="00AB7287" w:rsidRDefault="00AB7287"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1.4 –</w:t>
      </w:r>
      <w:r>
        <w:rPr>
          <w:rFonts w:ascii="Times New Roman" w:hAnsi="Times New Roman" w:cs="Times New Roman"/>
          <w:color w:val="000000" w:themeColor="text1"/>
          <w:sz w:val="22"/>
          <w:szCs w:val="22"/>
          <w:lang w:val="en-GB"/>
        </w:rPr>
        <w:t xml:space="preserve"> Conclusions and recommendations</w:t>
      </w:r>
    </w:p>
    <w:p w14:paraId="6FDB4F3A" w14:textId="77777777" w:rsidR="00AB7287" w:rsidRPr="00AB7287" w:rsidRDefault="00AB7287"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1.5 –</w:t>
      </w:r>
      <w:r>
        <w:rPr>
          <w:rFonts w:ascii="Times New Roman" w:hAnsi="Times New Roman" w:cs="Times New Roman"/>
          <w:color w:val="000000" w:themeColor="text1"/>
          <w:sz w:val="22"/>
          <w:szCs w:val="22"/>
          <w:lang w:val="en-GB"/>
        </w:rPr>
        <w:t xml:space="preserve"> Documenting results and observations</w:t>
      </w:r>
    </w:p>
    <w:p w14:paraId="4B7B4CF8" w14:textId="77777777" w:rsidR="00AB7287" w:rsidRPr="00AB7287" w:rsidRDefault="00AB7287" w:rsidP="005C04D5">
      <w:pPr>
        <w:spacing w:after="0"/>
        <w:contextualSpacing/>
        <w:rPr>
          <w:rFonts w:ascii="Times New Roman" w:hAnsi="Times New Roman" w:cs="Times New Roman"/>
          <w:color w:val="000000" w:themeColor="text1"/>
          <w:sz w:val="22"/>
          <w:szCs w:val="22"/>
        </w:rPr>
      </w:pPr>
    </w:p>
    <w:p w14:paraId="5444AB52" w14:textId="77777777" w:rsidR="005C04D5" w:rsidRPr="00AB7287" w:rsidRDefault="005C04D5" w:rsidP="005C04D5">
      <w:pPr>
        <w:contextualSpacing/>
        <w:rPr>
          <w:rFonts w:ascii="Times New Roman" w:hAnsi="Times New Roman" w:cs="Times New Roman"/>
          <w:color w:val="000000" w:themeColor="text1"/>
          <w:sz w:val="22"/>
          <w:szCs w:val="22"/>
        </w:rPr>
      </w:pPr>
    </w:p>
    <w:tbl>
      <w:tblPr>
        <w:tblStyle w:val="TableGrid"/>
        <w:tblW w:w="0" w:type="auto"/>
        <w:tblInd w:w="108" w:type="dxa"/>
        <w:tblLook w:val="04A0" w:firstRow="1" w:lastRow="0" w:firstColumn="1" w:lastColumn="0" w:noHBand="0" w:noVBand="1"/>
      </w:tblPr>
      <w:tblGrid>
        <w:gridCol w:w="6660"/>
        <w:gridCol w:w="2469"/>
      </w:tblGrid>
      <w:tr w:rsidR="005C04D5" w:rsidRPr="00AB7287" w14:paraId="13C3B217" w14:textId="77777777" w:rsidTr="00AB7287">
        <w:tc>
          <w:tcPr>
            <w:tcW w:w="6660" w:type="dxa"/>
          </w:tcPr>
          <w:p w14:paraId="696D51D6" w14:textId="77777777" w:rsidR="005C04D5" w:rsidRPr="00AB7287" w:rsidRDefault="006835A9" w:rsidP="0014681E">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Deliverables</w:t>
            </w:r>
          </w:p>
        </w:tc>
        <w:tc>
          <w:tcPr>
            <w:tcW w:w="2469" w:type="dxa"/>
          </w:tcPr>
          <w:p w14:paraId="21E971E9" w14:textId="77777777" w:rsidR="005C04D5" w:rsidRPr="00AB7287" w:rsidRDefault="00B66AD5" w:rsidP="005C04D5">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Delivery date</w:t>
            </w:r>
          </w:p>
        </w:tc>
      </w:tr>
      <w:tr w:rsidR="005C04D5" w:rsidRPr="00AB7287" w14:paraId="47F5EE10" w14:textId="77777777" w:rsidTr="00AB7287">
        <w:tc>
          <w:tcPr>
            <w:tcW w:w="6660" w:type="dxa"/>
          </w:tcPr>
          <w:p w14:paraId="5593E9E8" w14:textId="0AF4A408" w:rsidR="005C04D5" w:rsidRPr="00AB7287" w:rsidRDefault="00AB7287" w:rsidP="005C04D5">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Work document summari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ing the results of the review, including recommendations for future research in this area</w:t>
            </w:r>
          </w:p>
        </w:tc>
        <w:tc>
          <w:tcPr>
            <w:tcW w:w="2469" w:type="dxa"/>
          </w:tcPr>
          <w:p w14:paraId="2681430C" w14:textId="77777777" w:rsidR="005C04D5" w:rsidRPr="00AB7287" w:rsidRDefault="00AB7287" w:rsidP="005C04D5">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6</w:t>
            </w:r>
          </w:p>
        </w:tc>
      </w:tr>
    </w:tbl>
    <w:p w14:paraId="40BAB953" w14:textId="77777777" w:rsidR="005C04D5" w:rsidRDefault="005C04D5" w:rsidP="005C04D5">
      <w:pPr>
        <w:spacing w:after="0" w:line="276" w:lineRule="auto"/>
        <w:rPr>
          <w:rFonts w:ascii="Times New Roman" w:hAnsi="Times New Roman" w:cs="Times New Roman"/>
          <w:b/>
          <w:color w:val="000000" w:themeColor="text1"/>
          <w:sz w:val="22"/>
          <w:szCs w:val="22"/>
        </w:rPr>
      </w:pPr>
    </w:p>
    <w:p w14:paraId="56647300" w14:textId="77777777" w:rsidR="00DB51B9" w:rsidRDefault="00DB51B9" w:rsidP="005C04D5">
      <w:pPr>
        <w:spacing w:after="0" w:line="276" w:lineRule="auto"/>
        <w:rPr>
          <w:rFonts w:ascii="Times New Roman" w:hAnsi="Times New Roman" w:cs="Times New Roman"/>
          <w:b/>
          <w:color w:val="000000" w:themeColor="text1"/>
          <w:sz w:val="22"/>
          <w:szCs w:val="22"/>
        </w:rPr>
      </w:pPr>
    </w:p>
    <w:p w14:paraId="669CBCA3" w14:textId="77777777" w:rsidR="00CB38DE" w:rsidRDefault="00CB38DE" w:rsidP="005C04D5">
      <w:pPr>
        <w:spacing w:after="0" w:line="276" w:lineRule="auto"/>
        <w:rPr>
          <w:rFonts w:ascii="Times New Roman" w:hAnsi="Times New Roman" w:cs="Times New Roman"/>
          <w:b/>
          <w:color w:val="000000" w:themeColor="text1"/>
          <w:sz w:val="22"/>
          <w:szCs w:val="22"/>
        </w:rPr>
      </w:pPr>
    </w:p>
    <w:p w14:paraId="25FD99CD" w14:textId="77777777" w:rsidR="00CB38DE" w:rsidRDefault="00CB38DE" w:rsidP="005C04D5">
      <w:pPr>
        <w:spacing w:after="0" w:line="276" w:lineRule="auto"/>
        <w:rPr>
          <w:rFonts w:ascii="Times New Roman" w:hAnsi="Times New Roman" w:cs="Times New Roman"/>
          <w:b/>
          <w:color w:val="000000" w:themeColor="text1"/>
          <w:sz w:val="22"/>
          <w:szCs w:val="22"/>
        </w:rPr>
      </w:pPr>
    </w:p>
    <w:p w14:paraId="0D02061F" w14:textId="45B6C1F3" w:rsidR="00DB51B9" w:rsidRDefault="006835A9" w:rsidP="00BD7762">
      <w:pPr>
        <w:contextualSpacing/>
        <w:outlineLvl w:val="0"/>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Activity 2 – Analysis of actors and institutions for hydro-meteorological </w:t>
      </w:r>
      <w:r w:rsidR="00597DB0">
        <w:rPr>
          <w:rFonts w:ascii="Times New Roman" w:hAnsi="Times New Roman" w:cs="Times New Roman"/>
          <w:b/>
          <w:bCs/>
          <w:color w:val="000000" w:themeColor="text1"/>
          <w:sz w:val="22"/>
          <w:szCs w:val="22"/>
          <w:lang w:val="en-GB"/>
        </w:rPr>
        <w:t>early warning systems</w:t>
      </w:r>
      <w:r>
        <w:rPr>
          <w:rFonts w:ascii="Times New Roman" w:hAnsi="Times New Roman" w:cs="Times New Roman"/>
          <w:b/>
          <w:bCs/>
          <w:color w:val="000000" w:themeColor="text1"/>
          <w:sz w:val="22"/>
          <w:szCs w:val="22"/>
          <w:lang w:val="en-GB"/>
        </w:rPr>
        <w:t xml:space="preserve"> in the Dominican Republic</w:t>
      </w:r>
    </w:p>
    <w:p w14:paraId="21B19307" w14:textId="77777777" w:rsidR="006835A9" w:rsidRPr="00C173D3" w:rsidRDefault="006835A9" w:rsidP="00DB51B9">
      <w:pPr>
        <w:contextualSpacing/>
        <w:rPr>
          <w:rFonts w:ascii="Times New Roman" w:hAnsi="Times New Roman" w:cs="Times New Roman"/>
          <w:bCs/>
          <w:iCs/>
          <w:color w:val="000000" w:themeColor="text1"/>
          <w:sz w:val="22"/>
          <w:szCs w:val="22"/>
        </w:rPr>
      </w:pPr>
    </w:p>
    <w:p w14:paraId="34623D20" w14:textId="307DCBC7" w:rsidR="00DB51B9" w:rsidRPr="00DB51B9" w:rsidRDefault="00DB51B9" w:rsidP="00597DB0">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 xml:space="preserve">Design and facilitation of an analysis process and the provision of technical assistance to clarify and confirm roles and responsibilities throughout all phases of warning processes. As a first step, the relevant actors of the Dominican Republic EWS will be identified through the EWS legal framework (especially under Law 147–02). The results will then be verified in an analysis workshop, reviewing and clarifying the roles and responsibilities of each of the relevant actors. The results of the workshop will form the basis for the analysis of the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They will also be used as the</w:t>
      </w:r>
      <w:r w:rsidR="00597DB0">
        <w:rPr>
          <w:rFonts w:ascii="Times New Roman" w:hAnsi="Times New Roman" w:cs="Times New Roman"/>
          <w:color w:val="000000" w:themeColor="text1"/>
          <w:sz w:val="22"/>
          <w:szCs w:val="22"/>
          <w:lang w:val="en-GB"/>
        </w:rPr>
        <w:t xml:space="preserve"> starting point </w:t>
      </w:r>
      <w:r>
        <w:rPr>
          <w:rFonts w:ascii="Times New Roman" w:hAnsi="Times New Roman" w:cs="Times New Roman"/>
          <w:color w:val="000000" w:themeColor="text1"/>
          <w:sz w:val="22"/>
          <w:szCs w:val="22"/>
          <w:lang w:val="en-GB"/>
        </w:rPr>
        <w:t xml:space="preserve">for designing </w:t>
      </w:r>
      <w:r w:rsidR="00597DB0">
        <w:rPr>
          <w:rFonts w:ascii="Times New Roman" w:hAnsi="Times New Roman" w:cs="Times New Roman"/>
          <w:color w:val="000000" w:themeColor="text1"/>
          <w:sz w:val="22"/>
          <w:szCs w:val="22"/>
          <w:lang w:val="en-GB"/>
        </w:rPr>
        <w:t xml:space="preserve">project </w:t>
      </w:r>
      <w:r>
        <w:rPr>
          <w:rFonts w:ascii="Times New Roman" w:hAnsi="Times New Roman" w:cs="Times New Roman"/>
          <w:color w:val="000000" w:themeColor="text1"/>
          <w:sz w:val="22"/>
          <w:szCs w:val="22"/>
          <w:lang w:val="en-GB"/>
        </w:rPr>
        <w:t xml:space="preserve">proposals and as a reference for the national prevention, mitigation and response (PMR) system for improving existing systems and/or developing new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in the future. </w:t>
      </w:r>
    </w:p>
    <w:p w14:paraId="37CFB657" w14:textId="77777777" w:rsidR="00DB51B9" w:rsidRPr="00AB7287" w:rsidRDefault="00DB51B9" w:rsidP="00DB51B9">
      <w:pPr>
        <w:contextualSpacing/>
        <w:rPr>
          <w:rFonts w:ascii="Times New Roman" w:hAnsi="Times New Roman" w:cs="Times New Roman"/>
          <w:bCs/>
          <w:color w:val="000000" w:themeColor="text1"/>
          <w:sz w:val="22"/>
          <w:szCs w:val="22"/>
        </w:rPr>
      </w:pPr>
    </w:p>
    <w:p w14:paraId="3692E68C" w14:textId="77777777" w:rsidR="00DB51B9" w:rsidRPr="00AB7287" w:rsidRDefault="00DB51B9"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2.1 –</w:t>
      </w:r>
      <w:r>
        <w:rPr>
          <w:rFonts w:ascii="Times New Roman" w:hAnsi="Times New Roman" w:cs="Times New Roman"/>
          <w:color w:val="000000" w:themeColor="text1"/>
          <w:sz w:val="22"/>
          <w:szCs w:val="22"/>
          <w:lang w:val="en-GB"/>
        </w:rPr>
        <w:t xml:space="preserve"> Review of the EWS legal framework in the Dominican Republic</w:t>
      </w:r>
    </w:p>
    <w:p w14:paraId="3CA35284"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2.2 –</w:t>
      </w:r>
      <w:r>
        <w:rPr>
          <w:rFonts w:ascii="Times New Roman" w:hAnsi="Times New Roman" w:cs="Times New Roman"/>
          <w:color w:val="000000" w:themeColor="text1"/>
          <w:sz w:val="22"/>
          <w:szCs w:val="22"/>
          <w:lang w:val="en-GB"/>
        </w:rPr>
        <w:t xml:space="preserve"> Identification of actors and institutions to involve</w:t>
      </w:r>
    </w:p>
    <w:p w14:paraId="60A15AA2"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2.3 –</w:t>
      </w:r>
      <w:r>
        <w:rPr>
          <w:rFonts w:ascii="Times New Roman" w:hAnsi="Times New Roman" w:cs="Times New Roman"/>
          <w:color w:val="000000" w:themeColor="text1"/>
          <w:sz w:val="22"/>
          <w:szCs w:val="22"/>
          <w:lang w:val="en-GB"/>
        </w:rPr>
        <w:t xml:space="preserve"> Design and preparation of analysis workshop</w:t>
      </w:r>
    </w:p>
    <w:p w14:paraId="291EDA09" w14:textId="77777777" w:rsidR="00DB51B9" w:rsidRPr="00AB7287" w:rsidRDefault="00DB51B9"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2.4 –</w:t>
      </w:r>
      <w:r>
        <w:rPr>
          <w:rFonts w:ascii="Times New Roman" w:hAnsi="Times New Roman" w:cs="Times New Roman"/>
          <w:color w:val="000000" w:themeColor="text1"/>
          <w:sz w:val="22"/>
          <w:szCs w:val="22"/>
          <w:lang w:val="en-GB"/>
        </w:rPr>
        <w:t xml:space="preserve"> Holding the analysis workshop </w:t>
      </w:r>
    </w:p>
    <w:p w14:paraId="1F9F554D" w14:textId="77777777" w:rsidR="00DB51B9" w:rsidRPr="00AB7287" w:rsidRDefault="00DB51B9"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2.5 –</w:t>
      </w:r>
      <w:r>
        <w:rPr>
          <w:rFonts w:ascii="Times New Roman" w:hAnsi="Times New Roman" w:cs="Times New Roman"/>
          <w:color w:val="000000" w:themeColor="text1"/>
          <w:sz w:val="22"/>
          <w:szCs w:val="22"/>
          <w:lang w:val="en-GB"/>
        </w:rPr>
        <w:t xml:space="preserve"> Documenting results and recommendations</w:t>
      </w:r>
    </w:p>
    <w:p w14:paraId="3E983022" w14:textId="77777777" w:rsidR="00DB51B9" w:rsidRDefault="00DB51B9" w:rsidP="00DB51B9">
      <w:pPr>
        <w:spacing w:after="0"/>
        <w:contextualSpacing/>
        <w:rPr>
          <w:rFonts w:ascii="Times New Roman" w:hAnsi="Times New Roman" w:cs="Times New Roman"/>
          <w:color w:val="000000" w:themeColor="text1"/>
          <w:sz w:val="22"/>
          <w:szCs w:val="22"/>
        </w:rPr>
      </w:pPr>
    </w:p>
    <w:p w14:paraId="6F7B54ED" w14:textId="77777777" w:rsidR="00DB51B9" w:rsidRPr="00DB51B9" w:rsidRDefault="00DB51B9" w:rsidP="00DB51B9">
      <w:pPr>
        <w:spacing w:after="0"/>
        <w:contextualSpacing/>
        <w:rPr>
          <w:rFonts w:ascii="Times New Roman" w:hAnsi="Times New Roman" w:cs="Times New Roman"/>
          <w:color w:val="000000" w:themeColor="text1"/>
          <w:sz w:val="22"/>
          <w:szCs w:val="22"/>
        </w:rPr>
      </w:pPr>
    </w:p>
    <w:tbl>
      <w:tblPr>
        <w:tblStyle w:val="TableGrid"/>
        <w:tblW w:w="0" w:type="auto"/>
        <w:tblInd w:w="108" w:type="dxa"/>
        <w:tblLook w:val="04A0" w:firstRow="1" w:lastRow="0" w:firstColumn="1" w:lastColumn="0" w:noHBand="0" w:noVBand="1"/>
      </w:tblPr>
      <w:tblGrid>
        <w:gridCol w:w="6660"/>
        <w:gridCol w:w="2469"/>
      </w:tblGrid>
      <w:tr w:rsidR="00DB51B9" w:rsidRPr="00AB7287" w14:paraId="5AEEDA89" w14:textId="77777777" w:rsidTr="00DB51B9">
        <w:tc>
          <w:tcPr>
            <w:tcW w:w="6660" w:type="dxa"/>
          </w:tcPr>
          <w:p w14:paraId="6975FA5C" w14:textId="77777777" w:rsidR="00DB51B9" w:rsidRPr="00AB7287" w:rsidRDefault="006835A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Deliverables</w:t>
            </w:r>
          </w:p>
        </w:tc>
        <w:tc>
          <w:tcPr>
            <w:tcW w:w="2469" w:type="dxa"/>
          </w:tcPr>
          <w:p w14:paraId="6E129BC6" w14:textId="77777777" w:rsidR="00DB51B9" w:rsidRPr="00AB7287" w:rsidRDefault="00DB51B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Delivery date</w:t>
            </w:r>
          </w:p>
        </w:tc>
      </w:tr>
      <w:tr w:rsidR="00DB51B9" w:rsidRPr="001E2BA5" w14:paraId="666C0DF1" w14:textId="77777777" w:rsidTr="00DB51B9">
        <w:tc>
          <w:tcPr>
            <w:tcW w:w="6660" w:type="dxa"/>
          </w:tcPr>
          <w:p w14:paraId="1842B148" w14:textId="34B2750D" w:rsidR="00DB51B9" w:rsidRPr="001E2BA5" w:rsidRDefault="00DB51B9" w:rsidP="001E2BA5">
            <w:pPr>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 xml:space="preserve">Documenting the results of the workshop, including a list of institutions and actors, and their roles and responsibilities, in addition to a summary of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in operation, their benefits, any weaknesses and recommendations for aspects to be considered in greater depth before the next workshops</w:t>
            </w:r>
          </w:p>
          <w:p w14:paraId="5197E621" w14:textId="77777777" w:rsidR="00DB51B9" w:rsidRPr="001E2BA5" w:rsidRDefault="00DB51B9" w:rsidP="00DB51B9">
            <w:pPr>
              <w:rPr>
                <w:rFonts w:ascii="Times New Roman" w:hAnsi="Times New Roman" w:cs="Times New Roman"/>
                <w:color w:val="000000" w:themeColor="text1"/>
                <w:sz w:val="22"/>
                <w:szCs w:val="22"/>
              </w:rPr>
            </w:pPr>
          </w:p>
        </w:tc>
        <w:tc>
          <w:tcPr>
            <w:tcW w:w="2469" w:type="dxa"/>
          </w:tcPr>
          <w:p w14:paraId="4B646B0F" w14:textId="77777777" w:rsidR="00DB51B9" w:rsidRPr="001E2BA5" w:rsidRDefault="00DB51B9" w:rsidP="00DB51B9">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8</w:t>
            </w:r>
          </w:p>
        </w:tc>
      </w:tr>
    </w:tbl>
    <w:p w14:paraId="5A5FBB2E" w14:textId="77777777" w:rsidR="008526FF" w:rsidRDefault="008526FF" w:rsidP="001E2BA5">
      <w:pPr>
        <w:spacing w:after="0"/>
        <w:rPr>
          <w:rFonts w:ascii="Times New Roman" w:hAnsi="Times New Roman" w:cs="Times New Roman"/>
          <w:b/>
          <w:color w:val="000000" w:themeColor="text1"/>
          <w:sz w:val="22"/>
          <w:szCs w:val="22"/>
        </w:rPr>
      </w:pPr>
    </w:p>
    <w:p w14:paraId="259CAB61" w14:textId="56548545" w:rsidR="00DB51B9" w:rsidRDefault="006835A9" w:rsidP="00DB51B9">
      <w:pPr>
        <w:contextualSpacing/>
        <w:rPr>
          <w:rFonts w:ascii="Times New Roman" w:hAnsi="Times New Roman" w:cs="Times New Roman"/>
          <w:bCs/>
          <w:i/>
          <w:color w:val="000000" w:themeColor="text1"/>
          <w:sz w:val="22"/>
          <w:szCs w:val="22"/>
        </w:rPr>
      </w:pPr>
      <w:r>
        <w:rPr>
          <w:rFonts w:ascii="Times New Roman" w:hAnsi="Times New Roman" w:cs="Times New Roman"/>
          <w:b/>
          <w:bCs/>
          <w:color w:val="000000" w:themeColor="text1"/>
          <w:sz w:val="22"/>
          <w:szCs w:val="22"/>
          <w:lang w:val="en-GB"/>
        </w:rPr>
        <w:t xml:space="preserve">Activity 3 – Analysis of existing hydro-meteorological </w:t>
      </w:r>
      <w:r w:rsidR="00597DB0">
        <w:rPr>
          <w:rFonts w:ascii="Times New Roman" w:hAnsi="Times New Roman" w:cs="Times New Roman"/>
          <w:b/>
          <w:bCs/>
          <w:color w:val="000000" w:themeColor="text1"/>
          <w:sz w:val="22"/>
          <w:szCs w:val="22"/>
          <w:lang w:val="en-GB"/>
        </w:rPr>
        <w:t>early warning systems</w:t>
      </w:r>
      <w:r>
        <w:rPr>
          <w:rFonts w:ascii="Times New Roman" w:hAnsi="Times New Roman" w:cs="Times New Roman"/>
          <w:b/>
          <w:bCs/>
          <w:color w:val="000000" w:themeColor="text1"/>
          <w:sz w:val="22"/>
          <w:szCs w:val="22"/>
          <w:lang w:val="en-GB"/>
        </w:rPr>
        <w:t xml:space="preserve"> and the definition of additional requirements</w:t>
      </w:r>
    </w:p>
    <w:p w14:paraId="06676FA6" w14:textId="66AC7F6F" w:rsidR="001E2BA5" w:rsidRDefault="001339FB" w:rsidP="00DB51B9">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 xml:space="preserve">Activity 3 includes designing and holding two analysis workshops and the corresponding technical assistance in order to reach a common understanding of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for hydro-meteorological phenomena among all sectors, as well as their requirements and identifying any necessary adjustments. There will be national and local workshops to define early warning processes to provide the population with information on the risks of hydro-meteorological events.  These will define the results of each step of the process in the early warning chain, together with durations, the actors involved, their responsibilities and the interfaces identified in each of them. The results of the two workshops will form the basis for designing proposals for projects and as a reference for the national </w:t>
      </w:r>
      <w:r w:rsidR="004244C5">
        <w:rPr>
          <w:rFonts w:ascii="Times New Roman" w:hAnsi="Times New Roman" w:cs="Times New Roman"/>
          <w:color w:val="000000" w:themeColor="text1"/>
          <w:sz w:val="22"/>
          <w:szCs w:val="22"/>
          <w:lang w:val="en-GB"/>
        </w:rPr>
        <w:t>PMR</w:t>
      </w:r>
      <w:r>
        <w:rPr>
          <w:rFonts w:ascii="Times New Roman" w:hAnsi="Times New Roman" w:cs="Times New Roman"/>
          <w:color w:val="000000" w:themeColor="text1"/>
          <w:sz w:val="22"/>
          <w:szCs w:val="22"/>
          <w:lang w:val="en-GB"/>
        </w:rPr>
        <w:t xml:space="preserve"> system for improving existing systems and/or developing new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in the future.</w:t>
      </w:r>
    </w:p>
    <w:p w14:paraId="4932EAC0" w14:textId="77777777" w:rsidR="00DB51B9" w:rsidRPr="00AB7287" w:rsidRDefault="00DB51B9" w:rsidP="00DB51B9">
      <w:pPr>
        <w:contextualSpacing/>
        <w:rPr>
          <w:rFonts w:ascii="Times New Roman" w:hAnsi="Times New Roman" w:cs="Times New Roman"/>
          <w:bCs/>
          <w:color w:val="000000" w:themeColor="text1"/>
          <w:sz w:val="22"/>
          <w:szCs w:val="22"/>
        </w:rPr>
      </w:pPr>
    </w:p>
    <w:p w14:paraId="4164B179" w14:textId="77777777" w:rsidR="001E2BA5" w:rsidRDefault="00DB51B9"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3.1 –</w:t>
      </w:r>
      <w:r>
        <w:rPr>
          <w:rFonts w:ascii="Times New Roman" w:hAnsi="Times New Roman" w:cs="Times New Roman"/>
          <w:color w:val="000000" w:themeColor="text1"/>
          <w:sz w:val="22"/>
          <w:szCs w:val="22"/>
          <w:lang w:val="en-GB"/>
        </w:rPr>
        <w:t xml:space="preserve"> Identification of actors and institutions to involve </w:t>
      </w:r>
    </w:p>
    <w:p w14:paraId="4EF9541C" w14:textId="100481AC"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3.2 –</w:t>
      </w:r>
      <w:r>
        <w:rPr>
          <w:rFonts w:ascii="Times New Roman" w:hAnsi="Times New Roman" w:cs="Times New Roman"/>
          <w:color w:val="000000" w:themeColor="text1"/>
          <w:sz w:val="22"/>
          <w:szCs w:val="22"/>
          <w:lang w:val="en-GB"/>
        </w:rPr>
        <w:t xml:space="preserve"> Design and preparation of analysis workshops, including the identification of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their operation and necessary improvements</w:t>
      </w:r>
    </w:p>
    <w:p w14:paraId="4E1C9841"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3.3 –</w:t>
      </w:r>
      <w:r>
        <w:rPr>
          <w:rFonts w:ascii="Times New Roman" w:hAnsi="Times New Roman" w:cs="Times New Roman"/>
          <w:color w:val="000000" w:themeColor="text1"/>
          <w:sz w:val="22"/>
          <w:szCs w:val="22"/>
          <w:lang w:val="en-GB"/>
        </w:rPr>
        <w:t xml:space="preserve"> Holding local analysis workshop</w:t>
      </w:r>
    </w:p>
    <w:p w14:paraId="3A09C689"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3.4 –</w:t>
      </w:r>
      <w:r>
        <w:rPr>
          <w:rFonts w:ascii="Times New Roman" w:hAnsi="Times New Roman" w:cs="Times New Roman"/>
          <w:color w:val="000000" w:themeColor="text1"/>
          <w:sz w:val="22"/>
          <w:szCs w:val="22"/>
          <w:lang w:val="en-GB"/>
        </w:rPr>
        <w:t xml:space="preserve"> Holding national analysis workshop</w:t>
      </w:r>
    </w:p>
    <w:p w14:paraId="24125634"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 xml:space="preserve">Activity 3.5 – </w:t>
      </w:r>
      <w:r>
        <w:rPr>
          <w:rFonts w:ascii="Times New Roman" w:hAnsi="Times New Roman" w:cs="Times New Roman"/>
          <w:color w:val="000000" w:themeColor="text1"/>
          <w:sz w:val="22"/>
          <w:szCs w:val="22"/>
          <w:lang w:val="en-GB"/>
        </w:rPr>
        <w:t>Documenting results and recommendations</w:t>
      </w:r>
    </w:p>
    <w:p w14:paraId="6E81D9F6" w14:textId="77777777" w:rsidR="00DB51B9" w:rsidRDefault="00DB51B9" w:rsidP="00DB51B9">
      <w:pPr>
        <w:spacing w:after="0"/>
        <w:contextualSpacing/>
        <w:rPr>
          <w:rFonts w:ascii="Times New Roman" w:hAnsi="Times New Roman" w:cs="Times New Roman"/>
          <w:color w:val="000000" w:themeColor="text1"/>
          <w:sz w:val="22"/>
          <w:szCs w:val="22"/>
        </w:rPr>
      </w:pPr>
    </w:p>
    <w:p w14:paraId="0693A0BE" w14:textId="77777777" w:rsidR="001E2BA5" w:rsidRDefault="001E2BA5" w:rsidP="00DB51B9">
      <w:pPr>
        <w:spacing w:after="0"/>
        <w:contextualSpacing/>
        <w:rPr>
          <w:rFonts w:ascii="Times New Roman" w:hAnsi="Times New Roman" w:cs="Times New Roman"/>
          <w:color w:val="000000" w:themeColor="text1"/>
          <w:sz w:val="22"/>
          <w:szCs w:val="22"/>
        </w:rPr>
      </w:pPr>
    </w:p>
    <w:tbl>
      <w:tblPr>
        <w:tblStyle w:val="TableGrid"/>
        <w:tblW w:w="0" w:type="auto"/>
        <w:tblInd w:w="108" w:type="dxa"/>
        <w:tblLook w:val="04A0" w:firstRow="1" w:lastRow="0" w:firstColumn="1" w:lastColumn="0" w:noHBand="0" w:noVBand="1"/>
      </w:tblPr>
      <w:tblGrid>
        <w:gridCol w:w="6660"/>
        <w:gridCol w:w="2469"/>
      </w:tblGrid>
      <w:tr w:rsidR="00DB51B9" w:rsidRPr="00AB7287" w14:paraId="3E3BA216" w14:textId="77777777" w:rsidTr="00DB51B9">
        <w:tc>
          <w:tcPr>
            <w:tcW w:w="6660" w:type="dxa"/>
          </w:tcPr>
          <w:p w14:paraId="688A3B90" w14:textId="77777777" w:rsidR="00DB51B9" w:rsidRPr="00AB7287" w:rsidRDefault="006835A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Deliverables</w:t>
            </w:r>
          </w:p>
        </w:tc>
        <w:tc>
          <w:tcPr>
            <w:tcW w:w="2469" w:type="dxa"/>
          </w:tcPr>
          <w:p w14:paraId="1A1BF967" w14:textId="77777777" w:rsidR="00DB51B9" w:rsidRPr="00AB7287" w:rsidRDefault="00DB51B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Delivery date</w:t>
            </w:r>
          </w:p>
        </w:tc>
      </w:tr>
      <w:tr w:rsidR="00DB51B9" w:rsidRPr="00AB7287" w14:paraId="55AADDD6" w14:textId="77777777" w:rsidTr="00DB51B9">
        <w:tc>
          <w:tcPr>
            <w:tcW w:w="6660" w:type="dxa"/>
          </w:tcPr>
          <w:p w14:paraId="10C5EC47" w14:textId="77777777" w:rsidR="00DB51B9" w:rsidRDefault="001E2BA5" w:rsidP="00DB51B9">
            <w:pPr>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Documenting the results of the workshops and recommendations</w:t>
            </w:r>
          </w:p>
          <w:p w14:paraId="140621CF" w14:textId="77777777" w:rsidR="001339FB" w:rsidRPr="001339FB" w:rsidRDefault="001339FB" w:rsidP="00DB51B9">
            <w:pPr>
              <w:rPr>
                <w:rFonts w:ascii="Times New Roman" w:hAnsi="Times New Roman" w:cs="Times New Roman"/>
                <w:bCs/>
                <w:color w:val="000000" w:themeColor="text1"/>
                <w:sz w:val="22"/>
                <w:szCs w:val="22"/>
              </w:rPr>
            </w:pPr>
          </w:p>
        </w:tc>
        <w:tc>
          <w:tcPr>
            <w:tcW w:w="2469" w:type="dxa"/>
          </w:tcPr>
          <w:p w14:paraId="4A4BB6A6" w14:textId="77777777" w:rsidR="00DB51B9" w:rsidRPr="00AB7287" w:rsidRDefault="001E2BA5" w:rsidP="00DB51B9">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15</w:t>
            </w:r>
          </w:p>
        </w:tc>
      </w:tr>
    </w:tbl>
    <w:p w14:paraId="170D4B4A" w14:textId="77777777" w:rsidR="00DB51B9" w:rsidRPr="00AB7287" w:rsidRDefault="00DB51B9" w:rsidP="00DB51B9">
      <w:pPr>
        <w:spacing w:after="0" w:line="276" w:lineRule="auto"/>
        <w:rPr>
          <w:rFonts w:ascii="Times New Roman" w:hAnsi="Times New Roman" w:cs="Times New Roman"/>
          <w:b/>
          <w:color w:val="000000" w:themeColor="text1"/>
          <w:sz w:val="22"/>
          <w:szCs w:val="22"/>
        </w:rPr>
      </w:pPr>
    </w:p>
    <w:p w14:paraId="740E029D" w14:textId="77777777" w:rsidR="00DB51B9" w:rsidRDefault="006835A9" w:rsidP="00DB51B9">
      <w:pPr>
        <w:contextualSpacing/>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lastRenderedPageBreak/>
        <w:t>Activity 4 – Analysis of possibilities of and requirements for using apps to communicate early warnings and related information</w:t>
      </w:r>
    </w:p>
    <w:p w14:paraId="58872BBB" w14:textId="77777777" w:rsidR="006835A9" w:rsidRPr="0014681E" w:rsidRDefault="006835A9" w:rsidP="00DB51B9">
      <w:pPr>
        <w:contextualSpacing/>
        <w:rPr>
          <w:rFonts w:ascii="Times New Roman" w:hAnsi="Times New Roman" w:cs="Times New Roman"/>
          <w:bCs/>
          <w:i/>
          <w:color w:val="000000" w:themeColor="text1"/>
          <w:sz w:val="22"/>
          <w:szCs w:val="22"/>
        </w:rPr>
      </w:pPr>
    </w:p>
    <w:p w14:paraId="54A597F3" w14:textId="359D61B9" w:rsidR="00EB39C5" w:rsidRDefault="00DB51B9" w:rsidP="00400D29">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 xml:space="preserve">The first step will involve a study to gather and analyse information on existing international experiences of using smartphone apps. The </w:t>
      </w:r>
      <w:r w:rsidR="00400D29">
        <w:rPr>
          <w:rFonts w:ascii="Times New Roman" w:hAnsi="Times New Roman" w:cs="Times New Roman"/>
          <w:color w:val="000000" w:themeColor="text1"/>
          <w:sz w:val="22"/>
          <w:szCs w:val="22"/>
          <w:lang w:val="en-GB"/>
        </w:rPr>
        <w:t>contextual</w:t>
      </w:r>
      <w:r>
        <w:rPr>
          <w:rFonts w:ascii="Times New Roman" w:hAnsi="Times New Roman" w:cs="Times New Roman"/>
          <w:color w:val="000000" w:themeColor="text1"/>
          <w:sz w:val="22"/>
          <w:szCs w:val="22"/>
          <w:lang w:val="en-GB"/>
        </w:rPr>
        <w:t xml:space="preserve"> conditions of the Dominican Republic and the project area will then be analysed, formulating proposals for possible apps or alternatives that can be developed in the context of this initiative. The initiative will be presented to and discussed with the actors involved. Finally, based on the previous studies and the recommendations of the actors, a document will be produced with the design specifications for the preferred or chosen technology. </w:t>
      </w:r>
    </w:p>
    <w:p w14:paraId="6FC31825" w14:textId="77777777" w:rsidR="00EB39C5" w:rsidRDefault="00EB39C5" w:rsidP="00DB51B9">
      <w:pPr>
        <w:contextualSpacing/>
        <w:rPr>
          <w:rFonts w:ascii="Times New Roman" w:hAnsi="Times New Roman" w:cs="Times New Roman"/>
          <w:bCs/>
          <w:color w:val="000000" w:themeColor="text1"/>
          <w:sz w:val="22"/>
          <w:szCs w:val="22"/>
        </w:rPr>
      </w:pPr>
    </w:p>
    <w:p w14:paraId="2A823F99" w14:textId="22D55FDC" w:rsidR="002B0D61" w:rsidRDefault="00EB39C5" w:rsidP="00400D29">
      <w:pPr>
        <w:contextualSpacing/>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 xml:space="preserve">Activity 4 requires collaboration with various experts and actors who can consider the technology options from the various relevant perspectives, the most important of which are: ICT aspects (transmission, network capacities, functionality, design and software programming), requirements of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(content, time</w:t>
      </w:r>
      <w:r w:rsidR="00400D29">
        <w:rPr>
          <w:rFonts w:ascii="Times New Roman" w:hAnsi="Times New Roman" w:cs="Times New Roman"/>
          <w:color w:val="000000" w:themeColor="text1"/>
          <w:sz w:val="22"/>
          <w:szCs w:val="22"/>
          <w:lang w:val="en-GB"/>
        </w:rPr>
        <w:t>lines</w:t>
      </w:r>
      <w:r>
        <w:rPr>
          <w:rFonts w:ascii="Times New Roman" w:hAnsi="Times New Roman" w:cs="Times New Roman"/>
          <w:color w:val="000000" w:themeColor="text1"/>
          <w:sz w:val="22"/>
          <w:szCs w:val="22"/>
          <w:lang w:val="en-GB"/>
        </w:rPr>
        <w:t xml:space="preserve">, institutional affiliations) and users (distribution and capacity of existing devices, access to the transmission network, information needs, etc.). For this purpose, the technical assistance will include existing scientific projects for the development of mobile apps and innovative technology for use in civil protection. Cooperation will be encouraged with national and/or international actors who have relevant experience, including but not limited to: </w:t>
      </w:r>
    </w:p>
    <w:p w14:paraId="61CEA9AC" w14:textId="6996D42C" w:rsidR="002B0D61" w:rsidRPr="002B0D61" w:rsidRDefault="00EB39C5" w:rsidP="00400D29">
      <w:pPr>
        <w:pStyle w:val="ListParagraph"/>
        <w:numPr>
          <w:ilvl w:val="0"/>
          <w:numId w:val="26"/>
        </w:numPr>
        <w:rPr>
          <w:rFonts w:ascii="Times New Roman" w:hAnsi="Times New Roman" w:cs="Times New Roman"/>
          <w:color w:val="000000" w:themeColor="text1"/>
          <w:sz w:val="22"/>
          <w:szCs w:val="22"/>
          <w:lang w:val="en-GB"/>
        </w:rPr>
      </w:pPr>
      <w:r w:rsidRPr="002B0D61">
        <w:rPr>
          <w:rFonts w:ascii="Times New Roman" w:hAnsi="Times New Roman" w:cs="Times New Roman"/>
          <w:color w:val="000000" w:themeColor="text1"/>
          <w:sz w:val="22"/>
          <w:szCs w:val="22"/>
          <w:lang w:val="en-GB"/>
        </w:rPr>
        <w:t xml:space="preserve">In the context of the Global Initiative for the Management of the Risk of Disasters, the </w:t>
      </w:r>
      <w:r w:rsidR="00400D29" w:rsidRPr="002B0D61">
        <w:rPr>
          <w:rFonts w:ascii="Times New Roman" w:hAnsi="Times New Roman" w:cs="Times New Roman"/>
          <w:color w:val="000000" w:themeColor="text1"/>
          <w:sz w:val="22"/>
          <w:szCs w:val="22"/>
          <w:lang w:val="en-GB"/>
        </w:rPr>
        <w:t xml:space="preserve">Fraunhofer </w:t>
      </w:r>
      <w:r w:rsidRPr="002B0D61">
        <w:rPr>
          <w:rFonts w:ascii="Times New Roman" w:hAnsi="Times New Roman" w:cs="Times New Roman"/>
          <w:color w:val="000000" w:themeColor="text1"/>
          <w:sz w:val="22"/>
          <w:szCs w:val="22"/>
          <w:lang w:val="en-GB"/>
        </w:rPr>
        <w:t xml:space="preserve">scientific institute, and various universities with </w:t>
      </w:r>
      <w:r w:rsidR="00400D29" w:rsidRPr="002B0D61">
        <w:rPr>
          <w:rFonts w:ascii="Times New Roman" w:hAnsi="Times New Roman" w:cs="Times New Roman"/>
          <w:color w:val="000000" w:themeColor="text1"/>
          <w:sz w:val="22"/>
          <w:szCs w:val="22"/>
          <w:lang w:val="en-GB"/>
        </w:rPr>
        <w:t xml:space="preserve">active </w:t>
      </w:r>
      <w:r w:rsidRPr="002B0D61">
        <w:rPr>
          <w:rFonts w:ascii="Times New Roman" w:hAnsi="Times New Roman" w:cs="Times New Roman"/>
          <w:color w:val="000000" w:themeColor="text1"/>
          <w:sz w:val="22"/>
          <w:szCs w:val="22"/>
          <w:lang w:val="en-GB"/>
        </w:rPr>
        <w:t xml:space="preserve">EWS projects (e.g. Freie Universität Berlin, Universität Darmstadt). </w:t>
      </w:r>
    </w:p>
    <w:p w14:paraId="50500433" w14:textId="77777777" w:rsidR="002B0D61" w:rsidRPr="002B0D61" w:rsidRDefault="00EB39C5" w:rsidP="002B0D61">
      <w:pPr>
        <w:pStyle w:val="ListParagraph"/>
        <w:numPr>
          <w:ilvl w:val="0"/>
          <w:numId w:val="26"/>
        </w:numPr>
        <w:rPr>
          <w:rFonts w:ascii="Times New Roman" w:hAnsi="Times New Roman" w:cs="Times New Roman"/>
          <w:color w:val="000000" w:themeColor="text1"/>
          <w:sz w:val="22"/>
          <w:szCs w:val="22"/>
          <w:lang w:val="en-GB"/>
        </w:rPr>
      </w:pPr>
      <w:r w:rsidRPr="002B0D61">
        <w:rPr>
          <w:rFonts w:ascii="Times New Roman" w:hAnsi="Times New Roman" w:cs="Times New Roman"/>
          <w:color w:val="000000" w:themeColor="text1"/>
          <w:sz w:val="22"/>
          <w:szCs w:val="22"/>
          <w:lang w:val="en-GB"/>
        </w:rPr>
        <w:t>In the area of the use of apps, the German Federal Office for Civil Protection and Assistance for Disasters (</w:t>
      </w:r>
      <w:r w:rsidRPr="002B0D61">
        <w:rPr>
          <w:rFonts w:ascii="Times New Roman" w:hAnsi="Times New Roman" w:cs="Times New Roman"/>
          <w:i/>
          <w:iCs/>
          <w:color w:val="000000" w:themeColor="text1"/>
          <w:sz w:val="22"/>
          <w:szCs w:val="22"/>
          <w:lang w:val="en-GB"/>
        </w:rPr>
        <w:t>Bundesamt für Bevölerungsschutz und Katastrophenhilfe</w:t>
      </w:r>
      <w:r w:rsidRPr="002B0D61">
        <w:rPr>
          <w:rFonts w:ascii="Times New Roman" w:hAnsi="Times New Roman" w:cs="Times New Roman"/>
          <w:color w:val="000000" w:themeColor="text1"/>
          <w:sz w:val="22"/>
          <w:szCs w:val="22"/>
          <w:lang w:val="en-GB"/>
        </w:rPr>
        <w:t xml:space="preserve">, BBK), which has implemented an EWS app in Germany. </w:t>
      </w:r>
    </w:p>
    <w:p w14:paraId="28BDF4C4" w14:textId="77777777" w:rsidR="00EB39C5" w:rsidRPr="003C025A" w:rsidRDefault="00EB39C5" w:rsidP="00455BBF">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These experts will support the analysis of the possibilities of existing EWS apps (e.g. in Australia), in addition to the apps developed by the projects themselves, and propose realistic adaptations for the context of the Dominican Republic.</w:t>
      </w:r>
    </w:p>
    <w:p w14:paraId="1A63CDAF" w14:textId="77777777" w:rsidR="00D6325A" w:rsidRPr="003C025A" w:rsidRDefault="00D6325A" w:rsidP="00DB51B9">
      <w:pPr>
        <w:contextualSpacing/>
        <w:rPr>
          <w:rFonts w:ascii="Times New Roman" w:hAnsi="Times New Roman" w:cs="Times New Roman"/>
          <w:bCs/>
          <w:color w:val="000000" w:themeColor="text1"/>
          <w:sz w:val="22"/>
          <w:szCs w:val="22"/>
        </w:rPr>
      </w:pPr>
    </w:p>
    <w:p w14:paraId="01D67B2F" w14:textId="77777777" w:rsidR="00DB51B9" w:rsidRPr="00AB7287" w:rsidRDefault="00DB51B9"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4.1 –</w:t>
      </w:r>
      <w:r>
        <w:rPr>
          <w:rFonts w:ascii="Times New Roman" w:hAnsi="Times New Roman" w:cs="Times New Roman"/>
          <w:color w:val="000000" w:themeColor="text1"/>
          <w:sz w:val="22"/>
          <w:szCs w:val="22"/>
          <w:lang w:val="en-GB"/>
        </w:rPr>
        <w:t xml:space="preserve"> Review of experiences and existing approaches in other countries</w:t>
      </w:r>
    </w:p>
    <w:p w14:paraId="1C406DED" w14:textId="42554B6E"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4.2 –</w:t>
      </w:r>
      <w:r>
        <w:rPr>
          <w:rFonts w:ascii="Times New Roman" w:hAnsi="Times New Roman" w:cs="Times New Roman"/>
          <w:color w:val="000000" w:themeColor="text1"/>
          <w:sz w:val="22"/>
          <w:szCs w:val="22"/>
          <w:lang w:val="en-GB"/>
        </w:rPr>
        <w:t xml:space="preserve"> Documentation of possible uses of apps for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and related processes</w:t>
      </w:r>
    </w:p>
    <w:p w14:paraId="6EC5EB3F"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4.3 –</w:t>
      </w:r>
      <w:r>
        <w:rPr>
          <w:rFonts w:ascii="Times New Roman" w:hAnsi="Times New Roman" w:cs="Times New Roman"/>
          <w:color w:val="000000" w:themeColor="text1"/>
          <w:sz w:val="22"/>
          <w:szCs w:val="22"/>
          <w:lang w:val="en-GB"/>
        </w:rPr>
        <w:t xml:space="preserve"> Analysis of the framework conditions in the context of the Dominican Republic and the project area</w:t>
      </w:r>
    </w:p>
    <w:p w14:paraId="39DED20A"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4.4 –</w:t>
      </w:r>
      <w:r>
        <w:rPr>
          <w:rFonts w:ascii="Times New Roman" w:hAnsi="Times New Roman" w:cs="Times New Roman"/>
          <w:color w:val="000000" w:themeColor="text1"/>
          <w:sz w:val="22"/>
          <w:szCs w:val="22"/>
          <w:lang w:val="en-GB"/>
        </w:rPr>
        <w:t xml:space="preserve"> Documenting the framework conditions and recommendations for the use of apps or alternatives</w:t>
      </w:r>
    </w:p>
    <w:p w14:paraId="342C90BE" w14:textId="77777777" w:rsidR="00DB51B9" w:rsidRPr="00AB7287"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4.5 –</w:t>
      </w:r>
      <w:r>
        <w:rPr>
          <w:rFonts w:ascii="Times New Roman" w:hAnsi="Times New Roman" w:cs="Times New Roman"/>
          <w:color w:val="000000" w:themeColor="text1"/>
          <w:sz w:val="22"/>
          <w:szCs w:val="22"/>
          <w:lang w:val="en-GB"/>
        </w:rPr>
        <w:t xml:space="preserve"> Documenting technical specifications for an app or alternatives</w:t>
      </w:r>
    </w:p>
    <w:p w14:paraId="2CB98AF6" w14:textId="77777777" w:rsidR="001339FB" w:rsidRPr="00AB7287" w:rsidRDefault="001339FB" w:rsidP="001339FB">
      <w:pPr>
        <w:spacing w:after="0"/>
        <w:contextualSpacing/>
        <w:rPr>
          <w:rFonts w:ascii="Times New Roman" w:hAnsi="Times New Roman" w:cs="Times New Roman"/>
          <w:color w:val="000000" w:themeColor="text1"/>
          <w:sz w:val="22"/>
          <w:szCs w:val="22"/>
        </w:rPr>
      </w:pPr>
    </w:p>
    <w:p w14:paraId="6514D336" w14:textId="77777777" w:rsidR="00DB51B9" w:rsidRPr="00AB7287" w:rsidRDefault="00DB51B9" w:rsidP="00DB51B9">
      <w:pPr>
        <w:contextualSpacing/>
        <w:rPr>
          <w:rFonts w:ascii="Times New Roman" w:hAnsi="Times New Roman" w:cs="Times New Roman"/>
          <w:color w:val="000000" w:themeColor="text1"/>
          <w:sz w:val="22"/>
          <w:szCs w:val="22"/>
        </w:rPr>
      </w:pPr>
    </w:p>
    <w:tbl>
      <w:tblPr>
        <w:tblStyle w:val="TableGrid"/>
        <w:tblW w:w="0" w:type="auto"/>
        <w:tblInd w:w="108" w:type="dxa"/>
        <w:tblLook w:val="04A0" w:firstRow="1" w:lastRow="0" w:firstColumn="1" w:lastColumn="0" w:noHBand="0" w:noVBand="1"/>
      </w:tblPr>
      <w:tblGrid>
        <w:gridCol w:w="6660"/>
        <w:gridCol w:w="2469"/>
      </w:tblGrid>
      <w:tr w:rsidR="00DB51B9" w:rsidRPr="00AB7287" w14:paraId="141CD17E" w14:textId="77777777" w:rsidTr="00DB51B9">
        <w:tc>
          <w:tcPr>
            <w:tcW w:w="6660" w:type="dxa"/>
          </w:tcPr>
          <w:p w14:paraId="6AF7A245" w14:textId="77777777" w:rsidR="00DB51B9" w:rsidRPr="00AB7287" w:rsidRDefault="006835A9" w:rsidP="0014681E">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Deliverables</w:t>
            </w:r>
          </w:p>
        </w:tc>
        <w:tc>
          <w:tcPr>
            <w:tcW w:w="2469" w:type="dxa"/>
          </w:tcPr>
          <w:p w14:paraId="3919213C" w14:textId="77777777" w:rsidR="00DB51B9" w:rsidRPr="00AB7287" w:rsidRDefault="00DB51B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Delivery date</w:t>
            </w:r>
          </w:p>
        </w:tc>
      </w:tr>
      <w:tr w:rsidR="00DB51B9" w:rsidRPr="00AB7287" w14:paraId="1CB09245" w14:textId="77777777" w:rsidTr="00DB51B9">
        <w:tc>
          <w:tcPr>
            <w:tcW w:w="6660" w:type="dxa"/>
          </w:tcPr>
          <w:p w14:paraId="309D8852" w14:textId="4F868823" w:rsidR="00DB51B9" w:rsidRPr="00AB7287" w:rsidRDefault="00D6325A" w:rsidP="00D6325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Document on existing experiences and possible use of apps for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and related processes (increasing awareness and knowledge among the population, immediate response processes)</w:t>
            </w:r>
          </w:p>
        </w:tc>
        <w:tc>
          <w:tcPr>
            <w:tcW w:w="2469" w:type="dxa"/>
          </w:tcPr>
          <w:p w14:paraId="26837873" w14:textId="77777777" w:rsidR="00DB51B9" w:rsidRPr="00AB7287" w:rsidRDefault="00D6325A" w:rsidP="00DB51B9">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8</w:t>
            </w:r>
          </w:p>
        </w:tc>
      </w:tr>
      <w:tr w:rsidR="00D6325A" w:rsidRPr="00AB7287" w14:paraId="3AAFB5AD" w14:textId="77777777" w:rsidTr="00DB51B9">
        <w:tc>
          <w:tcPr>
            <w:tcW w:w="6660" w:type="dxa"/>
          </w:tcPr>
          <w:p w14:paraId="3CE82746" w14:textId="77777777" w:rsidR="00D6325A" w:rsidRPr="001339FB" w:rsidRDefault="00D6325A" w:rsidP="00D6325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Document on the framework conditions and recommendations for the use of apps or alternatives in the project area</w:t>
            </w:r>
          </w:p>
        </w:tc>
        <w:tc>
          <w:tcPr>
            <w:tcW w:w="2469" w:type="dxa"/>
          </w:tcPr>
          <w:p w14:paraId="313789D6" w14:textId="77777777" w:rsidR="00D6325A" w:rsidRPr="00AB7287" w:rsidRDefault="00D6325A" w:rsidP="00D6325A">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15</w:t>
            </w:r>
          </w:p>
        </w:tc>
      </w:tr>
      <w:tr w:rsidR="00D6325A" w:rsidRPr="00AB7287" w14:paraId="24A4644E" w14:textId="77777777" w:rsidTr="00DB51B9">
        <w:tc>
          <w:tcPr>
            <w:tcW w:w="6660" w:type="dxa"/>
          </w:tcPr>
          <w:p w14:paraId="01D98D03" w14:textId="77777777" w:rsidR="00D6325A" w:rsidRPr="001339FB" w:rsidRDefault="00D6325A" w:rsidP="00D6325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Document on technical specifications for an app or alternative technologies that can be implemented in the context of the pilot area and have potential for other risks</w:t>
            </w:r>
          </w:p>
        </w:tc>
        <w:tc>
          <w:tcPr>
            <w:tcW w:w="2469" w:type="dxa"/>
          </w:tcPr>
          <w:p w14:paraId="1203536E" w14:textId="77777777" w:rsidR="00D6325A" w:rsidRPr="00AB7287" w:rsidRDefault="00D6325A" w:rsidP="00D6325A">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17</w:t>
            </w:r>
          </w:p>
        </w:tc>
      </w:tr>
    </w:tbl>
    <w:p w14:paraId="51A8B770" w14:textId="77777777" w:rsidR="008526FF" w:rsidRDefault="008526FF" w:rsidP="00DB51B9">
      <w:pPr>
        <w:spacing w:after="0"/>
        <w:jc w:val="both"/>
        <w:rPr>
          <w:rFonts w:ascii="Times New Roman" w:hAnsi="Times New Roman" w:cs="Times New Roman"/>
          <w:b/>
          <w:color w:val="000000" w:themeColor="text1"/>
          <w:sz w:val="22"/>
          <w:szCs w:val="22"/>
        </w:rPr>
      </w:pPr>
    </w:p>
    <w:p w14:paraId="509218E1" w14:textId="77777777" w:rsidR="00DB51B9" w:rsidRDefault="006835A9" w:rsidP="00DB51B9">
      <w:pPr>
        <w:contextualSpacing/>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Activity 5 – Identifying outlines of project proposals agreed with the actors involved in the issue</w:t>
      </w:r>
    </w:p>
    <w:p w14:paraId="0FD15DBC" w14:textId="77777777" w:rsidR="006835A9" w:rsidRDefault="006835A9" w:rsidP="00DB51B9">
      <w:pPr>
        <w:contextualSpacing/>
        <w:rPr>
          <w:rFonts w:ascii="Times New Roman" w:hAnsi="Times New Roman" w:cs="Times New Roman"/>
          <w:bCs/>
          <w:i/>
          <w:color w:val="000000" w:themeColor="text1"/>
          <w:sz w:val="22"/>
          <w:szCs w:val="22"/>
        </w:rPr>
      </w:pPr>
    </w:p>
    <w:p w14:paraId="6E05C1A5" w14:textId="46D99A77" w:rsidR="000824C2" w:rsidRPr="003C025A" w:rsidRDefault="000824C2" w:rsidP="00DB51B9">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 xml:space="preserve">A process will be facilitated to outline potential projects to strengthen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as a result of the analyses carried out in the previous activities. This will involve discussions and reaching agreements with the actors involved to develop an action plan that fits the system in the Dominican </w:t>
      </w:r>
      <w:r>
        <w:rPr>
          <w:rFonts w:ascii="Times New Roman" w:hAnsi="Times New Roman" w:cs="Times New Roman"/>
          <w:color w:val="000000" w:themeColor="text1"/>
          <w:sz w:val="22"/>
          <w:szCs w:val="22"/>
          <w:lang w:val="en-GB"/>
        </w:rPr>
        <w:lastRenderedPageBreak/>
        <w:t xml:space="preserve">Republic, taking into account the regional capacity and the experiences of the CTCN technical network (e.g. Local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implemented by GIZ in partnership with the national and local authorities of the Philippines). </w:t>
      </w:r>
    </w:p>
    <w:p w14:paraId="6DE2DAAA" w14:textId="77777777" w:rsidR="00C73A5D" w:rsidRPr="003C025A" w:rsidRDefault="00C73A5D" w:rsidP="00DB51B9">
      <w:pPr>
        <w:contextualSpacing/>
        <w:rPr>
          <w:rFonts w:ascii="Times New Roman" w:hAnsi="Times New Roman" w:cs="Times New Roman"/>
          <w:bCs/>
          <w:color w:val="000000" w:themeColor="text1"/>
          <w:sz w:val="22"/>
          <w:szCs w:val="22"/>
        </w:rPr>
      </w:pPr>
    </w:p>
    <w:p w14:paraId="32EB9230" w14:textId="1A77628F" w:rsidR="00DB51B9" w:rsidRPr="003C025A" w:rsidRDefault="00DB51B9" w:rsidP="00BD7762">
      <w:pPr>
        <w:spacing w:after="0"/>
        <w:contextualSpacing/>
        <w:outlineLvl w:val="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5.1 –</w:t>
      </w:r>
      <w:r>
        <w:rPr>
          <w:rFonts w:ascii="Times New Roman" w:hAnsi="Times New Roman" w:cs="Times New Roman"/>
          <w:color w:val="000000" w:themeColor="text1"/>
          <w:sz w:val="22"/>
          <w:szCs w:val="22"/>
          <w:lang w:val="en-GB"/>
        </w:rPr>
        <w:t xml:space="preserve"> Systemati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ing the information and results of activities 1–4</w:t>
      </w:r>
    </w:p>
    <w:p w14:paraId="1253FA9B" w14:textId="6242BDDA" w:rsidR="00DB51B9" w:rsidRPr="003C025A"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5.2 –</w:t>
      </w:r>
      <w:r>
        <w:rPr>
          <w:rFonts w:ascii="Times New Roman" w:hAnsi="Times New Roman" w:cs="Times New Roman"/>
          <w:color w:val="000000" w:themeColor="text1"/>
          <w:sz w:val="22"/>
          <w:szCs w:val="22"/>
          <w:lang w:val="en-GB"/>
        </w:rPr>
        <w:t xml:space="preserve"> Preparing and holding a workshop to identify possible initiatives based on the systemati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ation</w:t>
      </w:r>
    </w:p>
    <w:p w14:paraId="3AC1C481" w14:textId="46397BAD" w:rsidR="00DB51B9" w:rsidRPr="003C025A" w:rsidRDefault="00DB51B9" w:rsidP="00DB51B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 xml:space="preserve">Activity 5.3 – </w:t>
      </w:r>
      <w:r>
        <w:rPr>
          <w:rFonts w:ascii="Times New Roman" w:hAnsi="Times New Roman" w:cs="Times New Roman"/>
          <w:color w:val="000000" w:themeColor="text1"/>
          <w:sz w:val="22"/>
          <w:szCs w:val="22"/>
          <w:lang w:val="en-GB"/>
        </w:rPr>
        <w:t>Reporting on systemati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ation, including the description of possible initiatives and terms of reference, in addition to the framework for proposals</w:t>
      </w:r>
    </w:p>
    <w:p w14:paraId="369C6B8B" w14:textId="77777777" w:rsidR="00DB51B9" w:rsidRPr="003C025A" w:rsidRDefault="00DB51B9" w:rsidP="00DB51B9">
      <w:pPr>
        <w:contextualSpacing/>
        <w:rPr>
          <w:rFonts w:ascii="Times New Roman" w:hAnsi="Times New Roman" w:cs="Times New Roman"/>
          <w:color w:val="000000" w:themeColor="text1"/>
          <w:sz w:val="22"/>
          <w:szCs w:val="22"/>
        </w:rPr>
      </w:pPr>
    </w:p>
    <w:p w14:paraId="29D695CE" w14:textId="77777777" w:rsidR="00AE38B3" w:rsidRPr="003C025A" w:rsidRDefault="00AE38B3" w:rsidP="00DB51B9">
      <w:pPr>
        <w:contextualSpacing/>
        <w:rPr>
          <w:rFonts w:ascii="Times New Roman" w:hAnsi="Times New Roman" w:cs="Times New Roman"/>
          <w:color w:val="000000" w:themeColor="text1"/>
          <w:sz w:val="22"/>
          <w:szCs w:val="22"/>
        </w:rPr>
      </w:pPr>
    </w:p>
    <w:tbl>
      <w:tblPr>
        <w:tblStyle w:val="TableGrid"/>
        <w:tblW w:w="0" w:type="auto"/>
        <w:tblInd w:w="108" w:type="dxa"/>
        <w:tblLook w:val="04A0" w:firstRow="1" w:lastRow="0" w:firstColumn="1" w:lastColumn="0" w:noHBand="0" w:noVBand="1"/>
      </w:tblPr>
      <w:tblGrid>
        <w:gridCol w:w="6660"/>
        <w:gridCol w:w="2469"/>
      </w:tblGrid>
      <w:tr w:rsidR="00DB51B9" w:rsidRPr="003C025A" w14:paraId="405A9531" w14:textId="77777777" w:rsidTr="00DB51B9">
        <w:tc>
          <w:tcPr>
            <w:tcW w:w="6660" w:type="dxa"/>
          </w:tcPr>
          <w:p w14:paraId="283DBF4D" w14:textId="77777777" w:rsidR="00DB51B9" w:rsidRPr="003C025A" w:rsidRDefault="006835A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Deliverables</w:t>
            </w:r>
          </w:p>
        </w:tc>
        <w:tc>
          <w:tcPr>
            <w:tcW w:w="2469" w:type="dxa"/>
          </w:tcPr>
          <w:p w14:paraId="63E0C10A" w14:textId="77777777" w:rsidR="00DB51B9" w:rsidRPr="003C025A" w:rsidRDefault="00DB51B9" w:rsidP="00DB51B9">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Delivery date</w:t>
            </w:r>
          </w:p>
        </w:tc>
      </w:tr>
      <w:tr w:rsidR="00DB51B9" w:rsidRPr="003C025A" w14:paraId="5E73872C" w14:textId="77777777" w:rsidTr="00DB51B9">
        <w:tc>
          <w:tcPr>
            <w:tcW w:w="6660" w:type="dxa"/>
          </w:tcPr>
          <w:p w14:paraId="6E1A5C9A" w14:textId="019B99A0" w:rsidR="00DB51B9" w:rsidRPr="003C025A" w:rsidRDefault="00DB51B9" w:rsidP="000824C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Document with systemati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ation of the results of activities 1–4</w:t>
            </w:r>
          </w:p>
        </w:tc>
        <w:tc>
          <w:tcPr>
            <w:tcW w:w="2469" w:type="dxa"/>
          </w:tcPr>
          <w:p w14:paraId="045F7E0E" w14:textId="77777777" w:rsidR="00DB51B9" w:rsidRPr="003C025A" w:rsidRDefault="000824C2" w:rsidP="00DB51B9">
            <w:pPr>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color w:val="000000" w:themeColor="text1"/>
                <w:sz w:val="22"/>
                <w:szCs w:val="22"/>
                <w:lang w:val="en-GB"/>
              </w:rPr>
              <w:t>Week 20</w:t>
            </w:r>
          </w:p>
        </w:tc>
      </w:tr>
      <w:tr w:rsidR="000824C2" w:rsidRPr="003C025A" w14:paraId="104FF998" w14:textId="77777777" w:rsidTr="00DB51B9">
        <w:tc>
          <w:tcPr>
            <w:tcW w:w="6660" w:type="dxa"/>
          </w:tcPr>
          <w:p w14:paraId="111583A5" w14:textId="77777777" w:rsidR="000824C2" w:rsidRPr="003C025A" w:rsidRDefault="000824C2" w:rsidP="000824C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Document with description of agreed proposals for intervention </w:t>
            </w:r>
          </w:p>
        </w:tc>
        <w:tc>
          <w:tcPr>
            <w:tcW w:w="2469" w:type="dxa"/>
          </w:tcPr>
          <w:p w14:paraId="0168108F" w14:textId="77777777" w:rsidR="000824C2" w:rsidRPr="003C025A" w:rsidRDefault="000824C2" w:rsidP="000824C2">
            <w:pPr>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color w:val="000000" w:themeColor="text1"/>
                <w:sz w:val="22"/>
                <w:szCs w:val="22"/>
                <w:lang w:val="en-GB"/>
              </w:rPr>
              <w:t>Week 24</w:t>
            </w:r>
          </w:p>
        </w:tc>
      </w:tr>
    </w:tbl>
    <w:p w14:paraId="6727062C" w14:textId="77777777" w:rsidR="00DB51B9" w:rsidRPr="003C025A" w:rsidRDefault="00DB51B9" w:rsidP="00DB51B9">
      <w:pPr>
        <w:spacing w:after="0" w:line="276" w:lineRule="auto"/>
        <w:rPr>
          <w:rFonts w:ascii="Times New Roman" w:hAnsi="Times New Roman" w:cs="Times New Roman"/>
          <w:b/>
          <w:color w:val="000000" w:themeColor="text1"/>
          <w:sz w:val="22"/>
          <w:szCs w:val="22"/>
        </w:rPr>
      </w:pPr>
      <w:bookmarkStart w:id="0" w:name="_GoBack"/>
      <w:bookmarkEnd w:id="0"/>
    </w:p>
    <w:p w14:paraId="5F24B60A" w14:textId="1E428DF9" w:rsidR="007D06B5" w:rsidRPr="003C025A" w:rsidRDefault="007D06B5" w:rsidP="007D06B5">
      <w:pPr>
        <w:contextualSpacing/>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Activity 6 – Organi</w:t>
      </w:r>
      <w:r w:rsidR="004244C5">
        <w:rPr>
          <w:rFonts w:ascii="Times New Roman" w:hAnsi="Times New Roman" w:cs="Times New Roman"/>
          <w:b/>
          <w:bCs/>
          <w:color w:val="000000" w:themeColor="text1"/>
          <w:sz w:val="22"/>
          <w:szCs w:val="22"/>
          <w:lang w:val="en-GB"/>
        </w:rPr>
        <w:t>z</w:t>
      </w:r>
      <w:r>
        <w:rPr>
          <w:rFonts w:ascii="Times New Roman" w:hAnsi="Times New Roman" w:cs="Times New Roman"/>
          <w:b/>
          <w:bCs/>
          <w:color w:val="000000" w:themeColor="text1"/>
          <w:sz w:val="22"/>
          <w:szCs w:val="22"/>
          <w:lang w:val="en-GB"/>
        </w:rPr>
        <w:t>ation of a regional conference with donors and regional representatives undertaking EWS reforms in the Caribbean to present results, generate interest among donors and promote South-South cooperation</w:t>
      </w:r>
    </w:p>
    <w:p w14:paraId="1E687CF2" w14:textId="77777777" w:rsidR="007D06B5" w:rsidRPr="003C025A" w:rsidRDefault="007D06B5" w:rsidP="007D06B5">
      <w:pPr>
        <w:contextualSpacing/>
        <w:rPr>
          <w:rFonts w:ascii="Times New Roman" w:hAnsi="Times New Roman" w:cs="Times New Roman"/>
          <w:bCs/>
          <w:i/>
          <w:color w:val="000000" w:themeColor="text1"/>
          <w:sz w:val="22"/>
          <w:szCs w:val="22"/>
        </w:rPr>
      </w:pPr>
    </w:p>
    <w:p w14:paraId="298E0531" w14:textId="323C2FE2" w:rsidR="007D06B5" w:rsidRDefault="000E44B3" w:rsidP="007D06B5">
      <w:pPr>
        <w:contextualSpacing/>
        <w:rPr>
          <w:rFonts w:ascii="Times New Roman" w:hAnsi="Times New Roman" w:cs="Times New Roman"/>
          <w:bCs/>
          <w:color w:val="000000" w:themeColor="text1"/>
          <w:sz w:val="22"/>
          <w:szCs w:val="22"/>
        </w:rPr>
      </w:pPr>
      <w:r>
        <w:rPr>
          <w:rFonts w:ascii="Times New Roman" w:hAnsi="Times New Roman" w:cs="Times New Roman"/>
          <w:color w:val="000000" w:themeColor="text1"/>
          <w:sz w:val="22"/>
          <w:szCs w:val="22"/>
          <w:lang w:val="en-GB"/>
        </w:rPr>
        <w:t>A conference will be organi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ed, inviting 3–5 representatives from countries with expertise in the management of risk/</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(e.g. Cuba, Mexico), regional organi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ations active in the area (e.g. the Coordination Centre for the Prevention of Natural Disasters in Central America [CEPREDENAC]) and possibly inter</w:t>
      </w:r>
      <w:r w:rsidR="004244C5">
        <w:rPr>
          <w:rFonts w:ascii="Times New Roman" w:hAnsi="Times New Roman" w:cs="Times New Roman"/>
          <w:color w:val="000000" w:themeColor="text1"/>
          <w:sz w:val="22"/>
          <w:szCs w:val="22"/>
          <w:lang w:val="en-GB"/>
        </w:rPr>
        <w:t>regional</w:t>
      </w:r>
      <w:r>
        <w:rPr>
          <w:rFonts w:ascii="Times New Roman" w:hAnsi="Times New Roman" w:cs="Times New Roman"/>
          <w:color w:val="000000" w:themeColor="text1"/>
          <w:sz w:val="22"/>
          <w:szCs w:val="22"/>
          <w:lang w:val="en-GB"/>
        </w:rPr>
        <w:t xml:space="preserve"> representatives with relevant expertise (e.g. the experience of the Philippines). Relevant donors will be invited (e.g. Adaptation Fund and DIPECHO) to present the results to them and encourage them to invest in the continued implementation of reforming the</w:t>
      </w:r>
      <w:r w:rsidR="00876463">
        <w:rPr>
          <w:rFonts w:ascii="Times New Roman" w:hAnsi="Times New Roman" w:cs="Times New Roman"/>
          <w:color w:val="000000" w:themeColor="text1"/>
          <w:sz w:val="22"/>
          <w:szCs w:val="22"/>
          <w:lang w:val="en-GB"/>
        </w:rPr>
        <w:t xml:space="preserve"> </w:t>
      </w:r>
      <w:r>
        <w:rPr>
          <w:rFonts w:ascii="Times New Roman" w:hAnsi="Times New Roman" w:cs="Times New Roman"/>
          <w:color w:val="000000" w:themeColor="text1"/>
          <w:sz w:val="22"/>
          <w:szCs w:val="22"/>
          <w:lang w:val="en-GB"/>
        </w:rPr>
        <w:t>EWS</w:t>
      </w:r>
      <w:r w:rsidR="00876463">
        <w:rPr>
          <w:rFonts w:ascii="Times New Roman" w:hAnsi="Times New Roman" w:cs="Times New Roman"/>
          <w:color w:val="000000" w:themeColor="text1"/>
          <w:sz w:val="22"/>
          <w:szCs w:val="22"/>
          <w:lang w:val="en-GB"/>
        </w:rPr>
        <w:t xml:space="preserve"> in the</w:t>
      </w:r>
      <w:r w:rsidR="00876463" w:rsidRPr="00876463">
        <w:rPr>
          <w:rFonts w:ascii="Times New Roman" w:hAnsi="Times New Roman" w:cs="Times New Roman"/>
          <w:color w:val="000000" w:themeColor="text1"/>
          <w:sz w:val="22"/>
          <w:szCs w:val="22"/>
          <w:lang w:val="en-GB"/>
        </w:rPr>
        <w:t xml:space="preserve"> </w:t>
      </w:r>
      <w:r w:rsidR="00876463">
        <w:rPr>
          <w:rFonts w:ascii="Times New Roman" w:hAnsi="Times New Roman" w:cs="Times New Roman"/>
          <w:color w:val="000000" w:themeColor="text1"/>
          <w:sz w:val="22"/>
          <w:szCs w:val="22"/>
          <w:lang w:val="en-GB"/>
        </w:rPr>
        <w:t>Dominican Republic</w:t>
      </w:r>
      <w:r>
        <w:rPr>
          <w:rFonts w:ascii="Times New Roman" w:hAnsi="Times New Roman" w:cs="Times New Roman"/>
          <w:color w:val="000000" w:themeColor="text1"/>
          <w:sz w:val="22"/>
          <w:szCs w:val="22"/>
          <w:lang w:val="en-GB"/>
        </w:rPr>
        <w:t>.</w:t>
      </w:r>
    </w:p>
    <w:p w14:paraId="4869E1E5" w14:textId="77777777" w:rsidR="007D06B5" w:rsidRDefault="007D06B5" w:rsidP="007D06B5">
      <w:pPr>
        <w:contextualSpacing/>
        <w:rPr>
          <w:rFonts w:ascii="Times New Roman" w:hAnsi="Times New Roman" w:cs="Times New Roman"/>
          <w:bCs/>
          <w:color w:val="000000" w:themeColor="text1"/>
          <w:sz w:val="22"/>
          <w:szCs w:val="22"/>
        </w:rPr>
      </w:pPr>
    </w:p>
    <w:p w14:paraId="210BF7C5" w14:textId="77777777" w:rsidR="007D06B5" w:rsidRPr="00AB7287" w:rsidRDefault="007D06B5" w:rsidP="007D06B5">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 xml:space="preserve">Activity 6.1 – </w:t>
      </w:r>
      <w:r>
        <w:rPr>
          <w:rFonts w:ascii="Times New Roman" w:hAnsi="Times New Roman" w:cs="Times New Roman"/>
          <w:color w:val="000000" w:themeColor="text1"/>
          <w:sz w:val="22"/>
          <w:szCs w:val="22"/>
          <w:lang w:val="en-GB"/>
        </w:rPr>
        <w:t>Identify potential donors and regional and international representatives to participate</w:t>
      </w:r>
    </w:p>
    <w:p w14:paraId="632CF16B" w14:textId="330DF84D" w:rsidR="007D06B5" w:rsidRPr="00AB7287" w:rsidRDefault="007D06B5" w:rsidP="00400D29">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Activity 6.2 –</w:t>
      </w:r>
      <w:r>
        <w:rPr>
          <w:rFonts w:ascii="Times New Roman" w:hAnsi="Times New Roman" w:cs="Times New Roman"/>
          <w:color w:val="000000" w:themeColor="text1"/>
          <w:sz w:val="22"/>
          <w:szCs w:val="22"/>
          <w:lang w:val="en-GB"/>
        </w:rPr>
        <w:t xml:space="preserve"> Organi</w:t>
      </w:r>
      <w:r w:rsidR="004244C5">
        <w:rPr>
          <w:rFonts w:ascii="Times New Roman" w:hAnsi="Times New Roman" w:cs="Times New Roman"/>
          <w:color w:val="000000" w:themeColor="text1"/>
          <w:sz w:val="22"/>
          <w:szCs w:val="22"/>
          <w:lang w:val="en-GB"/>
        </w:rPr>
        <w:t>z</w:t>
      </w:r>
      <w:r w:rsidR="00400D29">
        <w:rPr>
          <w:rFonts w:ascii="Times New Roman" w:hAnsi="Times New Roman" w:cs="Times New Roman"/>
          <w:color w:val="000000" w:themeColor="text1"/>
          <w:sz w:val="22"/>
          <w:szCs w:val="22"/>
          <w:lang w:val="en-GB"/>
        </w:rPr>
        <w:t>e a</w:t>
      </w:r>
      <w:r>
        <w:rPr>
          <w:rFonts w:ascii="Times New Roman" w:hAnsi="Times New Roman" w:cs="Times New Roman"/>
          <w:color w:val="000000" w:themeColor="text1"/>
          <w:sz w:val="22"/>
          <w:szCs w:val="22"/>
          <w:lang w:val="en-GB"/>
        </w:rPr>
        <w:t xml:space="preserve"> 2–3 day conference with the support of the local partner </w:t>
      </w:r>
    </w:p>
    <w:p w14:paraId="4E368032" w14:textId="77777777" w:rsidR="007D06B5" w:rsidRPr="00AB7287" w:rsidRDefault="007D06B5" w:rsidP="007D06B5">
      <w:pPr>
        <w:spacing w:after="0"/>
        <w:contextualSpacing/>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lang w:val="en-GB"/>
        </w:rPr>
        <w:t xml:space="preserve">Activity 6.3 – </w:t>
      </w:r>
      <w:r>
        <w:rPr>
          <w:rFonts w:ascii="Times New Roman" w:hAnsi="Times New Roman" w:cs="Times New Roman"/>
          <w:color w:val="000000" w:themeColor="text1"/>
          <w:sz w:val="22"/>
          <w:szCs w:val="22"/>
          <w:lang w:val="en-GB"/>
        </w:rPr>
        <w:t xml:space="preserve">Deliver the conference report </w:t>
      </w:r>
    </w:p>
    <w:p w14:paraId="1BE0CE57" w14:textId="77777777" w:rsidR="007D06B5" w:rsidRDefault="007D06B5" w:rsidP="007D06B5">
      <w:pPr>
        <w:spacing w:after="0"/>
        <w:contextualSpacing/>
        <w:rPr>
          <w:rFonts w:ascii="Times New Roman" w:hAnsi="Times New Roman" w:cs="Times New Roman"/>
          <w:color w:val="000000" w:themeColor="text1"/>
          <w:sz w:val="22"/>
          <w:szCs w:val="22"/>
        </w:rPr>
      </w:pPr>
    </w:p>
    <w:p w14:paraId="1A58A0B9" w14:textId="77777777" w:rsidR="007D06B5" w:rsidRPr="00AB7287" w:rsidRDefault="007D06B5" w:rsidP="007D06B5">
      <w:pPr>
        <w:contextualSpacing/>
        <w:rPr>
          <w:rFonts w:ascii="Times New Roman" w:hAnsi="Times New Roman" w:cs="Times New Roman"/>
          <w:color w:val="000000" w:themeColor="text1"/>
          <w:sz w:val="22"/>
          <w:szCs w:val="22"/>
        </w:rPr>
      </w:pPr>
    </w:p>
    <w:tbl>
      <w:tblPr>
        <w:tblStyle w:val="TableGrid"/>
        <w:tblW w:w="0" w:type="auto"/>
        <w:tblInd w:w="108" w:type="dxa"/>
        <w:tblLook w:val="04A0" w:firstRow="1" w:lastRow="0" w:firstColumn="1" w:lastColumn="0" w:noHBand="0" w:noVBand="1"/>
      </w:tblPr>
      <w:tblGrid>
        <w:gridCol w:w="6804"/>
        <w:gridCol w:w="2325"/>
      </w:tblGrid>
      <w:tr w:rsidR="007D06B5" w:rsidRPr="00AB7287" w14:paraId="1B6087EB" w14:textId="77777777" w:rsidTr="00EA5907">
        <w:tc>
          <w:tcPr>
            <w:tcW w:w="6804" w:type="dxa"/>
          </w:tcPr>
          <w:p w14:paraId="551A86C3" w14:textId="77777777" w:rsidR="007D06B5" w:rsidRPr="00AB7287" w:rsidRDefault="007D06B5" w:rsidP="007D06B5">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Deliverables</w:t>
            </w:r>
          </w:p>
        </w:tc>
        <w:tc>
          <w:tcPr>
            <w:tcW w:w="2325" w:type="dxa"/>
          </w:tcPr>
          <w:p w14:paraId="75B0D176" w14:textId="77777777" w:rsidR="007D06B5" w:rsidRPr="00AB7287" w:rsidRDefault="007D06B5" w:rsidP="007D06B5">
            <w:pPr>
              <w:jc w:val="both"/>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Delivery date</w:t>
            </w:r>
          </w:p>
        </w:tc>
      </w:tr>
      <w:tr w:rsidR="007D06B5" w:rsidRPr="00AB7287" w14:paraId="3930E531" w14:textId="77777777" w:rsidTr="00EA5907">
        <w:tc>
          <w:tcPr>
            <w:tcW w:w="6804" w:type="dxa"/>
          </w:tcPr>
          <w:p w14:paraId="614AF326" w14:textId="77777777" w:rsidR="007D06B5" w:rsidRPr="00AB7287" w:rsidRDefault="00EA5907" w:rsidP="007D06B5">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Presentations on the project</w:t>
            </w:r>
          </w:p>
        </w:tc>
        <w:tc>
          <w:tcPr>
            <w:tcW w:w="2325" w:type="dxa"/>
          </w:tcPr>
          <w:p w14:paraId="135EDC2A" w14:textId="77777777" w:rsidR="007D06B5" w:rsidRPr="00AB7287" w:rsidRDefault="007D06B5" w:rsidP="00EA5907">
            <w:pPr>
              <w:jc w:val="both"/>
              <w:rPr>
                <w:rFonts w:ascii="Times New Roman" w:eastAsia="Times New Roman" w:hAnsi="Times New Roman" w:cs="Times New Roman"/>
                <w:bCs/>
                <w:color w:val="000000" w:themeColor="text1"/>
                <w:sz w:val="22"/>
                <w:szCs w:val="22"/>
                <w:highlight w:val="yellow"/>
              </w:rPr>
            </w:pPr>
            <w:r>
              <w:rPr>
                <w:rFonts w:ascii="Times New Roman" w:eastAsia="Times New Roman" w:hAnsi="Times New Roman" w:cs="Times New Roman"/>
                <w:color w:val="000000" w:themeColor="text1"/>
                <w:sz w:val="22"/>
                <w:szCs w:val="22"/>
                <w:lang w:val="en-GB"/>
              </w:rPr>
              <w:t>Week 27</w:t>
            </w:r>
          </w:p>
        </w:tc>
      </w:tr>
      <w:tr w:rsidR="007D06B5" w:rsidRPr="00AB7287" w14:paraId="00698246" w14:textId="77777777" w:rsidTr="00EA5907">
        <w:tc>
          <w:tcPr>
            <w:tcW w:w="6804" w:type="dxa"/>
          </w:tcPr>
          <w:p w14:paraId="23D5498A" w14:textId="77777777" w:rsidR="007D06B5" w:rsidRPr="00AB7287" w:rsidRDefault="00EA5907" w:rsidP="007D06B5">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Documenting the conference </w:t>
            </w:r>
          </w:p>
        </w:tc>
        <w:tc>
          <w:tcPr>
            <w:tcW w:w="2325" w:type="dxa"/>
          </w:tcPr>
          <w:p w14:paraId="48730A93" w14:textId="77777777" w:rsidR="007D06B5" w:rsidRDefault="007D06B5" w:rsidP="00EA5907">
            <w:pPr>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color w:val="000000" w:themeColor="text1"/>
                <w:sz w:val="22"/>
                <w:szCs w:val="22"/>
                <w:lang w:val="en-GB"/>
              </w:rPr>
              <w:t>Week 32</w:t>
            </w:r>
          </w:p>
        </w:tc>
      </w:tr>
    </w:tbl>
    <w:p w14:paraId="6AB754E0" w14:textId="77777777" w:rsidR="00DD240F" w:rsidRPr="005C04D5" w:rsidRDefault="00DD240F" w:rsidP="005C04D5">
      <w:pPr>
        <w:spacing w:after="0" w:line="276" w:lineRule="auto"/>
        <w:rPr>
          <w:rFonts w:ascii="Times New Roman" w:hAnsi="Times New Roman" w:cs="Times New Roman"/>
          <w:b/>
          <w:color w:val="000000" w:themeColor="text1"/>
          <w:sz w:val="22"/>
          <w:szCs w:val="22"/>
        </w:rPr>
      </w:pPr>
    </w:p>
    <w:p w14:paraId="2EACCA18" w14:textId="77777777" w:rsidR="007E5C5F" w:rsidRPr="00750449" w:rsidRDefault="007E5C5F" w:rsidP="007E5C5F">
      <w:pPr>
        <w:pStyle w:val="ListParagraph"/>
        <w:numPr>
          <w:ilvl w:val="1"/>
          <w:numId w:val="11"/>
        </w:numPr>
        <w:spacing w:after="0" w:line="276" w:lineRule="auto"/>
        <w:rPr>
          <w:rFonts w:ascii="Times New Roman" w:hAnsi="Times New Roman" w:cs="Times New Roman"/>
          <w:b/>
          <w:color w:val="000000" w:themeColor="text1"/>
          <w:sz w:val="22"/>
          <w:szCs w:val="22"/>
          <w:lang w:val="en-GB"/>
        </w:rPr>
      </w:pPr>
      <w:r w:rsidRPr="00750449">
        <w:rPr>
          <w:rFonts w:ascii="Times New Roman" w:hAnsi="Times New Roman" w:cs="Times New Roman"/>
          <w:b/>
          <w:color w:val="000000" w:themeColor="text1"/>
          <w:sz w:val="22"/>
          <w:szCs w:val="22"/>
          <w:lang w:val="en-GB"/>
        </w:rPr>
        <w:t>Expertise required</w:t>
      </w:r>
    </w:p>
    <w:p w14:paraId="2FFF3790" w14:textId="77777777" w:rsidR="005C04D5" w:rsidRPr="002815D8" w:rsidRDefault="005C04D5" w:rsidP="005C04D5">
      <w:pPr>
        <w:spacing w:after="0" w:line="276" w:lineRule="auto"/>
        <w:rPr>
          <w:rFonts w:ascii="Times New Roman" w:hAnsi="Times New Roman" w:cs="Times New Roman"/>
          <w:i/>
          <w:color w:val="000000" w:themeColor="text1"/>
          <w:sz w:val="22"/>
          <w:szCs w:val="22"/>
        </w:rPr>
      </w:pPr>
    </w:p>
    <w:p w14:paraId="6D035DAF" w14:textId="31785022" w:rsidR="000467B5" w:rsidRDefault="000467B5" w:rsidP="005C04D5">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Expertise in the development and implementation of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focused on the population, with practical experience at the different levels involved (national and local), analysis capacities for the relevant processes and the skills to facilitate work processes with multiple actors. Practical institutional training experience for the operation and maintenance of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is also required.</w:t>
      </w:r>
    </w:p>
    <w:p w14:paraId="352E02A1" w14:textId="77777777" w:rsidR="003F4477" w:rsidRDefault="003F4477" w:rsidP="005C04D5">
      <w:pPr>
        <w:spacing w:after="0" w:line="276" w:lineRule="auto"/>
        <w:rPr>
          <w:rFonts w:ascii="Times New Roman" w:hAnsi="Times New Roman" w:cs="Times New Roman"/>
          <w:color w:val="000000" w:themeColor="text1"/>
          <w:sz w:val="22"/>
          <w:szCs w:val="22"/>
        </w:rPr>
      </w:pPr>
    </w:p>
    <w:p w14:paraId="41279E4C" w14:textId="109E3468" w:rsidR="003F4477" w:rsidRDefault="00400D29" w:rsidP="00400D2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Expertise in </w:t>
      </w:r>
      <w:r w:rsidR="003F4477">
        <w:rPr>
          <w:rFonts w:ascii="Times New Roman" w:hAnsi="Times New Roman" w:cs="Times New Roman"/>
          <w:color w:val="000000" w:themeColor="text1"/>
          <w:sz w:val="22"/>
          <w:szCs w:val="22"/>
          <w:lang w:val="en-GB"/>
        </w:rPr>
        <w:t xml:space="preserve">new ICT, with a focus on the development of </w:t>
      </w:r>
      <w:r>
        <w:rPr>
          <w:rFonts w:ascii="Times New Roman" w:hAnsi="Times New Roman" w:cs="Times New Roman"/>
          <w:color w:val="000000" w:themeColor="text1"/>
          <w:sz w:val="22"/>
          <w:szCs w:val="22"/>
          <w:lang w:val="en-GB"/>
        </w:rPr>
        <w:t xml:space="preserve">web </w:t>
      </w:r>
      <w:r w:rsidR="003F4477">
        <w:rPr>
          <w:rFonts w:ascii="Times New Roman" w:hAnsi="Times New Roman" w:cs="Times New Roman"/>
          <w:color w:val="000000" w:themeColor="text1"/>
          <w:sz w:val="22"/>
          <w:szCs w:val="22"/>
          <w:lang w:val="en-GB"/>
        </w:rPr>
        <w:t>apps and smartphones, analysis capacities for technology for transmission over telecommunications net</w:t>
      </w:r>
      <w:r>
        <w:rPr>
          <w:rFonts w:ascii="Times New Roman" w:hAnsi="Times New Roman" w:cs="Times New Roman"/>
          <w:color w:val="000000" w:themeColor="text1"/>
          <w:sz w:val="22"/>
          <w:szCs w:val="22"/>
          <w:lang w:val="en-GB"/>
        </w:rPr>
        <w:t xml:space="preserve">works and experience using ICT in the context of managing natural disasters </w:t>
      </w:r>
      <w:r w:rsidR="003F4477">
        <w:rPr>
          <w:rFonts w:ascii="Times New Roman" w:hAnsi="Times New Roman" w:cs="Times New Roman"/>
          <w:color w:val="000000" w:themeColor="text1"/>
          <w:sz w:val="22"/>
          <w:szCs w:val="22"/>
          <w:lang w:val="en-GB"/>
        </w:rPr>
        <w:t xml:space="preserve">risks. </w:t>
      </w:r>
    </w:p>
    <w:p w14:paraId="27F0B236" w14:textId="77777777" w:rsidR="00DC241D" w:rsidRDefault="00DC241D" w:rsidP="005C04D5">
      <w:pPr>
        <w:spacing w:after="0" w:line="276" w:lineRule="auto"/>
        <w:rPr>
          <w:rFonts w:ascii="Times New Roman" w:hAnsi="Times New Roman" w:cs="Times New Roman"/>
          <w:color w:val="000000" w:themeColor="text1"/>
          <w:sz w:val="22"/>
          <w:szCs w:val="22"/>
        </w:rPr>
      </w:pPr>
    </w:p>
    <w:p w14:paraId="57F18AF9" w14:textId="66688669" w:rsidR="00DC241D" w:rsidRDefault="00DC241D" w:rsidP="00400D2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Expertise o</w:t>
      </w:r>
      <w:r w:rsidR="00400D29">
        <w:rPr>
          <w:rFonts w:ascii="Times New Roman" w:hAnsi="Times New Roman" w:cs="Times New Roman"/>
          <w:color w:val="000000" w:themeColor="text1"/>
          <w:sz w:val="22"/>
          <w:szCs w:val="22"/>
          <w:lang w:val="en-GB"/>
        </w:rPr>
        <w:t>n</w:t>
      </w:r>
      <w:r>
        <w:rPr>
          <w:rFonts w:ascii="Times New Roman" w:hAnsi="Times New Roman" w:cs="Times New Roman"/>
          <w:color w:val="000000" w:themeColor="text1"/>
          <w:sz w:val="22"/>
          <w:szCs w:val="22"/>
          <w:lang w:val="en-GB"/>
        </w:rPr>
        <w:t xml:space="preserve"> the local situation and the actors involved to ensure sustainable integration with the </w:t>
      </w:r>
      <w:r w:rsidR="007E5C5F">
        <w:rPr>
          <w:rFonts w:ascii="Times New Roman" w:hAnsi="Times New Roman" w:cs="Times New Roman"/>
          <w:color w:val="000000" w:themeColor="text1"/>
          <w:sz w:val="22"/>
          <w:szCs w:val="22"/>
          <w:lang w:val="en-GB"/>
        </w:rPr>
        <w:t>partner</w:t>
      </w:r>
      <w:r>
        <w:rPr>
          <w:rFonts w:ascii="Times New Roman" w:hAnsi="Times New Roman" w:cs="Times New Roman"/>
          <w:color w:val="000000" w:themeColor="text1"/>
          <w:sz w:val="22"/>
          <w:szCs w:val="22"/>
          <w:lang w:val="en-GB"/>
        </w:rPr>
        <w:t>’s system.</w:t>
      </w:r>
    </w:p>
    <w:p w14:paraId="686D45A0" w14:textId="77777777" w:rsidR="000467B5" w:rsidRDefault="000467B5" w:rsidP="005C04D5">
      <w:pPr>
        <w:spacing w:after="0" w:line="276" w:lineRule="auto"/>
        <w:rPr>
          <w:rFonts w:ascii="Times New Roman" w:hAnsi="Times New Roman" w:cs="Times New Roman"/>
          <w:color w:val="000000" w:themeColor="text1"/>
          <w:sz w:val="22"/>
          <w:szCs w:val="22"/>
        </w:rPr>
      </w:pPr>
    </w:p>
    <w:p w14:paraId="4314FCCB" w14:textId="77777777" w:rsidR="005C04D5" w:rsidRPr="00F21B90" w:rsidRDefault="005C04D5" w:rsidP="005C04D5">
      <w:pPr>
        <w:pStyle w:val="ListParagraph"/>
        <w:spacing w:after="0" w:line="276" w:lineRule="auto"/>
        <w:rPr>
          <w:rFonts w:ascii="Times New Roman" w:hAnsi="Times New Roman" w:cs="Times New Roman"/>
          <w:b/>
          <w:color w:val="000000" w:themeColor="text1"/>
          <w:sz w:val="22"/>
          <w:szCs w:val="22"/>
        </w:rPr>
      </w:pPr>
    </w:p>
    <w:p w14:paraId="1732C048" w14:textId="62E15869" w:rsidR="005C04D5" w:rsidRPr="00732339" w:rsidRDefault="005C04D5" w:rsidP="007E5C5F">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lastRenderedPageBreak/>
        <w:t xml:space="preserve">2.3 </w:t>
      </w:r>
      <w:r w:rsidR="007E5C5F">
        <w:rPr>
          <w:rFonts w:ascii="Times New Roman" w:hAnsi="Times New Roman" w:cs="Times New Roman"/>
          <w:b/>
          <w:bCs/>
          <w:color w:val="000000" w:themeColor="text1"/>
          <w:sz w:val="22"/>
          <w:szCs w:val="22"/>
          <w:lang w:val="en-GB"/>
        </w:rPr>
        <w:t>Main partners</w:t>
      </w:r>
    </w:p>
    <w:p w14:paraId="1107370B" w14:textId="77777777" w:rsidR="005C04D5" w:rsidRPr="00F21B90" w:rsidRDefault="005C04D5" w:rsidP="005C04D5">
      <w:pPr>
        <w:pStyle w:val="ListParagraph"/>
        <w:spacing w:after="0" w:line="276" w:lineRule="auto"/>
        <w:rPr>
          <w:rFonts w:ascii="Times New Roman" w:hAnsi="Times New Roman" w:cs="Times New Roman"/>
          <w:b/>
          <w:color w:val="000000" w:themeColor="text1"/>
          <w:sz w:val="22"/>
          <w:szCs w:val="22"/>
        </w:rPr>
      </w:pPr>
    </w:p>
    <w:p w14:paraId="5CD74CE7" w14:textId="7BAFF387" w:rsidR="00BF686C" w:rsidRPr="003C025A" w:rsidRDefault="00F35527" w:rsidP="003D596B">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As CTCN NDE, the Ministry of Environment and Natural Resources will supervise the work process to ensure its quality</w:t>
      </w:r>
      <w:r w:rsidR="00400D29">
        <w:rPr>
          <w:rFonts w:ascii="Times New Roman" w:hAnsi="Times New Roman" w:cs="Times New Roman"/>
          <w:color w:val="000000" w:themeColor="text1"/>
          <w:sz w:val="22"/>
          <w:szCs w:val="22"/>
          <w:lang w:val="en-GB"/>
        </w:rPr>
        <w:t>,</w:t>
      </w:r>
      <w:r>
        <w:rPr>
          <w:rFonts w:ascii="Times New Roman" w:hAnsi="Times New Roman" w:cs="Times New Roman"/>
          <w:color w:val="000000" w:themeColor="text1"/>
          <w:sz w:val="22"/>
          <w:szCs w:val="22"/>
          <w:lang w:val="en-GB"/>
        </w:rPr>
        <w:t xml:space="preserve"> and will be responsible for official correspondence and communication with CTCN and </w:t>
      </w:r>
      <w:r w:rsidR="00400D29">
        <w:rPr>
          <w:rFonts w:ascii="Times New Roman" w:hAnsi="Times New Roman" w:cs="Times New Roman"/>
          <w:color w:val="000000" w:themeColor="text1"/>
          <w:sz w:val="22"/>
          <w:szCs w:val="22"/>
          <w:lang w:val="en-GB"/>
        </w:rPr>
        <w:t xml:space="preserve">the </w:t>
      </w:r>
      <w:r>
        <w:rPr>
          <w:rFonts w:ascii="Times New Roman" w:hAnsi="Times New Roman" w:cs="Times New Roman"/>
          <w:color w:val="000000" w:themeColor="text1"/>
          <w:sz w:val="22"/>
          <w:szCs w:val="22"/>
          <w:lang w:val="en-GB"/>
        </w:rPr>
        <w:t>other actors involved. The Ministry of Environment and Natural Resources will organi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e a kick-off meeting with the participation of IDDI, CTCN and the PMR Technical Committee, as well as a final meeting to share the results of the work process.</w:t>
      </w:r>
    </w:p>
    <w:p w14:paraId="4AAE24B1" w14:textId="77777777" w:rsidR="00BF686C" w:rsidRPr="003C025A" w:rsidRDefault="00BF686C" w:rsidP="003D596B">
      <w:pPr>
        <w:spacing w:after="0" w:line="276" w:lineRule="auto"/>
        <w:rPr>
          <w:rFonts w:ascii="Times New Roman" w:hAnsi="Times New Roman" w:cs="Times New Roman"/>
          <w:color w:val="000000" w:themeColor="text1"/>
          <w:sz w:val="22"/>
          <w:szCs w:val="22"/>
        </w:rPr>
      </w:pPr>
    </w:p>
    <w:p w14:paraId="15C26DEC" w14:textId="5CD4FFFE" w:rsidR="00BF686C" w:rsidRPr="003C025A" w:rsidRDefault="00BF686C" w:rsidP="003D596B">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initiative proposer (IDDI) is the principal </w:t>
      </w:r>
      <w:r w:rsidR="007E5C5F">
        <w:rPr>
          <w:rFonts w:ascii="Times New Roman" w:hAnsi="Times New Roman" w:cs="Times New Roman"/>
          <w:color w:val="000000" w:themeColor="text1"/>
          <w:sz w:val="22"/>
          <w:szCs w:val="22"/>
          <w:lang w:val="en-GB"/>
        </w:rPr>
        <w:t>partner</w:t>
      </w:r>
      <w:r>
        <w:rPr>
          <w:rFonts w:ascii="Times New Roman" w:hAnsi="Times New Roman" w:cs="Times New Roman"/>
          <w:color w:val="000000" w:themeColor="text1"/>
          <w:sz w:val="22"/>
          <w:szCs w:val="22"/>
          <w:lang w:val="en-GB"/>
        </w:rPr>
        <w:t xml:space="preserve"> for all matters related to the implementation of the technical assistance for all activities and will maintain close coordination and cooperation with CTCN and its partners. IDDI is also responsible for services for the preparation and implementation of the analysis workshops and pilot activities in the project area.</w:t>
      </w:r>
    </w:p>
    <w:p w14:paraId="5EFFC57C" w14:textId="77777777" w:rsidR="00BF686C" w:rsidRPr="003C025A" w:rsidRDefault="00BF686C" w:rsidP="003D596B">
      <w:pPr>
        <w:spacing w:after="0" w:line="276" w:lineRule="auto"/>
        <w:rPr>
          <w:rFonts w:ascii="Times New Roman" w:hAnsi="Times New Roman" w:cs="Times New Roman"/>
          <w:color w:val="000000" w:themeColor="text1"/>
          <w:sz w:val="22"/>
          <w:szCs w:val="22"/>
        </w:rPr>
      </w:pPr>
    </w:p>
    <w:p w14:paraId="1547FC38" w14:textId="4AD371FC" w:rsidR="006A794C" w:rsidRPr="006A794C" w:rsidRDefault="006A794C" w:rsidP="006A794C">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As the EWS is a sovereign function of the state authorities and the initiative will require the active participation of the institutions involved in existing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there will be close coordination and collaboration with the PMR Technical Committee. The members of the PMR Technical Committee will play an active role in the analysis workshops. As such, it is proposed that the workshops are designed in close coordination with the Technical Committee and that the invitation to the workshops is also implemented via the committee. It is also recommended that a mechanism for close coordination between all the institutions involved in the design and implementation of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is established through the PMR Technical Committee. </w:t>
      </w:r>
    </w:p>
    <w:p w14:paraId="05A39F7A" w14:textId="77777777" w:rsidR="006A794C" w:rsidRPr="006A794C" w:rsidRDefault="006A794C" w:rsidP="006A794C">
      <w:pPr>
        <w:spacing w:after="0" w:line="276" w:lineRule="auto"/>
        <w:rPr>
          <w:rFonts w:ascii="Times New Roman" w:hAnsi="Times New Roman" w:cs="Times New Roman"/>
          <w:color w:val="000000" w:themeColor="text1"/>
          <w:sz w:val="22"/>
          <w:szCs w:val="22"/>
        </w:rPr>
      </w:pPr>
    </w:p>
    <w:p w14:paraId="7129C876" w14:textId="77777777" w:rsidR="00BF686C" w:rsidRPr="00BF686C" w:rsidRDefault="00BF686C" w:rsidP="005E0F77">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communities in the project area will play a vital role, since their residents will be the users of the EWS services and the technologies that will be developed and implemented. They will be involved in all activities, from reviewing the risk analysis through to the discussion of proposals for future interventions via their representatives and civil defence structures. Consultations will be held to ensure effective participation, in addition to an analysis workshop at the community level and pilot activities in the project area districts. Communities will also participate in the national analysis workshops.</w:t>
      </w:r>
    </w:p>
    <w:p w14:paraId="6AFC3919" w14:textId="77777777" w:rsidR="000467B5" w:rsidRPr="00F21B90" w:rsidRDefault="000467B5" w:rsidP="003D596B">
      <w:pPr>
        <w:spacing w:after="0" w:line="276" w:lineRule="auto"/>
        <w:rPr>
          <w:rFonts w:ascii="Times New Roman" w:hAnsi="Times New Roman" w:cs="Times New Roman"/>
          <w:i/>
          <w:color w:val="000000" w:themeColor="text1"/>
          <w:sz w:val="22"/>
          <w:szCs w:val="22"/>
        </w:rPr>
      </w:pPr>
    </w:p>
    <w:p w14:paraId="69275304" w14:textId="77777777" w:rsidR="002815D8" w:rsidRPr="00CC055B" w:rsidRDefault="002815D8"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2.4 Synergies</w:t>
      </w:r>
    </w:p>
    <w:p w14:paraId="24A89FB0" w14:textId="77777777" w:rsidR="002815D8" w:rsidRPr="00EF5C7B" w:rsidRDefault="002815D8" w:rsidP="002815D8">
      <w:pPr>
        <w:spacing w:after="0" w:line="276" w:lineRule="auto"/>
        <w:rPr>
          <w:rFonts w:ascii="Times New Roman" w:hAnsi="Times New Roman" w:cs="Times New Roman"/>
          <w:b/>
          <w:color w:val="000000" w:themeColor="text1"/>
          <w:sz w:val="22"/>
          <w:szCs w:val="22"/>
        </w:rPr>
      </w:pPr>
    </w:p>
    <w:p w14:paraId="7402F79B" w14:textId="281E719D" w:rsidR="004855A9" w:rsidRDefault="004855A9" w:rsidP="004855A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In its report </w:t>
      </w:r>
      <w:r>
        <w:rPr>
          <w:rFonts w:ascii="Times New Roman" w:hAnsi="Times New Roman" w:cs="Times New Roman"/>
          <w:i/>
          <w:iCs/>
          <w:color w:val="000000" w:themeColor="text1"/>
          <w:sz w:val="22"/>
          <w:szCs w:val="22"/>
          <w:lang w:val="en-GB"/>
        </w:rPr>
        <w:t>Review of the State of the Situation of Climate Risk and its Management in the Dominican Republic</w:t>
      </w:r>
      <w:r>
        <w:rPr>
          <w:rFonts w:ascii="Times New Roman" w:hAnsi="Times New Roman" w:cs="Times New Roman"/>
          <w:color w:val="000000" w:themeColor="text1"/>
          <w:sz w:val="22"/>
          <w:szCs w:val="22"/>
          <w:lang w:val="en-GB"/>
        </w:rPr>
        <w:t xml:space="preserve"> (</w:t>
      </w:r>
      <w:r>
        <w:rPr>
          <w:rFonts w:ascii="Times New Roman" w:hAnsi="Times New Roman" w:cs="Times New Roman"/>
          <w:i/>
          <w:iCs/>
          <w:color w:val="000000" w:themeColor="text1"/>
          <w:sz w:val="22"/>
          <w:szCs w:val="22"/>
          <w:lang w:val="en-GB"/>
        </w:rPr>
        <w:t>Revisión del Estado de la Situación de Riesgo Climático y su Gestión en República Dominicana,</w:t>
      </w:r>
      <w:r>
        <w:rPr>
          <w:rFonts w:ascii="Times New Roman" w:hAnsi="Times New Roman" w:cs="Times New Roman"/>
          <w:color w:val="000000" w:themeColor="text1"/>
          <w:sz w:val="22"/>
          <w:szCs w:val="22"/>
          <w:lang w:val="en-GB"/>
        </w:rPr>
        <w:t xml:space="preserve"> 2011), the International Institute for Sustainable Development (IISD) establishes the need to promote early warning as a priority</w:t>
      </w:r>
      <w:r w:rsidR="00400D29">
        <w:rPr>
          <w:rFonts w:ascii="Times New Roman" w:hAnsi="Times New Roman" w:cs="Times New Roman"/>
          <w:color w:val="000000" w:themeColor="text1"/>
          <w:sz w:val="22"/>
          <w:szCs w:val="22"/>
          <w:lang w:val="en-GB"/>
        </w:rPr>
        <w:t>,</w:t>
      </w:r>
      <w:r>
        <w:rPr>
          <w:rFonts w:ascii="Times New Roman" w:hAnsi="Times New Roman" w:cs="Times New Roman"/>
          <w:color w:val="000000" w:themeColor="text1"/>
          <w:sz w:val="22"/>
          <w:szCs w:val="22"/>
          <w:lang w:val="en-GB"/>
        </w:rPr>
        <w:t xml:space="preserve"> and concludes that over the last decade the Dominican Republic has improved its capacity to produce information on threats and risks, although there are still limitations on the use and uptake of the information by the development actors. The report recommends concentrating on and prioriti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ing efforts to generate mechanisms that make early warnings accessible to the most vulnerable local population, involving and training community-based associations.</w:t>
      </w:r>
    </w:p>
    <w:p w14:paraId="30E1D8E4" w14:textId="77777777" w:rsidR="004855A9" w:rsidRDefault="004855A9" w:rsidP="004855A9">
      <w:pPr>
        <w:spacing w:after="0" w:line="276" w:lineRule="auto"/>
        <w:rPr>
          <w:rFonts w:ascii="Times New Roman" w:hAnsi="Times New Roman" w:cs="Times New Roman"/>
          <w:color w:val="000000" w:themeColor="text1"/>
          <w:sz w:val="22"/>
          <w:szCs w:val="22"/>
        </w:rPr>
      </w:pPr>
    </w:p>
    <w:p w14:paraId="634A65BD" w14:textId="02229F0F" w:rsidR="00BF1D99" w:rsidRDefault="00BF1D99" w:rsidP="004855A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National Plan for the Integrated Management of the Risk of Disasters (</w:t>
      </w:r>
      <w:r>
        <w:rPr>
          <w:rFonts w:ascii="Times New Roman" w:hAnsi="Times New Roman" w:cs="Times New Roman"/>
          <w:i/>
          <w:iCs/>
          <w:color w:val="000000" w:themeColor="text1"/>
          <w:sz w:val="22"/>
          <w:szCs w:val="22"/>
          <w:lang w:val="en-GB"/>
        </w:rPr>
        <w:t>Plan Nacional de Gestión Integral del Riesgo de Desastres</w:t>
      </w:r>
      <w:r>
        <w:rPr>
          <w:rFonts w:ascii="Times New Roman" w:hAnsi="Times New Roman" w:cs="Times New Roman"/>
          <w:color w:val="000000" w:themeColor="text1"/>
          <w:sz w:val="22"/>
          <w:szCs w:val="22"/>
          <w:lang w:val="en-GB"/>
        </w:rPr>
        <w:t>, 2011) is the instrument that defines the objectives, strategies, programmes and subprogrammes that guide the institutional activities for the prevention and mitigation of risks, response preparations and restoration and reconstruction in the event of disasters in the Dominican Republic. In the plan, the National Emergency Commission (</w:t>
      </w:r>
      <w:r>
        <w:rPr>
          <w:rFonts w:ascii="Times New Roman" w:hAnsi="Times New Roman" w:cs="Times New Roman"/>
          <w:i/>
          <w:iCs/>
          <w:color w:val="000000" w:themeColor="text1"/>
          <w:sz w:val="22"/>
          <w:szCs w:val="22"/>
          <w:lang w:val="en-GB"/>
        </w:rPr>
        <w:t xml:space="preserve">Comisión Nacional de </w:t>
      </w:r>
      <w:r>
        <w:rPr>
          <w:rFonts w:ascii="Times New Roman" w:hAnsi="Times New Roman" w:cs="Times New Roman"/>
          <w:i/>
          <w:iCs/>
          <w:color w:val="000000" w:themeColor="text1"/>
          <w:sz w:val="22"/>
          <w:szCs w:val="22"/>
          <w:lang w:val="en-GB"/>
        </w:rPr>
        <w:lastRenderedPageBreak/>
        <w:t>Emergencias</w:t>
      </w:r>
      <w:r>
        <w:rPr>
          <w:rFonts w:ascii="Times New Roman" w:hAnsi="Times New Roman" w:cs="Times New Roman"/>
          <w:color w:val="000000" w:themeColor="text1"/>
          <w:sz w:val="22"/>
          <w:szCs w:val="22"/>
          <w:lang w:val="en-GB"/>
        </w:rPr>
        <w:t>, CNE) defines five programmatic priorities, one of which focuses on improving warning and response practices and mechanisms, including prioriti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ing the need to update the EWS protocols for the national PMR system.</w:t>
      </w:r>
    </w:p>
    <w:p w14:paraId="382DE55E" w14:textId="77777777" w:rsidR="000C389C" w:rsidRDefault="000C389C" w:rsidP="004855A9">
      <w:pPr>
        <w:spacing w:after="0" w:line="276" w:lineRule="auto"/>
        <w:rPr>
          <w:rFonts w:ascii="Times New Roman" w:hAnsi="Times New Roman" w:cs="Times New Roman"/>
          <w:color w:val="000000" w:themeColor="text1"/>
          <w:sz w:val="22"/>
          <w:szCs w:val="22"/>
        </w:rPr>
      </w:pPr>
    </w:p>
    <w:p w14:paraId="53C51B97" w14:textId="704A97E6" w:rsidR="0061088D" w:rsidRDefault="0061088D" w:rsidP="00400D2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initiative seeks to </w:t>
      </w:r>
      <w:r w:rsidR="00400D29">
        <w:rPr>
          <w:rFonts w:ascii="Times New Roman" w:hAnsi="Times New Roman" w:cs="Times New Roman"/>
          <w:color w:val="000000" w:themeColor="text1"/>
          <w:sz w:val="22"/>
          <w:szCs w:val="22"/>
          <w:lang w:val="en-GB"/>
        </w:rPr>
        <w:t>link</w:t>
      </w:r>
      <w:r>
        <w:rPr>
          <w:rFonts w:ascii="Times New Roman" w:hAnsi="Times New Roman" w:cs="Times New Roman"/>
          <w:color w:val="000000" w:themeColor="text1"/>
          <w:sz w:val="22"/>
          <w:szCs w:val="22"/>
          <w:lang w:val="en-GB"/>
        </w:rPr>
        <w:t xml:space="preserve"> the main sources of information before and during climate events that can affect the communities covered by the intervention. Some of the most important initiatives to take into account include:</w:t>
      </w:r>
    </w:p>
    <w:p w14:paraId="4BC064E5" w14:textId="1E933F04" w:rsidR="0061088D" w:rsidRPr="004640C6" w:rsidRDefault="0061088D" w:rsidP="0061088D">
      <w:pPr>
        <w:pStyle w:val="ListParagraph"/>
        <w:numPr>
          <w:ilvl w:val="0"/>
          <w:numId w:val="1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Periodic information from the Emergency Operations Centre (</w:t>
      </w:r>
      <w:r>
        <w:rPr>
          <w:rFonts w:ascii="Times New Roman" w:hAnsi="Times New Roman" w:cs="Times New Roman"/>
          <w:i/>
          <w:iCs/>
          <w:color w:val="000000" w:themeColor="text1"/>
          <w:sz w:val="22"/>
          <w:szCs w:val="22"/>
          <w:lang w:val="en-GB"/>
        </w:rPr>
        <w:t xml:space="preserve">Centro de Operaciones de Emergencia, </w:t>
      </w:r>
      <w:r>
        <w:rPr>
          <w:rFonts w:ascii="Times New Roman" w:hAnsi="Times New Roman" w:cs="Times New Roman"/>
          <w:color w:val="000000" w:themeColor="text1"/>
          <w:sz w:val="22"/>
          <w:szCs w:val="22"/>
          <w:lang w:val="en-GB"/>
        </w:rPr>
        <w:t>COE) and the national PMR system for disasters</w:t>
      </w:r>
    </w:p>
    <w:p w14:paraId="2EEB7464" w14:textId="1A4D9FBF" w:rsidR="0061088D" w:rsidRPr="004640C6" w:rsidRDefault="0061088D" w:rsidP="0061088D">
      <w:pPr>
        <w:pStyle w:val="ListParagraph"/>
        <w:numPr>
          <w:ilvl w:val="0"/>
          <w:numId w:val="1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Existing regional, provincial, municipal and community PMR plans, including the specific actions of PMR community centres in the districts covered by the intervention</w:t>
      </w:r>
    </w:p>
    <w:p w14:paraId="19DCF9F2" w14:textId="51DC0C3F" w:rsidR="0061088D" w:rsidRPr="004640C6" w:rsidRDefault="0061088D" w:rsidP="0061088D">
      <w:pPr>
        <w:pStyle w:val="ListParagraph"/>
        <w:numPr>
          <w:ilvl w:val="0"/>
          <w:numId w:val="1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Use of the previously prepared PMR maps, emphasis on housing or shelters available per community, in addition to identifying vulnerable populations, such as disabled people and the elderly</w:t>
      </w:r>
    </w:p>
    <w:p w14:paraId="4D6D75AE" w14:textId="44A121A3" w:rsidR="0061088D" w:rsidRPr="0061088D" w:rsidRDefault="0061088D" w:rsidP="0061088D">
      <w:pPr>
        <w:pStyle w:val="ListParagraph"/>
        <w:numPr>
          <w:ilvl w:val="0"/>
          <w:numId w:val="1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Involvement and participation of the private sector through the country’s various telecommunications companies who are able to provide infrastructure services for transmitting information</w:t>
      </w:r>
    </w:p>
    <w:p w14:paraId="7B4879F6" w14:textId="2E9FFD55" w:rsidR="0061088D" w:rsidRPr="0061088D" w:rsidRDefault="0061088D" w:rsidP="0061088D">
      <w:pPr>
        <w:pStyle w:val="ListParagraph"/>
        <w:numPr>
          <w:ilvl w:val="0"/>
          <w:numId w:val="1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As the official authority responsible for regulating activities in the ICT sector at the national level, the Dominican Telecommunications Institute (INDOTEL) is also classes as a key actor.</w:t>
      </w:r>
    </w:p>
    <w:p w14:paraId="267BC5D5" w14:textId="45FF22A2" w:rsidR="0061088D" w:rsidRDefault="0061088D" w:rsidP="004855A9">
      <w:pPr>
        <w:spacing w:after="0" w:line="276" w:lineRule="auto"/>
        <w:rPr>
          <w:rFonts w:ascii="Times New Roman" w:hAnsi="Times New Roman" w:cs="Times New Roman"/>
          <w:color w:val="000000" w:themeColor="text1"/>
          <w:sz w:val="22"/>
          <w:szCs w:val="22"/>
        </w:rPr>
      </w:pPr>
    </w:p>
    <w:p w14:paraId="756152C5" w14:textId="0815E5E5" w:rsidR="00613CB5" w:rsidRDefault="005B3BB9" w:rsidP="004855A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initiative of IDDI and the Ministry of Environment and Natural Resources will seek to ensure connections with efforts by the United Nation’s Development Programme (UNDP) (together with UNESCO and the International Organization for Migration for early warnings for tsunamis in the north of the country) and EWS projects in the Dominican Republic supported with DIPECHO funding (e.g. PLAN, Oxfam, Habitat in Azua). An exchange of experiences with these initiatives will be promoted as part of the CTCN technical assistance.</w:t>
      </w:r>
    </w:p>
    <w:p w14:paraId="31B139F7" w14:textId="66816E7A" w:rsidR="0061088D" w:rsidRDefault="0061088D" w:rsidP="004855A9">
      <w:pPr>
        <w:spacing w:after="0" w:line="276" w:lineRule="auto"/>
        <w:rPr>
          <w:rFonts w:ascii="Times New Roman" w:hAnsi="Times New Roman" w:cs="Times New Roman"/>
          <w:color w:val="000000" w:themeColor="text1"/>
          <w:sz w:val="22"/>
          <w:szCs w:val="22"/>
        </w:rPr>
      </w:pPr>
    </w:p>
    <w:p w14:paraId="77098FDE" w14:textId="5DFC27CE" w:rsidR="0061088D" w:rsidRDefault="005B3BB9" w:rsidP="004855A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This initiative also covers previous and current activities by IDDI in the project region.</w:t>
      </w:r>
    </w:p>
    <w:p w14:paraId="44E1415E" w14:textId="00C89298" w:rsidR="002815D8" w:rsidRPr="004855A9" w:rsidRDefault="002815D8" w:rsidP="002815D8">
      <w:pPr>
        <w:spacing w:after="0" w:line="276" w:lineRule="auto"/>
        <w:rPr>
          <w:rFonts w:ascii="Times New Roman" w:hAnsi="Times New Roman" w:cs="Times New Roman"/>
          <w:color w:val="000000" w:themeColor="text1"/>
          <w:sz w:val="22"/>
          <w:szCs w:val="22"/>
        </w:rPr>
      </w:pPr>
    </w:p>
    <w:p w14:paraId="10958799" w14:textId="79F7CB0E" w:rsidR="002815D8" w:rsidRPr="00AC50E3" w:rsidRDefault="002815D8"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2.5 Timeline</w:t>
      </w:r>
    </w:p>
    <w:p w14:paraId="537FA0E5" w14:textId="6F67772A" w:rsidR="002815D8" w:rsidRPr="00AC50E3" w:rsidRDefault="002815D8" w:rsidP="002815D8">
      <w:pPr>
        <w:spacing w:after="0" w:line="276" w:lineRule="auto"/>
        <w:rPr>
          <w:rFonts w:ascii="Times New Roman" w:hAnsi="Times New Roman" w:cs="Times New Roman"/>
          <w:i/>
          <w:color w:val="000000" w:themeColor="text1"/>
          <w:sz w:val="22"/>
          <w:szCs w:val="22"/>
        </w:rPr>
      </w:pPr>
    </w:p>
    <w:p w14:paraId="624C4064" w14:textId="33918822" w:rsidR="00AC50E3" w:rsidRDefault="00AC50E3" w:rsidP="002815D8">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CTCN technical assistance will run for approximately six months. The details and milestones are set out in the diagram below.</w:t>
      </w:r>
    </w:p>
    <w:p w14:paraId="224F15F2" w14:textId="57B0BBDB" w:rsidR="00AF098B" w:rsidRDefault="00AF098B" w:rsidP="002815D8">
      <w:pPr>
        <w:spacing w:after="0" w:line="276" w:lineRule="auto"/>
        <w:rPr>
          <w:rFonts w:ascii="Times New Roman" w:hAnsi="Times New Roman" w:cs="Times New Roman"/>
          <w:color w:val="000000" w:themeColor="text1"/>
          <w:sz w:val="22"/>
          <w:szCs w:val="22"/>
        </w:rPr>
      </w:pPr>
    </w:p>
    <w:p w14:paraId="709C0DEC" w14:textId="77777777" w:rsidR="00864FA3" w:rsidRDefault="00864FA3" w:rsidP="002815D8">
      <w:pPr>
        <w:spacing w:after="0" w:line="276" w:lineRule="auto"/>
        <w:rPr>
          <w:rFonts w:ascii="Times New Roman" w:hAnsi="Times New Roman" w:cs="Times New Roman"/>
          <w:color w:val="000000" w:themeColor="text1"/>
          <w:sz w:val="22"/>
          <w:szCs w:val="22"/>
        </w:rPr>
      </w:pPr>
    </w:p>
    <w:p w14:paraId="4F09A1AE" w14:textId="0402E5D3" w:rsidR="00AF098B" w:rsidRPr="00421C1E" w:rsidRDefault="00AF098B" w:rsidP="002815D8">
      <w:pPr>
        <w:spacing w:after="0" w:line="276" w:lineRule="auto"/>
        <w:rPr>
          <w:rFonts w:ascii="Times New Roman" w:hAnsi="Times New Roman" w:cs="Times New Roman"/>
          <w:color w:val="000000" w:themeColor="text1"/>
          <w:sz w:val="22"/>
          <w:szCs w:val="22"/>
        </w:rPr>
      </w:pPr>
    </w:p>
    <w:p w14:paraId="3F8C75F7" w14:textId="113F4F7E" w:rsidR="00AC50E3" w:rsidRPr="00421C1E" w:rsidRDefault="00AC50E3" w:rsidP="002815D8">
      <w:pPr>
        <w:spacing w:after="0" w:line="276" w:lineRule="auto"/>
        <w:rPr>
          <w:rFonts w:ascii="Times New Roman" w:hAnsi="Times New Roman" w:cs="Times New Roman"/>
          <w:color w:val="000000" w:themeColor="text1"/>
          <w:sz w:val="22"/>
          <w:szCs w:val="22"/>
        </w:rPr>
      </w:pPr>
    </w:p>
    <w:p w14:paraId="0A9651D6" w14:textId="10134A08" w:rsidR="002815D8" w:rsidRDefault="002815D8" w:rsidP="002815D8">
      <w:pPr>
        <w:spacing w:after="0" w:line="276" w:lineRule="auto"/>
        <w:rPr>
          <w:rFonts w:ascii="Times New Roman" w:hAnsi="Times New Roman" w:cs="Times New Roman"/>
          <w:b/>
          <w:color w:val="000000" w:themeColor="text1"/>
          <w:sz w:val="22"/>
          <w:szCs w:val="22"/>
        </w:rPr>
      </w:pPr>
    </w:p>
    <w:p w14:paraId="2CA4F63A" w14:textId="77777777" w:rsidR="00864FA3" w:rsidRDefault="00864FA3" w:rsidP="002815D8">
      <w:pPr>
        <w:spacing w:after="0" w:line="276" w:lineRule="auto"/>
        <w:rPr>
          <w:rFonts w:ascii="Times New Roman" w:hAnsi="Times New Roman" w:cs="Times New Roman"/>
          <w:b/>
          <w:color w:val="000000" w:themeColor="text1"/>
          <w:sz w:val="22"/>
          <w:szCs w:val="22"/>
        </w:rPr>
      </w:pPr>
    </w:p>
    <w:p w14:paraId="311D205B" w14:textId="77777777" w:rsidR="00864FA3" w:rsidRDefault="00864FA3" w:rsidP="002815D8">
      <w:pPr>
        <w:spacing w:after="0" w:line="276" w:lineRule="auto"/>
        <w:rPr>
          <w:rFonts w:ascii="Times New Roman" w:hAnsi="Times New Roman" w:cs="Times New Roman"/>
          <w:b/>
          <w:color w:val="000000" w:themeColor="text1"/>
          <w:sz w:val="22"/>
          <w:szCs w:val="22"/>
        </w:rPr>
      </w:pPr>
    </w:p>
    <w:p w14:paraId="456F0B4A" w14:textId="77777777" w:rsidR="00864FA3" w:rsidRDefault="00864FA3" w:rsidP="002815D8">
      <w:pPr>
        <w:spacing w:after="0" w:line="276" w:lineRule="auto"/>
        <w:rPr>
          <w:rFonts w:ascii="Times New Roman" w:hAnsi="Times New Roman" w:cs="Times New Roman"/>
          <w:b/>
          <w:color w:val="000000" w:themeColor="text1"/>
          <w:sz w:val="22"/>
          <w:szCs w:val="22"/>
        </w:rPr>
      </w:pPr>
    </w:p>
    <w:p w14:paraId="5010F39E" w14:textId="77777777" w:rsidR="00864FA3" w:rsidRDefault="00864FA3" w:rsidP="002815D8">
      <w:pPr>
        <w:spacing w:after="0" w:line="276" w:lineRule="auto"/>
        <w:rPr>
          <w:rFonts w:ascii="Times New Roman" w:hAnsi="Times New Roman" w:cs="Times New Roman"/>
          <w:b/>
          <w:color w:val="000000" w:themeColor="text1"/>
          <w:sz w:val="22"/>
          <w:szCs w:val="22"/>
        </w:rPr>
      </w:pPr>
    </w:p>
    <w:p w14:paraId="355ED728" w14:textId="77777777" w:rsidR="00864FA3" w:rsidRDefault="00864FA3" w:rsidP="002815D8">
      <w:pPr>
        <w:spacing w:after="0" w:line="276" w:lineRule="auto"/>
        <w:rPr>
          <w:rFonts w:ascii="Times New Roman" w:hAnsi="Times New Roman" w:cs="Times New Roman"/>
          <w:b/>
          <w:color w:val="000000" w:themeColor="text1"/>
          <w:sz w:val="22"/>
          <w:szCs w:val="22"/>
        </w:rPr>
      </w:pPr>
    </w:p>
    <w:p w14:paraId="1270DC72" w14:textId="77777777" w:rsidR="00864FA3" w:rsidRDefault="00864FA3" w:rsidP="002815D8">
      <w:pPr>
        <w:spacing w:after="0" w:line="276" w:lineRule="auto"/>
        <w:rPr>
          <w:rFonts w:ascii="Times New Roman" w:hAnsi="Times New Roman" w:cs="Times New Roman"/>
          <w:b/>
          <w:color w:val="000000" w:themeColor="text1"/>
          <w:sz w:val="22"/>
          <w:szCs w:val="22"/>
        </w:rPr>
      </w:pPr>
    </w:p>
    <w:p w14:paraId="0EC5BCC3" w14:textId="77777777" w:rsidR="00864FA3" w:rsidRDefault="00864FA3" w:rsidP="002815D8">
      <w:pPr>
        <w:spacing w:after="0" w:line="276" w:lineRule="auto"/>
        <w:rPr>
          <w:rFonts w:ascii="Times New Roman" w:hAnsi="Times New Roman" w:cs="Times New Roman"/>
          <w:b/>
          <w:color w:val="000000" w:themeColor="text1"/>
          <w:sz w:val="22"/>
          <w:szCs w:val="22"/>
        </w:rPr>
      </w:pPr>
    </w:p>
    <w:p w14:paraId="52E732EB" w14:textId="77777777" w:rsidR="00864FA3" w:rsidRDefault="00864FA3" w:rsidP="002815D8">
      <w:pPr>
        <w:spacing w:after="0" w:line="276" w:lineRule="auto"/>
        <w:rPr>
          <w:rFonts w:ascii="Times New Roman" w:hAnsi="Times New Roman" w:cs="Times New Roman"/>
          <w:b/>
          <w:color w:val="000000" w:themeColor="text1"/>
          <w:sz w:val="22"/>
          <w:szCs w:val="22"/>
        </w:rPr>
      </w:pPr>
    </w:p>
    <w:p w14:paraId="0A99566A" w14:textId="77777777" w:rsidR="00864FA3" w:rsidRPr="00421C1E" w:rsidRDefault="00864FA3" w:rsidP="002815D8">
      <w:pPr>
        <w:spacing w:after="0" w:line="276" w:lineRule="auto"/>
        <w:rPr>
          <w:rFonts w:ascii="Times New Roman" w:hAnsi="Times New Roman" w:cs="Times New Roman"/>
          <w:b/>
          <w:color w:val="000000" w:themeColor="text1"/>
          <w:sz w:val="22"/>
          <w:szCs w:val="22"/>
        </w:rPr>
      </w:pPr>
    </w:p>
    <w:p w14:paraId="5270652E" w14:textId="77777777" w:rsidR="00ED43E4" w:rsidRDefault="00ED43E4" w:rsidP="002815D8">
      <w:pPr>
        <w:pStyle w:val="ListParagraph"/>
        <w:spacing w:after="0" w:line="276" w:lineRule="auto"/>
        <w:rPr>
          <w:rFonts w:ascii="Times New Roman" w:hAnsi="Times New Roman" w:cs="Times New Roman"/>
          <w:b/>
          <w:bCs/>
          <w:color w:val="000000" w:themeColor="text1"/>
          <w:sz w:val="22"/>
          <w:szCs w:val="22"/>
          <w:lang w:val="en-GB"/>
        </w:rPr>
      </w:pPr>
    </w:p>
    <w:p w14:paraId="43CE2EB2" w14:textId="3201E5EC" w:rsidR="002815D8" w:rsidRPr="00B40214" w:rsidRDefault="00864FA3" w:rsidP="002815D8">
      <w:pPr>
        <w:pStyle w:val="ListParagraph"/>
        <w:spacing w:after="0" w:line="276" w:lineRule="auto"/>
        <w:rPr>
          <w:rFonts w:ascii="Times New Roman" w:hAnsi="Times New Roman" w:cs="Times New Roman"/>
          <w:b/>
          <w:color w:val="000000" w:themeColor="text1"/>
          <w:sz w:val="22"/>
          <w:szCs w:val="22"/>
        </w:rPr>
      </w:pPr>
      <w:r>
        <w:rPr>
          <w:noProof/>
          <w:lang w:val="en-GB" w:eastAsia="en-GB"/>
        </w:rPr>
        <w:drawing>
          <wp:anchor distT="0" distB="0" distL="114300" distR="114300" simplePos="0" relativeHeight="251659264" behindDoc="0" locked="0" layoutInCell="1" allowOverlap="1" wp14:anchorId="48E61C1A" wp14:editId="2556722F">
            <wp:simplePos x="0" y="0"/>
            <wp:positionH relativeFrom="page">
              <wp:posOffset>876300</wp:posOffset>
            </wp:positionH>
            <wp:positionV relativeFrom="page">
              <wp:posOffset>1127760</wp:posOffset>
            </wp:positionV>
            <wp:extent cx="5661660" cy="4259775"/>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1919" cy="4259970"/>
                    </a:xfrm>
                    <a:prstGeom prst="rect">
                      <a:avLst/>
                    </a:prstGeom>
                  </pic:spPr>
                </pic:pic>
              </a:graphicData>
            </a:graphic>
            <wp14:sizeRelH relativeFrom="margin">
              <wp14:pctWidth>0</wp14:pctWidth>
            </wp14:sizeRelH>
            <wp14:sizeRelV relativeFrom="margin">
              <wp14:pctHeight>0</wp14:pctHeight>
            </wp14:sizeRelV>
          </wp:anchor>
        </w:drawing>
      </w:r>
      <w:r w:rsidR="002815D8">
        <w:rPr>
          <w:rFonts w:ascii="Times New Roman" w:hAnsi="Times New Roman" w:cs="Times New Roman"/>
          <w:b/>
          <w:bCs/>
          <w:color w:val="000000" w:themeColor="text1"/>
          <w:sz w:val="22"/>
          <w:szCs w:val="22"/>
          <w:lang w:val="en-GB"/>
        </w:rPr>
        <w:t>2.6 Indicative budget</w:t>
      </w:r>
    </w:p>
    <w:p w14:paraId="57E24618" w14:textId="0F9E0D0A" w:rsidR="002815D8" w:rsidRPr="00B40214" w:rsidRDefault="002815D8" w:rsidP="002815D8">
      <w:pPr>
        <w:spacing w:after="0" w:line="276" w:lineRule="auto"/>
        <w:rPr>
          <w:rFonts w:ascii="Times New Roman" w:hAnsi="Times New Roman" w:cs="Times New Roman"/>
          <w:b/>
          <w:color w:val="000000" w:themeColor="text1"/>
          <w:sz w:val="22"/>
          <w:szCs w:val="22"/>
        </w:rPr>
      </w:pPr>
    </w:p>
    <w:p w14:paraId="1EA7E1FC" w14:textId="1FBA16B2" w:rsidR="006C67A0" w:rsidRPr="00EF5C7B" w:rsidRDefault="001C232B" w:rsidP="001C232B">
      <w:pPr>
        <w:spacing w:after="0" w:line="276" w:lineRule="auto"/>
        <w:ind w:left="720"/>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2.7 Gender considerations</w:t>
      </w:r>
    </w:p>
    <w:p w14:paraId="29953D2A" w14:textId="3131CD05" w:rsidR="006C67A0" w:rsidRPr="00EF5C7B" w:rsidRDefault="006C67A0" w:rsidP="002815D8">
      <w:pPr>
        <w:spacing w:after="0" w:line="276" w:lineRule="auto"/>
        <w:rPr>
          <w:rFonts w:ascii="Times New Roman" w:hAnsi="Times New Roman" w:cs="Times New Roman"/>
          <w:b/>
          <w:color w:val="000000" w:themeColor="text1"/>
          <w:sz w:val="22"/>
          <w:szCs w:val="22"/>
        </w:rPr>
      </w:pPr>
    </w:p>
    <w:p w14:paraId="5D584C13" w14:textId="38A0911F" w:rsidR="005A404D" w:rsidRDefault="00B133F7" w:rsidP="00B133F7">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international scientific community has investigated the population segments that will be most affected by natural disasters. The groups identified as most vulnerable to the negative impacts of natural disasters include women, children, the elderly and the disabled. However, these groups </w:t>
      </w:r>
      <w:r w:rsidR="00400D29">
        <w:rPr>
          <w:rFonts w:ascii="Times New Roman" w:hAnsi="Times New Roman" w:cs="Times New Roman"/>
          <w:color w:val="000000" w:themeColor="text1"/>
          <w:sz w:val="22"/>
          <w:szCs w:val="22"/>
          <w:lang w:val="en-GB"/>
        </w:rPr>
        <w:t xml:space="preserve">also play critical roles in </w:t>
      </w:r>
      <w:r>
        <w:rPr>
          <w:rFonts w:ascii="Times New Roman" w:hAnsi="Times New Roman" w:cs="Times New Roman"/>
          <w:color w:val="000000" w:themeColor="text1"/>
          <w:sz w:val="22"/>
          <w:szCs w:val="22"/>
          <w:lang w:val="en-GB"/>
        </w:rPr>
        <w:t xml:space="preserve">preparation processes and in providing an immediate effective response. Various aspects of the technical assistance proposal consider the gender approach and vulnerable populations. </w:t>
      </w:r>
    </w:p>
    <w:p w14:paraId="1F6B4A3F" w14:textId="06602897" w:rsidR="005A404D" w:rsidRDefault="005A404D" w:rsidP="00081319">
      <w:pPr>
        <w:spacing w:after="0" w:line="276" w:lineRule="auto"/>
        <w:rPr>
          <w:rFonts w:ascii="Times New Roman" w:hAnsi="Times New Roman" w:cs="Times New Roman"/>
          <w:color w:val="000000" w:themeColor="text1"/>
          <w:sz w:val="22"/>
          <w:szCs w:val="22"/>
        </w:rPr>
      </w:pPr>
    </w:p>
    <w:p w14:paraId="720C2874" w14:textId="0F9EC42A" w:rsidR="005B3BB9" w:rsidRDefault="00081319" w:rsidP="00400D2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introduction and orientation of new ICT</w:t>
      </w:r>
      <w:r w:rsidR="00F842B0">
        <w:rPr>
          <w:rFonts w:ascii="Times New Roman" w:hAnsi="Times New Roman" w:cs="Times New Roman"/>
          <w:color w:val="000000" w:themeColor="text1"/>
          <w:sz w:val="22"/>
          <w:szCs w:val="22"/>
          <w:lang w:val="en-GB"/>
        </w:rPr>
        <w:t>s</w:t>
      </w:r>
      <w:r>
        <w:rPr>
          <w:rFonts w:ascii="Times New Roman" w:hAnsi="Times New Roman" w:cs="Times New Roman"/>
          <w:color w:val="000000" w:themeColor="text1"/>
          <w:sz w:val="22"/>
          <w:szCs w:val="22"/>
          <w:lang w:val="en-GB"/>
        </w:rPr>
        <w:t xml:space="preserve"> for early warning and related information systems has </w:t>
      </w:r>
      <w:r w:rsidR="00400D29">
        <w:rPr>
          <w:rFonts w:ascii="Times New Roman" w:hAnsi="Times New Roman" w:cs="Times New Roman"/>
          <w:color w:val="000000" w:themeColor="text1"/>
          <w:sz w:val="22"/>
          <w:szCs w:val="22"/>
          <w:lang w:val="en-GB"/>
        </w:rPr>
        <w:t>great</w:t>
      </w:r>
      <w:r>
        <w:rPr>
          <w:rFonts w:ascii="Times New Roman" w:hAnsi="Times New Roman" w:cs="Times New Roman"/>
          <w:color w:val="000000" w:themeColor="text1"/>
          <w:sz w:val="22"/>
          <w:szCs w:val="22"/>
          <w:lang w:val="en-GB"/>
        </w:rPr>
        <w:t xml:space="preserve"> potential to directly benefit both women, who are in many cases responsible for households, and vulnerable populations.  </w:t>
      </w:r>
    </w:p>
    <w:p w14:paraId="5778D49D" w14:textId="4811A5B5" w:rsidR="005A404D" w:rsidRPr="005A404D" w:rsidRDefault="005A404D" w:rsidP="00081319">
      <w:pPr>
        <w:spacing w:after="0" w:line="276" w:lineRule="auto"/>
        <w:rPr>
          <w:rFonts w:ascii="Times New Roman" w:hAnsi="Times New Roman" w:cs="Times New Roman"/>
          <w:color w:val="000000" w:themeColor="text1"/>
          <w:sz w:val="22"/>
          <w:szCs w:val="22"/>
        </w:rPr>
      </w:pPr>
    </w:p>
    <w:p w14:paraId="51816938" w14:textId="68A2698D" w:rsidR="00C359CC" w:rsidRDefault="00C359CC" w:rsidP="0008131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participation of the most vulnerable groups, together with the local partner (IDDI) will be ensured during the analysis phase (activities 1–4). This will guarantee the systematic integration of the interests of these groups in the results and project outlines.</w:t>
      </w:r>
    </w:p>
    <w:p w14:paraId="6CAE6F8B" w14:textId="71B4E6AB" w:rsidR="00C359CC" w:rsidRDefault="00C359CC" w:rsidP="00081319">
      <w:pPr>
        <w:spacing w:after="0" w:line="276" w:lineRule="auto"/>
        <w:rPr>
          <w:rFonts w:ascii="Times New Roman" w:hAnsi="Times New Roman" w:cs="Times New Roman"/>
          <w:color w:val="000000" w:themeColor="text1"/>
          <w:sz w:val="22"/>
          <w:szCs w:val="22"/>
        </w:rPr>
      </w:pPr>
    </w:p>
    <w:p w14:paraId="7AFA1E67" w14:textId="68C9869B" w:rsidR="005B3BB9" w:rsidRPr="005B3BB9" w:rsidRDefault="005B3BB9" w:rsidP="005B3BB9">
      <w:pPr>
        <w:spacing w:after="0" w:line="276" w:lineRule="auto"/>
        <w:rPr>
          <w:rFonts w:ascii="Times New Roman" w:hAnsi="Times New Roman" w:cs="Times New Roman"/>
          <w:color w:val="000000" w:themeColor="text1"/>
          <w:sz w:val="22"/>
          <w:szCs w:val="22"/>
        </w:rPr>
      </w:pPr>
    </w:p>
    <w:p w14:paraId="686D5FCF" w14:textId="54D3FB0D" w:rsidR="005B3BB9" w:rsidRPr="005B3BB9" w:rsidRDefault="005B3BB9" w:rsidP="005B3BB9">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The main benefit will be the correct channelling of measures with the potential to directly impact women and vulnerable populations in communities. These include:</w:t>
      </w:r>
    </w:p>
    <w:p w14:paraId="470174EC" w14:textId="10CD347C" w:rsidR="005B3BB9" w:rsidRPr="005A404D" w:rsidRDefault="005B3BB9" w:rsidP="005A404D">
      <w:pPr>
        <w:pStyle w:val="ListParagraph"/>
        <w:numPr>
          <w:ilvl w:val="0"/>
          <w:numId w:val="16"/>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Identification of threats that specifically affect these vulnerable populations and undertaking specific actions that can be implemented by women to reduce their vulnerability to events</w:t>
      </w:r>
    </w:p>
    <w:p w14:paraId="1DEF4AB8" w14:textId="0FB2455A" w:rsidR="005B3BB9" w:rsidRPr="005A404D" w:rsidRDefault="005B3BB9" w:rsidP="005A404D">
      <w:pPr>
        <w:pStyle w:val="ListParagraph"/>
        <w:numPr>
          <w:ilvl w:val="0"/>
          <w:numId w:val="16"/>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lastRenderedPageBreak/>
        <w:t>Identification of specific capacities of women and vulnerable populations to be strengthened</w:t>
      </w:r>
    </w:p>
    <w:p w14:paraId="0012252D" w14:textId="03F6FA08" w:rsidR="005B3BB9" w:rsidRPr="005A404D" w:rsidRDefault="00081319" w:rsidP="005A404D">
      <w:pPr>
        <w:pStyle w:val="ListParagraph"/>
        <w:numPr>
          <w:ilvl w:val="0"/>
          <w:numId w:val="16"/>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Promoting the inclusion of women in local PMR committees as a strategy to facilitate the communication of information and the adaptation of actions in line with gender-specific requirements</w:t>
      </w:r>
    </w:p>
    <w:p w14:paraId="5328E8E4" w14:textId="6997E20E" w:rsidR="00081319" w:rsidRDefault="00B40214" w:rsidP="005A404D">
      <w:pPr>
        <w:pStyle w:val="ListParagraph"/>
        <w:numPr>
          <w:ilvl w:val="0"/>
          <w:numId w:val="16"/>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Facilitating future decision-making at the family level through the gender approach in analysis workshops, since on many occasions women stay at home or are responsible for making arrangements in households when hydro-meteorological phenomena occur.</w:t>
      </w:r>
    </w:p>
    <w:p w14:paraId="637B5FD9" w14:textId="77777777" w:rsidR="005B3BB9" w:rsidRDefault="005B3BB9" w:rsidP="009D6C86">
      <w:pPr>
        <w:spacing w:after="0" w:line="276" w:lineRule="auto"/>
        <w:rPr>
          <w:rFonts w:ascii="Times New Roman" w:hAnsi="Times New Roman" w:cs="Times New Roman"/>
          <w:color w:val="000000" w:themeColor="text1"/>
          <w:sz w:val="22"/>
          <w:szCs w:val="22"/>
        </w:rPr>
      </w:pPr>
    </w:p>
    <w:p w14:paraId="0F18FA53" w14:textId="0A4C2764" w:rsidR="006C67A0" w:rsidRPr="00F21B90" w:rsidRDefault="006C67A0" w:rsidP="002815D8">
      <w:pPr>
        <w:spacing w:after="0" w:line="276" w:lineRule="auto"/>
        <w:rPr>
          <w:rFonts w:ascii="Times New Roman" w:hAnsi="Times New Roman" w:cs="Times New Roman"/>
          <w:b/>
          <w:color w:val="000000" w:themeColor="text1"/>
          <w:sz w:val="22"/>
          <w:szCs w:val="22"/>
        </w:rPr>
      </w:pPr>
    </w:p>
    <w:p w14:paraId="4C480A9C" w14:textId="77777777" w:rsidR="00E4144C" w:rsidRPr="00D914AB" w:rsidRDefault="001C232B" w:rsidP="00421C1E">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2.8 Risk identification and risk mitigation</w:t>
      </w:r>
    </w:p>
    <w:tbl>
      <w:tblPr>
        <w:tblStyle w:val="TableGrid"/>
        <w:tblpPr w:leftFromText="180" w:rightFromText="180" w:vertAnchor="text" w:horzAnchor="page" w:tblpX="1549" w:tblpY="805"/>
        <w:tblW w:w="0" w:type="auto"/>
        <w:tblLayout w:type="fixed"/>
        <w:tblLook w:val="04A0" w:firstRow="1" w:lastRow="0" w:firstColumn="1" w:lastColumn="0" w:noHBand="0" w:noVBand="1"/>
      </w:tblPr>
      <w:tblGrid>
        <w:gridCol w:w="2268"/>
        <w:gridCol w:w="2268"/>
        <w:gridCol w:w="2268"/>
        <w:gridCol w:w="2268"/>
      </w:tblGrid>
      <w:tr w:rsidR="00A75224" w:rsidRPr="002815D8" w14:paraId="5C163D28" w14:textId="77777777" w:rsidTr="00A75224">
        <w:tc>
          <w:tcPr>
            <w:tcW w:w="2268" w:type="dxa"/>
            <w:shd w:val="clear" w:color="auto" w:fill="D7FFAB"/>
          </w:tcPr>
          <w:p w14:paraId="02CBCEF4" w14:textId="77777777" w:rsidR="00A75224" w:rsidRPr="00E4144C" w:rsidRDefault="00E4144C" w:rsidP="00A75224">
            <w:pPr>
              <w:spacing w:line="276" w:lineRule="auto"/>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Risk</w:t>
            </w:r>
          </w:p>
        </w:tc>
        <w:tc>
          <w:tcPr>
            <w:tcW w:w="2268" w:type="dxa"/>
            <w:shd w:val="clear" w:color="auto" w:fill="D7FFAB"/>
          </w:tcPr>
          <w:p w14:paraId="5FCF16AB" w14:textId="77777777" w:rsidR="00A75224" w:rsidRPr="00E4144C" w:rsidRDefault="00A75224" w:rsidP="00E4144C">
            <w:pPr>
              <w:spacing w:line="276" w:lineRule="auto"/>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Consequence</w:t>
            </w:r>
          </w:p>
        </w:tc>
        <w:tc>
          <w:tcPr>
            <w:tcW w:w="2268" w:type="dxa"/>
            <w:shd w:val="clear" w:color="auto" w:fill="D7FFAB"/>
          </w:tcPr>
          <w:p w14:paraId="26A58886" w14:textId="77777777" w:rsidR="00A75224" w:rsidRPr="00E4144C" w:rsidRDefault="00E4144C" w:rsidP="00A75224">
            <w:pPr>
              <w:spacing w:line="276" w:lineRule="auto"/>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Probability</w:t>
            </w:r>
          </w:p>
        </w:tc>
        <w:tc>
          <w:tcPr>
            <w:tcW w:w="2268" w:type="dxa"/>
            <w:shd w:val="clear" w:color="auto" w:fill="D7FFAB"/>
          </w:tcPr>
          <w:p w14:paraId="37734476" w14:textId="77777777" w:rsidR="00A75224" w:rsidRPr="00E4144C" w:rsidRDefault="00A75224" w:rsidP="00E4144C">
            <w:pPr>
              <w:spacing w:line="276" w:lineRule="auto"/>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Mitigation measure</w:t>
            </w:r>
          </w:p>
        </w:tc>
      </w:tr>
      <w:tr w:rsidR="00F7406E" w:rsidRPr="00B60582" w14:paraId="5CF865C0" w14:textId="77777777" w:rsidTr="00A75224">
        <w:tc>
          <w:tcPr>
            <w:tcW w:w="2268" w:type="dxa"/>
          </w:tcPr>
          <w:p w14:paraId="5C34FCA6" w14:textId="77777777"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The occurrence of a large-scale natural event in the project area or another region in the country that results in a disaster</w:t>
            </w:r>
          </w:p>
        </w:tc>
        <w:tc>
          <w:tcPr>
            <w:tcW w:w="2268" w:type="dxa"/>
          </w:tcPr>
          <w:p w14:paraId="77CD5354" w14:textId="77777777" w:rsidR="00F7406E"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Absorbs all the institutional capacities involved</w:t>
            </w:r>
          </w:p>
        </w:tc>
        <w:tc>
          <w:tcPr>
            <w:tcW w:w="2268" w:type="dxa"/>
          </w:tcPr>
          <w:p w14:paraId="1B02B45B" w14:textId="77777777"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Low to medium</w:t>
            </w:r>
          </w:p>
        </w:tc>
        <w:tc>
          <w:tcPr>
            <w:tcW w:w="2268" w:type="dxa"/>
          </w:tcPr>
          <w:p w14:paraId="51CDBDD5" w14:textId="77777777"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Postponing the implementation of CTCN technical assistance until working conditions have returned to normal</w:t>
            </w:r>
          </w:p>
        </w:tc>
      </w:tr>
      <w:tr w:rsidR="00F7406E" w:rsidRPr="00B60582" w14:paraId="0D37966D" w14:textId="77777777" w:rsidTr="00A75224">
        <w:tc>
          <w:tcPr>
            <w:tcW w:w="2268" w:type="dxa"/>
          </w:tcPr>
          <w:p w14:paraId="40645AA1" w14:textId="6A5BF5C5" w:rsidR="00F7406E" w:rsidRPr="00E4144C" w:rsidRDefault="00F7406E" w:rsidP="00400D29">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Fall in political will during the implementation</w:t>
            </w:r>
          </w:p>
        </w:tc>
        <w:tc>
          <w:tcPr>
            <w:tcW w:w="2268" w:type="dxa"/>
          </w:tcPr>
          <w:p w14:paraId="64F5B132" w14:textId="77777777" w:rsidR="00F7406E"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 xml:space="preserve">Reduction in cooperation between the actors </w:t>
            </w:r>
          </w:p>
        </w:tc>
        <w:tc>
          <w:tcPr>
            <w:tcW w:w="2268" w:type="dxa"/>
          </w:tcPr>
          <w:p w14:paraId="409BBBC8" w14:textId="77777777"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Low</w:t>
            </w:r>
          </w:p>
        </w:tc>
        <w:tc>
          <w:tcPr>
            <w:tcW w:w="2268" w:type="dxa"/>
          </w:tcPr>
          <w:p w14:paraId="317FC1B9" w14:textId="77777777" w:rsidR="00F7406E" w:rsidRPr="00E4144C" w:rsidRDefault="00F7406E" w:rsidP="00D0125C">
            <w:pPr>
              <w:spacing w:line="276" w:lineRule="auto"/>
              <w:rPr>
                <w:rFonts w:ascii="Times New Roman" w:eastAsia="Times New Roman" w:hAnsi="Times New Roman" w:cs="Times New Roman"/>
                <w:color w:val="000000" w:themeColor="text1"/>
                <w:sz w:val="22"/>
                <w:szCs w:val="22"/>
              </w:rPr>
            </w:pPr>
            <w:r>
              <w:rPr>
                <w:rFonts w:ascii="Times New Roman" w:hAnsi="Times New Roman"/>
                <w:color w:val="000000" w:themeColor="text1"/>
                <w:sz w:val="22"/>
                <w:szCs w:val="22"/>
                <w:lang w:val="en-GB"/>
              </w:rPr>
              <w:t xml:space="preserve">Maintaining good relations with all institutions at three levels: a) via IDDI, the local partner; b) frequent trips by the principal expert; and c) continuous </w:t>
            </w:r>
            <w:r w:rsidR="002B0D61">
              <w:rPr>
                <w:rFonts w:ascii="Times New Roman" w:hAnsi="Times New Roman"/>
                <w:color w:val="000000" w:themeColor="text1"/>
                <w:sz w:val="22"/>
                <w:szCs w:val="22"/>
                <w:lang w:val="en-GB"/>
              </w:rPr>
              <w:t xml:space="preserve">monitoring </w:t>
            </w:r>
            <w:r w:rsidR="002B0D61">
              <w:rPr>
                <w:lang w:val="en-GB"/>
              </w:rPr>
              <w:t>and</w:t>
            </w:r>
            <w:r>
              <w:rPr>
                <w:rFonts w:ascii="Times New Roman" w:hAnsi="Times New Roman"/>
                <w:color w:val="000000" w:themeColor="text1"/>
                <w:sz w:val="22"/>
                <w:szCs w:val="22"/>
                <w:lang w:val="en-GB"/>
              </w:rPr>
              <w:t xml:space="preserve"> support by CTCN and the experts implementing the technical assistance and local offices of the members of their consortium and network</w:t>
            </w:r>
          </w:p>
        </w:tc>
      </w:tr>
      <w:tr w:rsidR="00F7406E" w:rsidRPr="00B60582" w14:paraId="7ABD5E1C" w14:textId="77777777" w:rsidTr="00A75224">
        <w:tc>
          <w:tcPr>
            <w:tcW w:w="2268" w:type="dxa"/>
          </w:tcPr>
          <w:p w14:paraId="28927A43" w14:textId="77777777"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Misunderstandings or competition between actors responsible for adaptation to climate change and those responsible for managing the risk of disasters give rise to inter-institutional conflicts</w:t>
            </w:r>
          </w:p>
        </w:tc>
        <w:tc>
          <w:tcPr>
            <w:tcW w:w="2268" w:type="dxa"/>
          </w:tcPr>
          <w:p w14:paraId="16692BB1" w14:textId="77777777" w:rsidR="00F7406E"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When there is high competition, it becomes harder to cooperate in the system and implement the activities as planned</w:t>
            </w:r>
          </w:p>
        </w:tc>
        <w:tc>
          <w:tcPr>
            <w:tcW w:w="2268" w:type="dxa"/>
          </w:tcPr>
          <w:p w14:paraId="5BBDE67D" w14:textId="77777777"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Low</w:t>
            </w:r>
          </w:p>
        </w:tc>
        <w:tc>
          <w:tcPr>
            <w:tcW w:w="2268" w:type="dxa"/>
          </w:tcPr>
          <w:p w14:paraId="1F40244D" w14:textId="7CD388C0" w:rsidR="00F7406E" w:rsidRPr="00E4144C" w:rsidRDefault="00F7406E" w:rsidP="00F7406E">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Emphasi</w:t>
            </w:r>
            <w:r w:rsidR="004244C5">
              <w:rPr>
                <w:rFonts w:ascii="Times New Roman" w:eastAsia="Times New Roman" w:hAnsi="Times New Roman" w:cs="Times New Roman"/>
                <w:color w:val="000000" w:themeColor="text1"/>
                <w:sz w:val="22"/>
                <w:szCs w:val="22"/>
                <w:lang w:val="en-GB"/>
              </w:rPr>
              <w:t>z</w:t>
            </w:r>
            <w:r>
              <w:rPr>
                <w:rFonts w:ascii="Times New Roman" w:eastAsia="Times New Roman" w:hAnsi="Times New Roman" w:cs="Times New Roman"/>
                <w:color w:val="000000" w:themeColor="text1"/>
                <w:sz w:val="22"/>
                <w:szCs w:val="22"/>
                <w:lang w:val="en-GB"/>
              </w:rPr>
              <w:t xml:space="preserve">ing the benefits and common interests among the actors and maintaining good relations with all the institutions involved  </w:t>
            </w:r>
          </w:p>
        </w:tc>
      </w:tr>
      <w:tr w:rsidR="00F7406E" w:rsidRPr="00B60582" w14:paraId="51D9C3C0" w14:textId="77777777" w:rsidTr="00A75224">
        <w:tc>
          <w:tcPr>
            <w:tcW w:w="2268" w:type="dxa"/>
          </w:tcPr>
          <w:p w14:paraId="4DD04498" w14:textId="259A5DE8" w:rsidR="00F7406E" w:rsidRPr="00E4144C" w:rsidRDefault="003023D2" w:rsidP="003023D2">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lastRenderedPageBreak/>
              <w:t>Th</w:t>
            </w:r>
            <w:r w:rsidR="008834D2">
              <w:rPr>
                <w:rFonts w:ascii="Times New Roman" w:eastAsia="Times New Roman" w:hAnsi="Times New Roman" w:cs="Times New Roman"/>
                <w:color w:val="000000" w:themeColor="text1"/>
                <w:sz w:val="22"/>
                <w:szCs w:val="22"/>
                <w:lang w:val="en-GB"/>
              </w:rPr>
              <w:t>e complex</w:t>
            </w:r>
            <w:r>
              <w:rPr>
                <w:rFonts w:ascii="Times New Roman" w:eastAsia="Times New Roman" w:hAnsi="Times New Roman" w:cs="Times New Roman"/>
                <w:color w:val="000000" w:themeColor="text1"/>
                <w:sz w:val="22"/>
                <w:szCs w:val="22"/>
                <w:lang w:val="en-GB"/>
              </w:rPr>
              <w:t xml:space="preserve">ities involved in </w:t>
            </w:r>
            <w:r w:rsidR="008834D2">
              <w:rPr>
                <w:rFonts w:ascii="Times New Roman" w:eastAsia="Times New Roman" w:hAnsi="Times New Roman" w:cs="Times New Roman"/>
                <w:color w:val="000000" w:themeColor="text1"/>
                <w:sz w:val="22"/>
                <w:szCs w:val="22"/>
                <w:lang w:val="en-GB"/>
              </w:rPr>
              <w:t>reform</w:t>
            </w:r>
            <w:r>
              <w:rPr>
                <w:rFonts w:ascii="Times New Roman" w:eastAsia="Times New Roman" w:hAnsi="Times New Roman" w:cs="Times New Roman"/>
                <w:color w:val="000000" w:themeColor="text1"/>
                <w:sz w:val="22"/>
                <w:szCs w:val="22"/>
                <w:lang w:val="en-GB"/>
              </w:rPr>
              <w:t>ing</w:t>
            </w:r>
            <w:r w:rsidR="008834D2">
              <w:rPr>
                <w:rFonts w:ascii="Times New Roman" w:eastAsia="Times New Roman" w:hAnsi="Times New Roman" w:cs="Times New Roman"/>
                <w:color w:val="000000" w:themeColor="text1"/>
                <w:sz w:val="22"/>
                <w:szCs w:val="22"/>
                <w:lang w:val="en-GB"/>
              </w:rPr>
              <w:t xml:space="preserve"> the EWS </w:t>
            </w:r>
            <w:r>
              <w:rPr>
                <w:rFonts w:ascii="Times New Roman" w:eastAsia="Times New Roman" w:hAnsi="Times New Roman" w:cs="Times New Roman"/>
                <w:color w:val="000000" w:themeColor="text1"/>
                <w:sz w:val="22"/>
                <w:szCs w:val="22"/>
                <w:lang w:val="en-GB"/>
              </w:rPr>
              <w:t>lead to disappointment that the high expectations of the project cannot be me</w:t>
            </w:r>
          </w:p>
        </w:tc>
        <w:tc>
          <w:tcPr>
            <w:tcW w:w="2268" w:type="dxa"/>
          </w:tcPr>
          <w:p w14:paraId="49E44EC3" w14:textId="70C857D3" w:rsidR="00F7406E" w:rsidRDefault="008834D2" w:rsidP="008834D2">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 xml:space="preserve">Reduced enthusiasm among the </w:t>
            </w:r>
            <w:r w:rsidR="007E5C5F">
              <w:rPr>
                <w:rFonts w:ascii="Times New Roman" w:eastAsia="Times New Roman" w:hAnsi="Times New Roman" w:cs="Times New Roman"/>
                <w:color w:val="000000" w:themeColor="text1"/>
                <w:sz w:val="22"/>
                <w:szCs w:val="22"/>
                <w:lang w:val="en-GB"/>
              </w:rPr>
              <w:t>partner</w:t>
            </w:r>
            <w:r>
              <w:rPr>
                <w:rFonts w:ascii="Times New Roman" w:eastAsia="Times New Roman" w:hAnsi="Times New Roman" w:cs="Times New Roman"/>
                <w:color w:val="000000" w:themeColor="text1"/>
                <w:sz w:val="22"/>
                <w:szCs w:val="22"/>
                <w:lang w:val="en-GB"/>
              </w:rPr>
              <w:t xml:space="preserve">s </w:t>
            </w:r>
          </w:p>
        </w:tc>
        <w:tc>
          <w:tcPr>
            <w:tcW w:w="2268" w:type="dxa"/>
          </w:tcPr>
          <w:p w14:paraId="56AE7CFC" w14:textId="77777777" w:rsidR="00F7406E" w:rsidRPr="00E4144C" w:rsidRDefault="00B65886" w:rsidP="008834D2">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Medium</w:t>
            </w:r>
          </w:p>
        </w:tc>
        <w:tc>
          <w:tcPr>
            <w:tcW w:w="2268" w:type="dxa"/>
          </w:tcPr>
          <w:p w14:paraId="7EFDA9D5" w14:textId="77777777" w:rsidR="00F7406E" w:rsidRDefault="008834D2" w:rsidP="00B65886">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Managing expectations from the outset, informing the technical committee of each step and in doing so providing a space for questions and integration</w:t>
            </w:r>
          </w:p>
          <w:p w14:paraId="64694BDC" w14:textId="77777777" w:rsidR="00C3030A" w:rsidRDefault="00C3030A" w:rsidP="00B65886">
            <w:pPr>
              <w:spacing w:line="276" w:lineRule="auto"/>
              <w:rPr>
                <w:rFonts w:ascii="Times New Roman" w:eastAsia="Times New Roman" w:hAnsi="Times New Roman" w:cs="Times New Roman"/>
                <w:color w:val="000000" w:themeColor="text1"/>
                <w:sz w:val="22"/>
                <w:szCs w:val="22"/>
              </w:rPr>
            </w:pPr>
          </w:p>
          <w:p w14:paraId="36901DF3" w14:textId="75B7F6D3" w:rsidR="00C3030A" w:rsidRPr="00E4144C" w:rsidRDefault="00C3030A" w:rsidP="00C3030A">
            <w:pPr>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 xml:space="preserve">The regional conference will promote a space for exchange with other countries carrying out similar reforms and will involve the </w:t>
            </w:r>
            <w:r w:rsidR="007E5C5F">
              <w:rPr>
                <w:rFonts w:ascii="Times New Roman" w:eastAsia="Times New Roman" w:hAnsi="Times New Roman" w:cs="Times New Roman"/>
                <w:color w:val="000000" w:themeColor="text1"/>
                <w:sz w:val="22"/>
                <w:szCs w:val="22"/>
                <w:lang w:val="en-GB"/>
              </w:rPr>
              <w:t>partner</w:t>
            </w:r>
            <w:r>
              <w:rPr>
                <w:rFonts w:ascii="Times New Roman" w:eastAsia="Times New Roman" w:hAnsi="Times New Roman" w:cs="Times New Roman"/>
                <w:color w:val="000000" w:themeColor="text1"/>
                <w:sz w:val="22"/>
                <w:szCs w:val="22"/>
                <w:lang w:val="en-GB"/>
              </w:rPr>
              <w:t xml:space="preserve">s in securing funding for continuation </w:t>
            </w:r>
          </w:p>
        </w:tc>
      </w:tr>
    </w:tbl>
    <w:p w14:paraId="2A3779BD" w14:textId="77777777" w:rsidR="00A603E0" w:rsidRDefault="00A603E0" w:rsidP="002815D8">
      <w:pPr>
        <w:pStyle w:val="ListParagraph"/>
        <w:spacing w:after="0" w:line="276" w:lineRule="auto"/>
        <w:rPr>
          <w:rFonts w:ascii="Times New Roman" w:hAnsi="Times New Roman" w:cs="Times New Roman"/>
          <w:b/>
          <w:color w:val="000000" w:themeColor="text1"/>
          <w:sz w:val="22"/>
          <w:szCs w:val="22"/>
        </w:rPr>
      </w:pPr>
    </w:p>
    <w:p w14:paraId="2D460B19" w14:textId="77777777" w:rsidR="00A603E0" w:rsidRDefault="00A603E0" w:rsidP="002815D8">
      <w:pPr>
        <w:pStyle w:val="ListParagraph"/>
        <w:spacing w:after="0" w:line="276" w:lineRule="auto"/>
        <w:rPr>
          <w:rFonts w:ascii="Times New Roman" w:hAnsi="Times New Roman" w:cs="Times New Roman"/>
          <w:b/>
          <w:color w:val="000000" w:themeColor="text1"/>
          <w:sz w:val="22"/>
          <w:szCs w:val="22"/>
        </w:rPr>
      </w:pPr>
    </w:p>
    <w:p w14:paraId="732483D6" w14:textId="01B8B8A9" w:rsidR="002815D8" w:rsidRPr="00B65886" w:rsidRDefault="00DA60FA" w:rsidP="00A603E0">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 xml:space="preserve">2.9 Monitoring and </w:t>
      </w:r>
      <w:r w:rsidR="004244C5">
        <w:rPr>
          <w:rFonts w:ascii="Times New Roman" w:hAnsi="Times New Roman" w:cs="Times New Roman"/>
          <w:b/>
          <w:bCs/>
          <w:color w:val="000000" w:themeColor="text1"/>
          <w:sz w:val="22"/>
          <w:szCs w:val="22"/>
          <w:lang w:val="en-GB"/>
        </w:rPr>
        <w:t>r</w:t>
      </w:r>
      <w:r>
        <w:rPr>
          <w:rFonts w:ascii="Times New Roman" w:hAnsi="Times New Roman" w:cs="Times New Roman"/>
          <w:b/>
          <w:bCs/>
          <w:color w:val="000000" w:themeColor="text1"/>
          <w:sz w:val="22"/>
          <w:szCs w:val="22"/>
          <w:lang w:val="en-GB"/>
        </w:rPr>
        <w:t>eporting</w:t>
      </w:r>
    </w:p>
    <w:p w14:paraId="5AE2AD10" w14:textId="77777777" w:rsidR="002815D8" w:rsidRPr="00B65886" w:rsidRDefault="002815D8" w:rsidP="002815D8">
      <w:pPr>
        <w:spacing w:after="0" w:line="276" w:lineRule="auto"/>
        <w:rPr>
          <w:rFonts w:ascii="Times New Roman" w:hAnsi="Times New Roman" w:cs="Times New Roman"/>
          <w:color w:val="000000" w:themeColor="text1"/>
          <w:sz w:val="22"/>
          <w:szCs w:val="22"/>
        </w:rPr>
      </w:pPr>
    </w:p>
    <w:p w14:paraId="4516369F" w14:textId="77777777" w:rsidR="002815D8" w:rsidRPr="00D05563" w:rsidRDefault="00B65886" w:rsidP="002815D8">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During the technical assistance, there will be two forms of reporting: i) reporting on current activities and possible challenges; and ii) sharing results (deliverables) in each block of activities. The following methods will be used for reporting:</w:t>
      </w:r>
    </w:p>
    <w:p w14:paraId="003A5C9D" w14:textId="5F24EF10" w:rsidR="00B65886" w:rsidRPr="00D05563" w:rsidRDefault="00B65886" w:rsidP="006E7F8C">
      <w:pPr>
        <w:pStyle w:val="ListParagraph"/>
        <w:numPr>
          <w:ilvl w:val="0"/>
          <w:numId w:val="2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A brief monthly memo reporting to CTCN head office and the parties contracted to implement the activities, in addition to the relevant </w:t>
      </w:r>
      <w:r w:rsidR="007E5C5F">
        <w:rPr>
          <w:rFonts w:ascii="Times New Roman" w:hAnsi="Times New Roman" w:cs="Times New Roman"/>
          <w:color w:val="000000" w:themeColor="text1"/>
          <w:sz w:val="22"/>
          <w:szCs w:val="22"/>
          <w:lang w:val="en-GB"/>
        </w:rPr>
        <w:t>partner</w:t>
      </w:r>
      <w:r>
        <w:rPr>
          <w:rFonts w:ascii="Times New Roman" w:hAnsi="Times New Roman" w:cs="Times New Roman"/>
          <w:color w:val="000000" w:themeColor="text1"/>
          <w:sz w:val="22"/>
          <w:szCs w:val="22"/>
          <w:lang w:val="en-GB"/>
        </w:rPr>
        <w:t xml:space="preserve">s in the Dominican Republic </w:t>
      </w:r>
      <w:r>
        <w:rPr>
          <w:rFonts w:ascii="Times New Roman" w:hAnsi="Times New Roman" w:cs="Times New Roman"/>
          <w:sz w:val="22"/>
          <w:szCs w:val="22"/>
          <w:lang w:val="en-GB"/>
        </w:rPr>
        <w:t xml:space="preserve">(especially the Ministry of Environment and </w:t>
      </w:r>
      <w:r w:rsidR="004244C5">
        <w:rPr>
          <w:rFonts w:ascii="Times New Roman" w:hAnsi="Times New Roman" w:cs="Times New Roman"/>
          <w:sz w:val="22"/>
          <w:szCs w:val="22"/>
          <w:lang w:val="en-GB"/>
        </w:rPr>
        <w:t>N</w:t>
      </w:r>
      <w:r>
        <w:rPr>
          <w:rFonts w:ascii="Times New Roman" w:hAnsi="Times New Roman" w:cs="Times New Roman"/>
          <w:sz w:val="22"/>
          <w:szCs w:val="22"/>
          <w:lang w:val="en-GB"/>
        </w:rPr>
        <w:t>atural Resources, the National Meteorology Office [ONAMET], the Civil Defence, COE and CNE).</w:t>
      </w:r>
    </w:p>
    <w:p w14:paraId="59FFA742" w14:textId="77777777" w:rsidR="00C3030A" w:rsidRPr="00D05563" w:rsidRDefault="00C3030A" w:rsidP="00C3030A">
      <w:pPr>
        <w:pStyle w:val="ListParagraph"/>
        <w:numPr>
          <w:ilvl w:val="0"/>
          <w:numId w:val="2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A memo and, if necessary, a call in the case of challenges that could compromise the progress of the implementation.</w:t>
      </w:r>
    </w:p>
    <w:p w14:paraId="3FC07FF8" w14:textId="4BD638D4" w:rsidR="00C3030A" w:rsidRPr="00D05563" w:rsidRDefault="00400D29" w:rsidP="006E7F8C">
      <w:pPr>
        <w:pStyle w:val="ListParagraph"/>
        <w:numPr>
          <w:ilvl w:val="0"/>
          <w:numId w:val="24"/>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Setting out</w:t>
      </w:r>
      <w:r w:rsidR="00C3030A">
        <w:rPr>
          <w:rFonts w:ascii="Times New Roman" w:hAnsi="Times New Roman" w:cs="Times New Roman"/>
          <w:color w:val="000000" w:themeColor="text1"/>
          <w:sz w:val="22"/>
          <w:szCs w:val="22"/>
          <w:lang w:val="en-GB"/>
        </w:rPr>
        <w:t xml:space="preserve"> </w:t>
      </w:r>
      <w:r>
        <w:rPr>
          <w:rFonts w:ascii="Times New Roman" w:hAnsi="Times New Roman" w:cs="Times New Roman"/>
          <w:color w:val="000000" w:themeColor="text1"/>
          <w:sz w:val="22"/>
          <w:szCs w:val="22"/>
          <w:lang w:val="en-GB"/>
        </w:rPr>
        <w:t xml:space="preserve">clear </w:t>
      </w:r>
      <w:r w:rsidR="00C3030A">
        <w:rPr>
          <w:rFonts w:ascii="Times New Roman" w:hAnsi="Times New Roman" w:cs="Times New Roman"/>
          <w:color w:val="000000" w:themeColor="text1"/>
          <w:sz w:val="22"/>
          <w:szCs w:val="22"/>
          <w:lang w:val="en-GB"/>
        </w:rPr>
        <w:t xml:space="preserve">deliverables for all those involved. </w:t>
      </w:r>
    </w:p>
    <w:p w14:paraId="56FA3205" w14:textId="77777777" w:rsidR="00C73A5D" w:rsidRPr="00D05563" w:rsidRDefault="007F5DA2" w:rsidP="006E7F8C">
      <w:pPr>
        <w:pStyle w:val="ListParagraph"/>
        <w:numPr>
          <w:ilvl w:val="0"/>
          <w:numId w:val="24"/>
        </w:numPr>
        <w:spacing w:after="0" w:line="276" w:lineRule="auto"/>
        <w:rPr>
          <w:rFonts w:ascii="Times New Roman" w:hAnsi="Times New Roman" w:cs="Times New Roman"/>
          <w:color w:val="000000" w:themeColor="text1"/>
          <w:sz w:val="22"/>
          <w:szCs w:val="22"/>
        </w:rPr>
      </w:pPr>
      <w:r>
        <w:rPr>
          <w:rFonts w:ascii="Times New Roman" w:hAnsi="Times New Roman" w:cs="Times New Roman"/>
          <w:sz w:val="22"/>
          <w:szCs w:val="22"/>
          <w:lang w:val="en-GB"/>
        </w:rPr>
        <w:t>The main supplier of the technical assistance and representative of CTCN for its duration will monitor all the activities described jointly with CTCN head office to ensure the quality of the results. Furthermore, on behalf of CTCN, the supplier(s) will ensure the interests of the key actors (Ministry of Environment and Natural Resources and IDDI) are taken into account.</w:t>
      </w:r>
    </w:p>
    <w:p w14:paraId="575DDD5B" w14:textId="77777777" w:rsidR="00D05563" w:rsidRPr="00D05563" w:rsidRDefault="00D05563" w:rsidP="00D05563">
      <w:pPr>
        <w:pStyle w:val="ListParagraph"/>
        <w:spacing w:after="0" w:line="276" w:lineRule="auto"/>
        <w:rPr>
          <w:rFonts w:ascii="Times New Roman" w:hAnsi="Times New Roman" w:cs="Times New Roman"/>
          <w:color w:val="000000" w:themeColor="text1"/>
          <w:sz w:val="22"/>
          <w:szCs w:val="22"/>
        </w:rPr>
      </w:pPr>
    </w:p>
    <w:p w14:paraId="4701C958" w14:textId="77777777" w:rsidR="002815D8" w:rsidRPr="006064E3" w:rsidRDefault="002815D8" w:rsidP="002815D8">
      <w:pPr>
        <w:spacing w:after="0" w:line="276" w:lineRule="auto"/>
        <w:rPr>
          <w:rFonts w:ascii="Times New Roman" w:hAnsi="Times New Roman" w:cs="Times New Roman"/>
          <w:b/>
          <w:color w:val="000000" w:themeColor="text1"/>
          <w:sz w:val="22"/>
          <w:szCs w:val="22"/>
        </w:rPr>
      </w:pPr>
    </w:p>
    <w:p w14:paraId="2A961447" w14:textId="77777777" w:rsidR="002815D8" w:rsidRPr="0088695C" w:rsidRDefault="002815D8" w:rsidP="002815D8">
      <w:pPr>
        <w:pStyle w:val="ListParagraph"/>
        <w:numPr>
          <w:ilvl w:val="0"/>
          <w:numId w:val="11"/>
        </w:numPr>
        <w:spacing w:after="0" w:line="276" w:lineRule="auto"/>
        <w:rPr>
          <w:rFonts w:ascii="Times New Roman" w:hAnsi="Times New Roman" w:cs="Times New Roman"/>
          <w:b/>
          <w:color w:val="1F497D" w:themeColor="text2"/>
        </w:rPr>
      </w:pPr>
      <w:r>
        <w:rPr>
          <w:rFonts w:ascii="Times New Roman" w:hAnsi="Times New Roman" w:cs="Times New Roman"/>
          <w:b/>
          <w:bCs/>
          <w:color w:val="1F497D" w:themeColor="text2"/>
          <w:lang w:val="en-GB"/>
        </w:rPr>
        <w:t xml:space="preserve">Long-term impacts of the assistance </w:t>
      </w:r>
    </w:p>
    <w:p w14:paraId="5A94C36E" w14:textId="77777777" w:rsidR="002815D8" w:rsidRPr="00F21B90" w:rsidRDefault="002815D8" w:rsidP="002815D8">
      <w:pPr>
        <w:spacing w:after="0" w:line="276" w:lineRule="auto"/>
        <w:rPr>
          <w:rFonts w:ascii="Times New Roman" w:hAnsi="Times New Roman" w:cs="Times New Roman"/>
          <w:b/>
          <w:color w:val="000000" w:themeColor="text1"/>
          <w:sz w:val="22"/>
          <w:szCs w:val="22"/>
        </w:rPr>
      </w:pPr>
    </w:p>
    <w:p w14:paraId="181A326C" w14:textId="77777777" w:rsidR="002815D8" w:rsidRPr="001809D9" w:rsidRDefault="008057F4"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3.1 Expected climate change-related benefits</w:t>
      </w:r>
    </w:p>
    <w:p w14:paraId="400D1C72" w14:textId="77777777" w:rsidR="002815D8" w:rsidRPr="001809D9" w:rsidRDefault="002815D8" w:rsidP="002815D8">
      <w:pPr>
        <w:spacing w:after="0" w:line="276" w:lineRule="auto"/>
        <w:rPr>
          <w:rFonts w:ascii="Times New Roman" w:hAnsi="Times New Roman" w:cs="Times New Roman"/>
          <w:b/>
          <w:color w:val="000000" w:themeColor="text1"/>
          <w:sz w:val="22"/>
          <w:szCs w:val="22"/>
        </w:rPr>
      </w:pPr>
    </w:p>
    <w:p w14:paraId="520918A1" w14:textId="77777777" w:rsidR="00F75B0A" w:rsidRDefault="00EA57BE" w:rsidP="007D0D83">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Improving access to early warnings builds the capacity of the population affected by disasters by implementing prevention and adaptation measures for current and future climate change. The technical assistance will focus on hydro-meteorological events, especially extreme and sudden events.</w:t>
      </w:r>
    </w:p>
    <w:p w14:paraId="4202C2D0" w14:textId="77777777" w:rsidR="00EA57BE" w:rsidRDefault="00EA57BE" w:rsidP="00EA57BE">
      <w:pPr>
        <w:spacing w:after="0" w:line="276" w:lineRule="auto"/>
        <w:rPr>
          <w:rFonts w:ascii="Times New Roman" w:hAnsi="Times New Roman" w:cs="Times New Roman"/>
          <w:color w:val="000000" w:themeColor="text1"/>
          <w:sz w:val="22"/>
          <w:szCs w:val="22"/>
        </w:rPr>
      </w:pPr>
    </w:p>
    <w:p w14:paraId="7EF875BB" w14:textId="77777777" w:rsidR="00B76290" w:rsidRDefault="00B76290" w:rsidP="00B76290">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lastRenderedPageBreak/>
        <w:t>The long-term impacts the technical assistance seeks to deliver include:</w:t>
      </w:r>
    </w:p>
    <w:p w14:paraId="1CC994C6" w14:textId="77777777" w:rsidR="00B76290" w:rsidRPr="00B76290" w:rsidRDefault="00B76290" w:rsidP="00B76290">
      <w:pPr>
        <w:spacing w:after="0" w:line="276" w:lineRule="auto"/>
        <w:rPr>
          <w:rFonts w:ascii="Times New Roman" w:hAnsi="Times New Roman" w:cs="Times New Roman"/>
          <w:color w:val="000000" w:themeColor="text1"/>
          <w:sz w:val="22"/>
          <w:szCs w:val="22"/>
        </w:rPr>
      </w:pPr>
    </w:p>
    <w:p w14:paraId="7C5D43EC" w14:textId="0E75E206" w:rsidR="00B76290" w:rsidRPr="008C2023" w:rsidRDefault="00B76290" w:rsidP="007F56F4">
      <w:pPr>
        <w:pStyle w:val="ListParagraph"/>
        <w:numPr>
          <w:ilvl w:val="0"/>
          <w:numId w:val="17"/>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Community identification and recognition of risks and threats that may have a major </w:t>
      </w:r>
      <w:r w:rsidR="007F56F4">
        <w:rPr>
          <w:rFonts w:ascii="Times New Roman" w:hAnsi="Times New Roman" w:cs="Times New Roman"/>
          <w:color w:val="000000" w:themeColor="text1"/>
          <w:sz w:val="22"/>
          <w:szCs w:val="22"/>
          <w:lang w:val="en-GB"/>
        </w:rPr>
        <w:t>impac</w:t>
      </w:r>
      <w:r>
        <w:rPr>
          <w:rFonts w:ascii="Times New Roman" w:hAnsi="Times New Roman" w:cs="Times New Roman"/>
          <w:color w:val="000000" w:themeColor="text1"/>
          <w:sz w:val="22"/>
          <w:szCs w:val="22"/>
          <w:lang w:val="en-GB"/>
        </w:rPr>
        <w:t>t on individuals.</w:t>
      </w:r>
    </w:p>
    <w:p w14:paraId="2103A654" w14:textId="77777777" w:rsidR="00B76290" w:rsidRPr="008C2023" w:rsidRDefault="00B76290" w:rsidP="008C2023">
      <w:pPr>
        <w:pStyle w:val="ListParagraph"/>
        <w:numPr>
          <w:ilvl w:val="0"/>
          <w:numId w:val="17"/>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Facilitating access to PMR evacuation and response maps/plans to individuals in the beneficiary communities.</w:t>
      </w:r>
    </w:p>
    <w:p w14:paraId="2410A614" w14:textId="77777777" w:rsidR="00B76290" w:rsidRPr="008C2023" w:rsidRDefault="00B76290" w:rsidP="008C2023">
      <w:pPr>
        <w:pStyle w:val="ListParagraph"/>
        <w:numPr>
          <w:ilvl w:val="0"/>
          <w:numId w:val="17"/>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Improving individual and community response capacity for natural disasters that affect the communities covered by the intervention.</w:t>
      </w:r>
    </w:p>
    <w:p w14:paraId="2DC024A2" w14:textId="77777777" w:rsidR="00B76290" w:rsidRPr="008C2023" w:rsidRDefault="00B76290" w:rsidP="008C2023">
      <w:pPr>
        <w:pStyle w:val="ListParagraph"/>
        <w:numPr>
          <w:ilvl w:val="0"/>
          <w:numId w:val="17"/>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Establishing coordination structures that facilitate feedback to the EWS.</w:t>
      </w:r>
    </w:p>
    <w:p w14:paraId="3F4A2CC0" w14:textId="77777777" w:rsidR="00B76290" w:rsidRDefault="00B76290" w:rsidP="008C2023">
      <w:pPr>
        <w:pStyle w:val="ListParagraph"/>
        <w:numPr>
          <w:ilvl w:val="0"/>
          <w:numId w:val="17"/>
        </w:num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Continuous reporting/feedback from users of the app to facilitate the quantification of loss and damage in communities. This information will facilitate the quantification process by the responsible institutions.</w:t>
      </w:r>
    </w:p>
    <w:p w14:paraId="1BA389AF" w14:textId="77777777" w:rsidR="00086DF3" w:rsidRPr="00D914AB" w:rsidRDefault="00131C16" w:rsidP="008C2023">
      <w:pPr>
        <w:pStyle w:val="ListParagraph"/>
        <w:numPr>
          <w:ilvl w:val="0"/>
          <w:numId w:val="17"/>
        </w:numPr>
        <w:spacing w:after="0" w:line="276" w:lineRule="auto"/>
        <w:rPr>
          <w:rFonts w:ascii="Times New Roman" w:hAnsi="Times New Roman" w:cs="Times New Roman"/>
          <w:sz w:val="22"/>
          <w:szCs w:val="22"/>
        </w:rPr>
      </w:pPr>
      <w:r>
        <w:rPr>
          <w:rFonts w:ascii="Times New Roman" w:hAnsi="Times New Roman" w:cs="Times New Roman"/>
          <w:sz w:val="22"/>
          <w:szCs w:val="22"/>
          <w:lang w:val="en-GB"/>
        </w:rPr>
        <w:t>Introduction of a new efficient technology for communicating warnings and related information.</w:t>
      </w:r>
    </w:p>
    <w:p w14:paraId="6BE5C06F" w14:textId="77777777" w:rsidR="00A51109" w:rsidRPr="00EF5C7B" w:rsidRDefault="00A51109" w:rsidP="002815D8">
      <w:pPr>
        <w:spacing w:after="0" w:line="276" w:lineRule="auto"/>
        <w:rPr>
          <w:rFonts w:ascii="Times New Roman" w:hAnsi="Times New Roman" w:cs="Times New Roman"/>
          <w:i/>
          <w:color w:val="000000" w:themeColor="text1"/>
          <w:sz w:val="22"/>
          <w:szCs w:val="22"/>
        </w:rPr>
      </w:pPr>
    </w:p>
    <w:p w14:paraId="68145590" w14:textId="77777777" w:rsidR="002815D8" w:rsidRPr="00EF5C7B" w:rsidRDefault="002815D8"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3.2 Co-benefits</w:t>
      </w:r>
    </w:p>
    <w:p w14:paraId="6F235D3C" w14:textId="77777777" w:rsidR="00713A72" w:rsidRPr="00EF5C7B" w:rsidRDefault="00713A72" w:rsidP="00713A72">
      <w:pPr>
        <w:spacing w:after="0" w:line="276" w:lineRule="auto"/>
        <w:rPr>
          <w:rFonts w:ascii="Times New Roman" w:hAnsi="Times New Roman" w:cs="Times New Roman"/>
          <w:color w:val="000000" w:themeColor="text1"/>
          <w:sz w:val="22"/>
          <w:szCs w:val="22"/>
        </w:rPr>
      </w:pPr>
    </w:p>
    <w:p w14:paraId="3ABCC487" w14:textId="2BD56BC4" w:rsidR="009F43BF" w:rsidRDefault="004A4146" w:rsidP="00713A72">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 xml:space="preserve">The experience shows that disaster risk reduction and early warnings lead to a significant reduction in loss of life and costs and damages in the event of a disaster. Improving access to early warnings, making messages easier to understand and improving local reaction plans play an important role in this context. Similarly, investment in monitoring technology and early warning centres only makes sense if the various </w:t>
      </w:r>
      <w:r w:rsidR="00597DB0">
        <w:rPr>
          <w:rFonts w:ascii="Times New Roman" w:hAnsi="Times New Roman" w:cs="Times New Roman"/>
          <w:color w:val="000000" w:themeColor="text1"/>
          <w:sz w:val="22"/>
          <w:szCs w:val="22"/>
          <w:lang w:val="en-GB"/>
        </w:rPr>
        <w:t>early warning systems</w:t>
      </w:r>
      <w:r>
        <w:rPr>
          <w:rFonts w:ascii="Times New Roman" w:hAnsi="Times New Roman" w:cs="Times New Roman"/>
          <w:color w:val="000000" w:themeColor="text1"/>
          <w:sz w:val="22"/>
          <w:szCs w:val="22"/>
          <w:lang w:val="en-GB"/>
        </w:rPr>
        <w:t xml:space="preserve"> result in clear lines of action for optimal civil protection.</w:t>
      </w:r>
    </w:p>
    <w:p w14:paraId="76CC4116" w14:textId="77777777" w:rsidR="00713A72" w:rsidRDefault="00713A72" w:rsidP="00B32E3A">
      <w:pPr>
        <w:spacing w:after="0" w:line="276" w:lineRule="auto"/>
        <w:rPr>
          <w:rFonts w:ascii="Times New Roman" w:hAnsi="Times New Roman" w:cs="Times New Roman"/>
          <w:color w:val="000000" w:themeColor="text1"/>
          <w:sz w:val="22"/>
          <w:szCs w:val="22"/>
        </w:rPr>
      </w:pPr>
    </w:p>
    <w:p w14:paraId="14E9E53A" w14:textId="77777777"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The expected social benefits of the assistance include building capacity for resilience and adaptation among individuals, the beneficiary communities and the institutions involved in the proposal. This will undoubtedly increase the number of lives that can be saved in the event of natural disasters. The assistance will also increase the responsibility for communication among the associated entities. Making this link between individuals and institutions will facilitate the flow of information, smoothing its transmission to vulnerable populations.  </w:t>
      </w:r>
    </w:p>
    <w:p w14:paraId="6C0B9BD6" w14:textId="77777777" w:rsidR="008C2023" w:rsidRPr="00532AD6" w:rsidRDefault="008C2023" w:rsidP="008C2023">
      <w:pPr>
        <w:spacing w:after="0" w:line="276" w:lineRule="auto"/>
        <w:rPr>
          <w:rFonts w:ascii="Times New Roman" w:hAnsi="Times New Roman" w:cs="Times New Roman"/>
          <w:sz w:val="22"/>
          <w:szCs w:val="22"/>
        </w:rPr>
      </w:pPr>
    </w:p>
    <w:p w14:paraId="146662AC" w14:textId="77777777"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Reliable predictions of the possible scale and location of natural phenomena will facilitate advanced preparation by beneficiaries. This will help prevent material losses that may affect individuals and potential limitations to routine activities that must be carried out once the climate event or disaster has passed.  </w:t>
      </w:r>
    </w:p>
    <w:p w14:paraId="36E412C3" w14:textId="77777777" w:rsidR="008C2023" w:rsidRPr="00532AD6" w:rsidRDefault="008C2023" w:rsidP="008C2023">
      <w:pPr>
        <w:spacing w:after="0" w:line="276" w:lineRule="auto"/>
        <w:rPr>
          <w:rFonts w:ascii="Times New Roman" w:hAnsi="Times New Roman" w:cs="Times New Roman"/>
          <w:sz w:val="22"/>
          <w:szCs w:val="22"/>
        </w:rPr>
      </w:pPr>
    </w:p>
    <w:p w14:paraId="66B0981B" w14:textId="77777777"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The technical assistance will contribute to the following Sustainable Development Goals:</w:t>
      </w:r>
    </w:p>
    <w:p w14:paraId="1FC838C6" w14:textId="77777777" w:rsidR="008C2023" w:rsidRPr="00532AD6" w:rsidRDefault="008C2023" w:rsidP="008C2023">
      <w:pPr>
        <w:spacing w:after="0" w:line="276" w:lineRule="auto"/>
        <w:rPr>
          <w:rFonts w:ascii="Times New Roman" w:hAnsi="Times New Roman" w:cs="Times New Roman"/>
          <w:sz w:val="22"/>
          <w:szCs w:val="22"/>
        </w:rPr>
      </w:pPr>
    </w:p>
    <w:p w14:paraId="5F36CC29" w14:textId="77777777"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Goal 11: Reduction in the quantity of human and material losses caused by disasters, with an emphasis on the protection of poor and vulnerable people, as well as taking measures that contribute to mitigation against and adaptation to climate change. </w:t>
      </w:r>
    </w:p>
    <w:p w14:paraId="54431EA1" w14:textId="77777777"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Goal 13: Building capacity for resilience and adaptation to disasters, raising awareness about these issues in order to reduce impacts. </w:t>
      </w:r>
    </w:p>
    <w:p w14:paraId="2DFAE93F" w14:textId="77777777"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Goal 17: Promoting North–South cooperation to share knowledge and promoting the development and transfer of environmental technology for developing countries. </w:t>
      </w:r>
    </w:p>
    <w:p w14:paraId="0DD2D8CD" w14:textId="77777777" w:rsidR="00532AD6" w:rsidRPr="00532AD6" w:rsidRDefault="00532AD6" w:rsidP="008C2023">
      <w:pPr>
        <w:spacing w:after="0" w:line="276" w:lineRule="auto"/>
        <w:rPr>
          <w:rFonts w:ascii="Times New Roman" w:hAnsi="Times New Roman" w:cs="Times New Roman"/>
          <w:sz w:val="22"/>
          <w:szCs w:val="22"/>
        </w:rPr>
      </w:pPr>
    </w:p>
    <w:p w14:paraId="6CD3EBD0" w14:textId="08AB4660" w:rsidR="008C2023" w:rsidRPr="00532AD6" w:rsidRDefault="008C2023" w:rsidP="008C2023">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lastRenderedPageBreak/>
        <w:t xml:space="preserve">The expected results of the CTCN technical assistance may form a point of reference for the development and/or improvement of </w:t>
      </w:r>
      <w:r w:rsidR="00597DB0">
        <w:rPr>
          <w:rFonts w:ascii="Times New Roman" w:hAnsi="Times New Roman" w:cs="Times New Roman"/>
          <w:sz w:val="22"/>
          <w:szCs w:val="22"/>
          <w:lang w:val="en-GB"/>
        </w:rPr>
        <w:t>early warning systems</w:t>
      </w:r>
      <w:r>
        <w:rPr>
          <w:rFonts w:ascii="Times New Roman" w:hAnsi="Times New Roman" w:cs="Times New Roman"/>
          <w:sz w:val="22"/>
          <w:szCs w:val="22"/>
          <w:lang w:val="en-GB"/>
        </w:rPr>
        <w:t xml:space="preserve"> for other natural phenomena in the country such as tsunamis. </w:t>
      </w:r>
    </w:p>
    <w:p w14:paraId="190A855F" w14:textId="77777777" w:rsidR="00732339" w:rsidRPr="00F21B90" w:rsidRDefault="00732339" w:rsidP="00A51109">
      <w:pPr>
        <w:spacing w:after="0" w:line="276" w:lineRule="auto"/>
        <w:rPr>
          <w:rFonts w:ascii="Times New Roman" w:hAnsi="Times New Roman" w:cs="Times New Roman"/>
          <w:i/>
          <w:color w:val="000000" w:themeColor="text1"/>
          <w:sz w:val="22"/>
          <w:szCs w:val="22"/>
        </w:rPr>
      </w:pPr>
    </w:p>
    <w:p w14:paraId="43AB5C43" w14:textId="77777777" w:rsidR="00A51109" w:rsidRPr="00F21B90" w:rsidRDefault="00A51109" w:rsidP="002815D8">
      <w:pPr>
        <w:pStyle w:val="ListParagraph"/>
        <w:spacing w:after="0" w:line="276" w:lineRule="auto"/>
        <w:rPr>
          <w:rFonts w:ascii="Times New Roman" w:hAnsi="Times New Roman" w:cs="Times New Roman"/>
          <w:b/>
          <w:color w:val="000000" w:themeColor="text1"/>
          <w:sz w:val="22"/>
          <w:szCs w:val="22"/>
        </w:rPr>
      </w:pPr>
    </w:p>
    <w:p w14:paraId="1FFF4C82" w14:textId="77777777" w:rsidR="00A51109" w:rsidRPr="00A850E5" w:rsidRDefault="00A51109"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3.3. Post-assistance plans and actions</w:t>
      </w:r>
    </w:p>
    <w:p w14:paraId="2026ECB9" w14:textId="77777777" w:rsidR="00F55FBF" w:rsidRPr="00F21B90" w:rsidRDefault="00F55FBF" w:rsidP="003D596B">
      <w:pPr>
        <w:spacing w:after="0" w:line="276" w:lineRule="auto"/>
        <w:rPr>
          <w:rFonts w:ascii="Times New Roman" w:hAnsi="Times New Roman" w:cs="Times New Roman"/>
          <w:color w:val="000000" w:themeColor="text1"/>
          <w:sz w:val="22"/>
          <w:szCs w:val="22"/>
        </w:rPr>
      </w:pPr>
    </w:p>
    <w:p w14:paraId="1054325A" w14:textId="3AA497D4" w:rsidR="00E25EA8" w:rsidRPr="00E25EA8" w:rsidRDefault="00F75B0A" w:rsidP="00E25EA8">
      <w:pPr>
        <w:spacing w:after="0" w:line="276" w:lineRule="auto"/>
        <w:rPr>
          <w:rFonts w:ascii="Times New Roman" w:hAnsi="Times New Roman" w:cs="Times New Roman"/>
          <w:sz w:val="22"/>
          <w:szCs w:val="22"/>
        </w:rPr>
      </w:pPr>
      <w:r>
        <w:rPr>
          <w:rFonts w:ascii="Times New Roman" w:hAnsi="Times New Roman" w:cs="Times New Roman"/>
          <w:color w:val="000000" w:themeColor="text1"/>
          <w:sz w:val="22"/>
          <w:szCs w:val="22"/>
          <w:lang w:val="en-GB"/>
        </w:rPr>
        <w:t>The CTCN technical assistance aims to optimi</w:t>
      </w:r>
      <w:r w:rsidR="004244C5">
        <w:rPr>
          <w:rFonts w:ascii="Times New Roman" w:hAnsi="Times New Roman" w:cs="Times New Roman"/>
          <w:color w:val="000000" w:themeColor="text1"/>
          <w:sz w:val="22"/>
          <w:szCs w:val="22"/>
          <w:lang w:val="en-GB"/>
        </w:rPr>
        <w:t>z</w:t>
      </w:r>
      <w:r>
        <w:rPr>
          <w:rFonts w:ascii="Times New Roman" w:hAnsi="Times New Roman" w:cs="Times New Roman"/>
          <w:color w:val="000000" w:themeColor="text1"/>
          <w:sz w:val="22"/>
          <w:szCs w:val="22"/>
          <w:lang w:val="en-GB"/>
        </w:rPr>
        <w:t xml:space="preserve">e the warning chains and the content of warning messages in terms of their how easy they are to understand and their call to action, in addition to identifying measures to ensure information is received on time. Essentially, it aims to integrate the new technology and related processes into the existing </w:t>
      </w:r>
      <w:r>
        <w:rPr>
          <w:rFonts w:ascii="Times New Roman" w:hAnsi="Times New Roman" w:cs="Times New Roman"/>
          <w:sz w:val="22"/>
          <w:szCs w:val="22"/>
          <w:lang w:val="en-GB"/>
        </w:rPr>
        <w:t>institutional structures and processes. Additionally, an inter-institutional coordination process will be promoted to allow maintenance of its functionality and ensure the needs of the populations of at-risk areas are taken into account. The involvement of the private sector is seen as an opportunity for the maintenance and improvement of technology solutions in line with feedback that is received and/or the specific needs of the beneficiary communities in question.</w:t>
      </w:r>
    </w:p>
    <w:p w14:paraId="091C6291" w14:textId="77777777" w:rsidR="00E25EA8" w:rsidRPr="007542ED" w:rsidRDefault="00E25EA8" w:rsidP="00E25EA8">
      <w:pPr>
        <w:spacing w:after="0" w:line="276" w:lineRule="auto"/>
        <w:rPr>
          <w:rFonts w:ascii="Times New Roman" w:hAnsi="Times New Roman" w:cs="Times New Roman"/>
          <w:sz w:val="22"/>
          <w:szCs w:val="22"/>
        </w:rPr>
      </w:pPr>
    </w:p>
    <w:p w14:paraId="20FE0D2D" w14:textId="77777777" w:rsidR="00F75B0A" w:rsidRDefault="002559CF" w:rsidP="00B32E3A">
      <w:pPr>
        <w:spacing w:after="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Furthermore, the results of the technical assistance lay the foundations for the subsequent implementation of initiatives and projects to provide the population of the project area (in addition to other areas) with direct access to warnings and to improve their capacities and plans for response in the event of emergencies.</w:t>
      </w:r>
    </w:p>
    <w:p w14:paraId="4D4C292D" w14:textId="77777777" w:rsidR="00B32E3A" w:rsidRDefault="00B32E3A" w:rsidP="00B32E3A">
      <w:pPr>
        <w:spacing w:after="0" w:line="276" w:lineRule="auto"/>
        <w:rPr>
          <w:rFonts w:ascii="Times New Roman" w:hAnsi="Times New Roman" w:cs="Times New Roman"/>
          <w:color w:val="000000" w:themeColor="text1"/>
          <w:sz w:val="22"/>
          <w:szCs w:val="22"/>
        </w:rPr>
      </w:pPr>
    </w:p>
    <w:p w14:paraId="7DD4752A" w14:textId="77777777" w:rsidR="00532AD6" w:rsidRPr="0087122E" w:rsidRDefault="00532AD6" w:rsidP="00532AD6">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Efforts will also be made to increase the number of communities that can directly benefit from the assistance. This will require outreach to both the additional communities and the local institutions responsible for prevention and mitigation actions in them.  To achieve this, annual or biannual sessions could be held with community leaders and community PMR committees, in addition to the official institutions with which they will work to obtain information, allowing continuous feedback in the implementation of the technical assistance actions. </w:t>
      </w:r>
    </w:p>
    <w:p w14:paraId="5A9FD9F2" w14:textId="77777777" w:rsidR="00B60582" w:rsidRDefault="00B60582" w:rsidP="00B60582">
      <w:pPr>
        <w:pStyle w:val="ListParagraph"/>
        <w:spacing w:after="0" w:line="276" w:lineRule="auto"/>
        <w:rPr>
          <w:rFonts w:ascii="Times New Roman" w:hAnsi="Times New Roman" w:cs="Times New Roman"/>
          <w:b/>
          <w:color w:val="1F497D" w:themeColor="text2"/>
        </w:rPr>
      </w:pPr>
    </w:p>
    <w:p w14:paraId="41790556" w14:textId="77777777" w:rsidR="00B60582" w:rsidRDefault="00B60582" w:rsidP="00B60582">
      <w:pPr>
        <w:pStyle w:val="ListParagraph"/>
        <w:numPr>
          <w:ilvl w:val="0"/>
          <w:numId w:val="11"/>
        </w:numPr>
        <w:spacing w:after="0" w:line="276" w:lineRule="auto"/>
        <w:rPr>
          <w:rFonts w:ascii="Times New Roman" w:hAnsi="Times New Roman" w:cs="Times New Roman"/>
          <w:b/>
          <w:color w:val="1F497D" w:themeColor="text2"/>
        </w:rPr>
      </w:pPr>
      <w:r>
        <w:rPr>
          <w:rFonts w:ascii="Times New Roman" w:hAnsi="Times New Roman" w:cs="Times New Roman"/>
          <w:b/>
          <w:bCs/>
          <w:color w:val="1F497D" w:themeColor="text2"/>
          <w:lang w:val="en-GB"/>
        </w:rPr>
        <w:t>Budget</w:t>
      </w:r>
    </w:p>
    <w:p w14:paraId="5ACE87B6" w14:textId="77777777" w:rsidR="00B60582" w:rsidRPr="00B60582" w:rsidRDefault="00B60582" w:rsidP="00B60582">
      <w:pPr>
        <w:pStyle w:val="ListParagraph"/>
        <w:spacing w:after="0" w:line="276" w:lineRule="auto"/>
        <w:rPr>
          <w:rFonts w:ascii="Times New Roman" w:hAnsi="Times New Roman" w:cs="Times New Roman"/>
          <w:b/>
          <w:color w:val="1F497D" w:themeColor="text2"/>
        </w:rPr>
      </w:pPr>
    </w:p>
    <w:p w14:paraId="4039384B" w14:textId="005655FC" w:rsidR="00B60582" w:rsidRPr="005A2222" w:rsidRDefault="00B60582" w:rsidP="00B60582">
      <w:pPr>
        <w:spacing w:after="0" w:line="276" w:lineRule="auto"/>
        <w:rPr>
          <w:rFonts w:ascii="Times New Roman" w:hAnsi="Times New Roman" w:cs="Times New Roman"/>
          <w:sz w:val="22"/>
          <w:szCs w:val="22"/>
        </w:rPr>
      </w:pPr>
      <w:r>
        <w:rPr>
          <w:rFonts w:ascii="Times New Roman" w:hAnsi="Times New Roman" w:cs="Times New Roman"/>
          <w:sz w:val="22"/>
          <w:szCs w:val="22"/>
          <w:lang w:val="en-GB"/>
        </w:rPr>
        <w:t xml:space="preserve">The total cost of the technical assistance activities described in Annex 1, which will be implemented by the members of the consortium and/or the CTCN network, is estimated to be between US$ 180,000 and US$ 240,000. CTCN will attempt to obtain financial support from a </w:t>
      </w:r>
      <w:r w:rsidR="007E5C5F">
        <w:rPr>
          <w:rFonts w:ascii="Times New Roman" w:hAnsi="Times New Roman" w:cs="Times New Roman"/>
          <w:sz w:val="22"/>
          <w:szCs w:val="22"/>
          <w:lang w:val="en-GB"/>
        </w:rPr>
        <w:t>partner</w:t>
      </w:r>
      <w:r>
        <w:rPr>
          <w:rFonts w:ascii="Times New Roman" w:hAnsi="Times New Roman" w:cs="Times New Roman"/>
          <w:sz w:val="22"/>
          <w:szCs w:val="22"/>
          <w:lang w:val="en-GB"/>
        </w:rPr>
        <w:t xml:space="preserve"> to increase the value of this technical assistance to the Dominican Republic.</w:t>
      </w:r>
    </w:p>
    <w:p w14:paraId="6E3173A7" w14:textId="77777777" w:rsidR="00B60582" w:rsidRPr="00B60582" w:rsidRDefault="00B60582">
      <w:pPr>
        <w:rPr>
          <w:rFonts w:ascii="Times New Roman" w:hAnsi="Times New Roman" w:cs="Times New Roman"/>
          <w:sz w:val="22"/>
          <w:szCs w:val="22"/>
        </w:rPr>
      </w:pPr>
    </w:p>
    <w:p w14:paraId="7A2EC8C6" w14:textId="77777777" w:rsidR="00C71134" w:rsidRPr="00EF5C7B" w:rsidRDefault="00C71134" w:rsidP="003D596B">
      <w:pPr>
        <w:spacing w:after="0" w:line="276" w:lineRule="auto"/>
        <w:rPr>
          <w:rFonts w:ascii="Times New Roman" w:hAnsi="Times New Roman" w:cs="Times New Roman"/>
          <w:color w:val="000000" w:themeColor="text1"/>
          <w:sz w:val="22"/>
          <w:szCs w:val="22"/>
        </w:rPr>
      </w:pPr>
    </w:p>
    <w:p w14:paraId="6FD93E8D" w14:textId="57102CAB" w:rsidR="00DA60FA" w:rsidRPr="00B60582" w:rsidRDefault="00A603E0" w:rsidP="00F842B0">
      <w:pPr>
        <w:pStyle w:val="ListParagraph"/>
        <w:numPr>
          <w:ilvl w:val="0"/>
          <w:numId w:val="11"/>
        </w:numPr>
        <w:spacing w:after="0" w:line="276" w:lineRule="auto"/>
        <w:rPr>
          <w:rFonts w:ascii="Times New Roman" w:hAnsi="Times New Roman" w:cs="Times New Roman"/>
          <w:b/>
          <w:color w:val="1F497D" w:themeColor="text2"/>
        </w:rPr>
      </w:pPr>
      <w:r>
        <w:rPr>
          <w:rFonts w:ascii="Times New Roman" w:hAnsi="Times New Roman" w:cs="Times New Roman"/>
          <w:b/>
          <w:bCs/>
          <w:color w:val="1F497D" w:themeColor="text2"/>
          <w:lang w:val="en-GB"/>
        </w:rPr>
        <w:t>Formal agreements</w:t>
      </w:r>
      <w:r w:rsidR="00F842B0">
        <w:rPr>
          <w:rFonts w:ascii="Times New Roman" w:hAnsi="Times New Roman" w:cs="Times New Roman"/>
          <w:b/>
          <w:bCs/>
          <w:color w:val="1F497D" w:themeColor="text2"/>
          <w:lang w:val="en-GB"/>
        </w:rPr>
        <w:t xml:space="preserve"> and signatures</w:t>
      </w:r>
    </w:p>
    <w:p w14:paraId="7C419357" w14:textId="77777777" w:rsidR="00655EC7" w:rsidRPr="00A603E0" w:rsidRDefault="00655EC7" w:rsidP="00655EC7">
      <w:pPr>
        <w:widowControl w:val="0"/>
        <w:tabs>
          <w:tab w:val="left" w:pos="204"/>
        </w:tabs>
        <w:autoSpaceDE w:val="0"/>
        <w:autoSpaceDN w:val="0"/>
        <w:adjustRightInd w:val="0"/>
        <w:spacing w:line="249" w:lineRule="exact"/>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18"/>
        <w:gridCol w:w="4619"/>
      </w:tblGrid>
      <w:tr w:rsidR="007C1A72" w:rsidRPr="004126D2" w14:paraId="237EFC3A" w14:textId="77777777" w:rsidTr="00A75224">
        <w:tc>
          <w:tcPr>
            <w:tcW w:w="4618" w:type="dxa"/>
            <w:tcBorders>
              <w:top w:val="nil"/>
              <w:left w:val="nil"/>
              <w:bottom w:val="single" w:sz="4" w:space="0" w:color="auto"/>
              <w:right w:val="nil"/>
            </w:tcBorders>
          </w:tcPr>
          <w:p w14:paraId="7ABE7500" w14:textId="77777777" w:rsidR="007C1A72" w:rsidRPr="006C67A0" w:rsidRDefault="007C1A72" w:rsidP="007C1A72">
            <w:pPr>
              <w:tabs>
                <w:tab w:val="left" w:pos="90"/>
              </w:tabs>
              <w:spacing w:before="60" w:after="60" w:line="276"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Signatures of the requesting country </w:t>
            </w:r>
          </w:p>
        </w:tc>
        <w:tc>
          <w:tcPr>
            <w:tcW w:w="4619" w:type="dxa"/>
            <w:tcBorders>
              <w:top w:val="nil"/>
              <w:left w:val="nil"/>
              <w:bottom w:val="single" w:sz="4" w:space="0" w:color="auto"/>
              <w:right w:val="nil"/>
            </w:tcBorders>
          </w:tcPr>
          <w:p w14:paraId="779B7FB3"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64C69CDD" w14:textId="77777777" w:rsidTr="007C1A72">
        <w:tc>
          <w:tcPr>
            <w:tcW w:w="4618" w:type="dxa"/>
            <w:tcBorders>
              <w:top w:val="single" w:sz="4" w:space="0" w:color="auto"/>
            </w:tcBorders>
          </w:tcPr>
          <w:p w14:paraId="599EFCD5"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For the NDE</w:t>
            </w:r>
          </w:p>
        </w:tc>
        <w:tc>
          <w:tcPr>
            <w:tcW w:w="4619" w:type="dxa"/>
            <w:tcBorders>
              <w:top w:val="single" w:sz="4" w:space="0" w:color="auto"/>
            </w:tcBorders>
          </w:tcPr>
          <w:p w14:paraId="43566752"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7AD25344" w14:textId="77777777" w:rsidTr="007C1A72">
        <w:tc>
          <w:tcPr>
            <w:tcW w:w="4618" w:type="dxa"/>
          </w:tcPr>
          <w:p w14:paraId="327CAF97"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Name:</w:t>
            </w:r>
          </w:p>
        </w:tc>
        <w:tc>
          <w:tcPr>
            <w:tcW w:w="4619" w:type="dxa"/>
          </w:tcPr>
          <w:p w14:paraId="7468FD82"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72B5170A" w14:textId="77777777" w:rsidTr="007C1A72">
        <w:tc>
          <w:tcPr>
            <w:tcW w:w="4618" w:type="dxa"/>
          </w:tcPr>
          <w:p w14:paraId="71D15F65"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Title:</w:t>
            </w:r>
          </w:p>
        </w:tc>
        <w:tc>
          <w:tcPr>
            <w:tcW w:w="4619" w:type="dxa"/>
          </w:tcPr>
          <w:p w14:paraId="0845A419"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2BE81B68" w14:textId="77777777" w:rsidTr="007C1A72">
        <w:tc>
          <w:tcPr>
            <w:tcW w:w="4618" w:type="dxa"/>
          </w:tcPr>
          <w:p w14:paraId="2841D12C" w14:textId="77777777" w:rsidR="007C1A7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Date:</w:t>
            </w:r>
          </w:p>
          <w:p w14:paraId="00024640" w14:textId="77777777" w:rsidR="00A75224" w:rsidRPr="004126D2" w:rsidRDefault="00A75224"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14:paraId="724DC0BE"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6B7D9E7F" w14:textId="77777777" w:rsidTr="007C1A72">
        <w:tc>
          <w:tcPr>
            <w:tcW w:w="4618" w:type="dxa"/>
            <w:tcBorders>
              <w:bottom w:val="nil"/>
            </w:tcBorders>
          </w:tcPr>
          <w:p w14:paraId="02703914"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lastRenderedPageBreak/>
              <w:t>Signature:</w:t>
            </w:r>
          </w:p>
          <w:p w14:paraId="264A7501"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14:paraId="11777ECF"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Borders>
              <w:bottom w:val="nil"/>
            </w:tcBorders>
          </w:tcPr>
          <w:p w14:paraId="304894B5"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37558B4B" w14:textId="77777777" w:rsidTr="007C1A72">
        <w:tc>
          <w:tcPr>
            <w:tcW w:w="4618" w:type="dxa"/>
            <w:tcBorders>
              <w:top w:val="nil"/>
              <w:left w:val="nil"/>
              <w:bottom w:val="single" w:sz="4" w:space="0" w:color="auto"/>
              <w:right w:val="nil"/>
            </w:tcBorders>
          </w:tcPr>
          <w:p w14:paraId="4D36578F" w14:textId="77777777" w:rsidR="007C1A72" w:rsidRPr="004126D2" w:rsidRDefault="007C1A72" w:rsidP="007C1A72">
            <w:pPr>
              <w:tabs>
                <w:tab w:val="left" w:pos="90"/>
              </w:tabs>
              <w:spacing w:before="60" w:after="60" w:line="276" w:lineRule="auto"/>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lang w:val="en-GB"/>
              </w:rPr>
              <w:t>Signatures of the CTCN</w:t>
            </w:r>
          </w:p>
        </w:tc>
        <w:tc>
          <w:tcPr>
            <w:tcW w:w="4619" w:type="dxa"/>
            <w:tcBorders>
              <w:top w:val="nil"/>
              <w:left w:val="nil"/>
              <w:bottom w:val="single" w:sz="4" w:space="0" w:color="auto"/>
              <w:right w:val="nil"/>
            </w:tcBorders>
          </w:tcPr>
          <w:p w14:paraId="38C9F8AB"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751B635B" w14:textId="77777777" w:rsidTr="007C1A72">
        <w:tc>
          <w:tcPr>
            <w:tcW w:w="4618" w:type="dxa"/>
            <w:tcBorders>
              <w:top w:val="single" w:sz="4" w:space="0" w:color="auto"/>
            </w:tcBorders>
          </w:tcPr>
          <w:p w14:paraId="67CD878C" w14:textId="77777777" w:rsidR="007C1A72" w:rsidRPr="004126D2" w:rsidRDefault="007C1A72" w:rsidP="007C1A72">
            <w:pPr>
              <w:widowControl w:val="0"/>
              <w:tabs>
                <w:tab w:val="left" w:pos="204"/>
              </w:tabs>
              <w:autoSpaceDE w:val="0"/>
              <w:autoSpaceDN w:val="0"/>
              <w:adjustRightInd w:val="0"/>
              <w:spacing w:line="276"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For the CTCN Director</w:t>
            </w:r>
          </w:p>
        </w:tc>
        <w:tc>
          <w:tcPr>
            <w:tcW w:w="4619" w:type="dxa"/>
            <w:tcBorders>
              <w:top w:val="single" w:sz="4" w:space="0" w:color="auto"/>
            </w:tcBorders>
          </w:tcPr>
          <w:p w14:paraId="52D5F4C1"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2C631B44" w14:textId="77777777" w:rsidTr="007C1A72">
        <w:tc>
          <w:tcPr>
            <w:tcW w:w="4618" w:type="dxa"/>
          </w:tcPr>
          <w:p w14:paraId="36BF92B2"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Name:</w:t>
            </w:r>
          </w:p>
        </w:tc>
        <w:tc>
          <w:tcPr>
            <w:tcW w:w="4619" w:type="dxa"/>
          </w:tcPr>
          <w:p w14:paraId="6E6B7B39"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78071626" w14:textId="77777777" w:rsidTr="007C1A72">
        <w:tc>
          <w:tcPr>
            <w:tcW w:w="4618" w:type="dxa"/>
          </w:tcPr>
          <w:p w14:paraId="7119C65C"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Title:</w:t>
            </w:r>
          </w:p>
        </w:tc>
        <w:tc>
          <w:tcPr>
            <w:tcW w:w="4619" w:type="dxa"/>
          </w:tcPr>
          <w:p w14:paraId="04DB9C48"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565F91CC" w14:textId="77777777" w:rsidTr="008E7110">
        <w:trPr>
          <w:trHeight w:val="187"/>
        </w:trPr>
        <w:tc>
          <w:tcPr>
            <w:tcW w:w="4618" w:type="dxa"/>
          </w:tcPr>
          <w:p w14:paraId="42E99F26" w14:textId="77777777" w:rsidR="007C1A7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Date:</w:t>
            </w:r>
          </w:p>
          <w:p w14:paraId="178B4BA6" w14:textId="77777777" w:rsidR="00A75224" w:rsidRPr="004126D2" w:rsidRDefault="00A75224"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14:paraId="55E1E6C9"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14:paraId="6C1547CC" w14:textId="77777777" w:rsidTr="007C1A72">
        <w:tc>
          <w:tcPr>
            <w:tcW w:w="4618" w:type="dxa"/>
          </w:tcPr>
          <w:p w14:paraId="2B6924B7"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GB"/>
              </w:rPr>
              <w:t>Signature:</w:t>
            </w:r>
          </w:p>
          <w:p w14:paraId="7BB23FA4"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14:paraId="00407B81"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14:paraId="44CEC055"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14:paraId="4AB546C2"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14:paraId="27686C73" w14:textId="77777777"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bl>
    <w:p w14:paraId="07705D04" w14:textId="77777777" w:rsidR="007C1A72" w:rsidRPr="004126D2"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14:paraId="7CAD1853" w14:textId="77777777" w:rsidR="007C1A72" w:rsidRPr="004126D2"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14:paraId="178B18FF" w14:textId="77777777" w:rsidR="007C1A72" w:rsidRPr="004126D2"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14:paraId="4E4AB764" w14:textId="77777777" w:rsidR="00655EC7" w:rsidRPr="004126D2" w:rsidRDefault="00655EC7"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14:paraId="236A5F7B" w14:textId="77777777" w:rsidR="005D4626" w:rsidRPr="001C232B" w:rsidRDefault="005D4626" w:rsidP="001C232B">
      <w:pPr>
        <w:rPr>
          <w:rFonts w:ascii="Times New Roman" w:hAnsi="Times New Roman" w:cs="Times New Roman"/>
          <w:color w:val="000000" w:themeColor="text1"/>
          <w:sz w:val="22"/>
          <w:szCs w:val="22"/>
        </w:rPr>
        <w:sectPr w:rsidR="005D4626" w:rsidRPr="001C232B" w:rsidSect="00B003DD">
          <w:headerReference w:type="even" r:id="rId10"/>
          <w:headerReference w:type="default" r:id="rId11"/>
          <w:footerReference w:type="even" r:id="rId12"/>
          <w:footerReference w:type="default" r:id="rId13"/>
          <w:headerReference w:type="first" r:id="rId14"/>
          <w:footerReference w:type="first" r:id="rId15"/>
          <w:pgSz w:w="11901" w:h="16840"/>
          <w:pgMar w:top="1673" w:right="1440" w:bottom="851" w:left="1440" w:header="709" w:footer="709" w:gutter="0"/>
          <w:cols w:space="708"/>
        </w:sectPr>
      </w:pPr>
    </w:p>
    <w:p w14:paraId="42DDB798" w14:textId="77777777" w:rsidR="002F7ECD" w:rsidRDefault="002F7ECD" w:rsidP="003D596B">
      <w:pPr>
        <w:spacing w:after="0" w:line="276" w:lineRule="auto"/>
        <w:rPr>
          <w:rFonts w:ascii="Times New Roman" w:hAnsi="Times New Roman" w:cs="Times New Roman"/>
          <w:b/>
          <w:color w:val="1F497D" w:themeColor="text2"/>
        </w:rPr>
      </w:pPr>
    </w:p>
    <w:p w14:paraId="4ED907C0" w14:textId="77777777" w:rsidR="006B4B42" w:rsidRPr="005D4626" w:rsidRDefault="006B4B42" w:rsidP="00BD7762">
      <w:pPr>
        <w:spacing w:after="0" w:line="276" w:lineRule="auto"/>
        <w:outlineLvl w:val="0"/>
        <w:rPr>
          <w:rFonts w:ascii="Times New Roman" w:hAnsi="Times New Roman" w:cs="Times New Roman"/>
          <w:b/>
          <w:color w:val="1F497D" w:themeColor="text2"/>
        </w:rPr>
      </w:pPr>
      <w:r>
        <w:rPr>
          <w:rFonts w:ascii="Times New Roman" w:hAnsi="Times New Roman" w:cs="Times New Roman"/>
          <w:b/>
          <w:bCs/>
          <w:color w:val="1F497D" w:themeColor="text2"/>
          <w:lang w:val="en-GB"/>
        </w:rPr>
        <w:t>Annex 1: Logframe</w:t>
      </w:r>
    </w:p>
    <w:p w14:paraId="770B402A" w14:textId="77777777" w:rsidR="009D2A90" w:rsidRPr="004126D2" w:rsidRDefault="009D2A90" w:rsidP="003D596B">
      <w:pPr>
        <w:spacing w:after="0" w:line="276" w:lineRule="auto"/>
        <w:rPr>
          <w:rFonts w:ascii="Times New Roman" w:hAnsi="Times New Roman" w:cs="Times New Roman"/>
          <w:color w:val="000000" w:themeColor="text1"/>
          <w:sz w:val="22"/>
          <w:szCs w:val="22"/>
        </w:rPr>
      </w:pPr>
    </w:p>
    <w:tbl>
      <w:tblPr>
        <w:tblStyle w:val="TableGrid"/>
        <w:tblW w:w="1361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4018"/>
        <w:gridCol w:w="1967"/>
        <w:gridCol w:w="1818"/>
        <w:gridCol w:w="1908"/>
        <w:gridCol w:w="1916"/>
      </w:tblGrid>
      <w:tr w:rsidR="005D4626" w:rsidRPr="00CD66D8" w14:paraId="0CEE5476" w14:textId="77777777" w:rsidTr="007A183B">
        <w:tc>
          <w:tcPr>
            <w:tcW w:w="1983" w:type="dxa"/>
            <w:tcBorders>
              <w:top w:val="single" w:sz="4" w:space="0" w:color="auto"/>
              <w:bottom w:val="single" w:sz="4" w:space="0" w:color="auto"/>
            </w:tcBorders>
          </w:tcPr>
          <w:p w14:paraId="05A98F49" w14:textId="77777777" w:rsidR="005D4626" w:rsidRPr="00CD66D8" w:rsidRDefault="005D4626" w:rsidP="00DB51B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Activity</w:t>
            </w:r>
          </w:p>
        </w:tc>
        <w:tc>
          <w:tcPr>
            <w:tcW w:w="4018" w:type="dxa"/>
            <w:tcBorders>
              <w:top w:val="single" w:sz="4" w:space="0" w:color="auto"/>
              <w:bottom w:val="single" w:sz="4" w:space="0" w:color="auto"/>
            </w:tcBorders>
          </w:tcPr>
          <w:p w14:paraId="54EA9918" w14:textId="77777777" w:rsidR="005D4626" w:rsidRPr="00CD66D8" w:rsidRDefault="005D4626" w:rsidP="00DB51B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Description of sub-activities conducted by the CTCN</w:t>
            </w:r>
          </w:p>
        </w:tc>
        <w:tc>
          <w:tcPr>
            <w:tcW w:w="1967" w:type="dxa"/>
            <w:tcBorders>
              <w:top w:val="single" w:sz="4" w:space="0" w:color="auto"/>
              <w:bottom w:val="single" w:sz="4" w:space="0" w:color="auto"/>
            </w:tcBorders>
          </w:tcPr>
          <w:p w14:paraId="470002B0" w14:textId="77777777" w:rsidR="005D4626" w:rsidRPr="00CD66D8" w:rsidRDefault="005D4626" w:rsidP="00DB51B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Output and deliverables</w:t>
            </w:r>
          </w:p>
        </w:tc>
        <w:tc>
          <w:tcPr>
            <w:tcW w:w="1818" w:type="dxa"/>
            <w:tcBorders>
              <w:top w:val="single" w:sz="4" w:space="0" w:color="auto"/>
              <w:bottom w:val="single" w:sz="4" w:space="0" w:color="auto"/>
            </w:tcBorders>
          </w:tcPr>
          <w:p w14:paraId="6673F306" w14:textId="77777777" w:rsidR="005D4626" w:rsidRPr="00CD66D8" w:rsidRDefault="002C6E46" w:rsidP="00DB51B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Main national partners involved</w:t>
            </w:r>
          </w:p>
        </w:tc>
        <w:tc>
          <w:tcPr>
            <w:tcW w:w="1908" w:type="dxa"/>
            <w:tcBorders>
              <w:top w:val="single" w:sz="4" w:space="0" w:color="auto"/>
              <w:bottom w:val="single" w:sz="4" w:space="0" w:color="auto"/>
            </w:tcBorders>
          </w:tcPr>
          <w:p w14:paraId="093F2C43" w14:textId="69F1580A" w:rsidR="005D4626" w:rsidRDefault="005D4626" w:rsidP="00DB51B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 xml:space="preserve">Objectively </w:t>
            </w:r>
            <w:r w:rsidR="004244C5">
              <w:rPr>
                <w:rFonts w:asciiTheme="majorHAnsi" w:hAnsiTheme="majorHAnsi" w:cs="Arial"/>
                <w:b/>
                <w:bCs/>
                <w:sz w:val="20"/>
                <w:szCs w:val="20"/>
                <w:lang w:val="en-GB"/>
              </w:rPr>
              <w:t>v</w:t>
            </w:r>
            <w:r>
              <w:rPr>
                <w:rFonts w:asciiTheme="majorHAnsi" w:hAnsiTheme="majorHAnsi" w:cs="Arial"/>
                <w:b/>
                <w:bCs/>
                <w:sz w:val="20"/>
                <w:szCs w:val="20"/>
                <w:lang w:val="en-GB"/>
              </w:rPr>
              <w:t xml:space="preserve">erifiable </w:t>
            </w:r>
            <w:r w:rsidR="004244C5">
              <w:rPr>
                <w:rFonts w:asciiTheme="majorHAnsi" w:hAnsiTheme="majorHAnsi" w:cs="Arial"/>
                <w:b/>
                <w:bCs/>
                <w:sz w:val="20"/>
                <w:szCs w:val="20"/>
                <w:lang w:val="en-GB"/>
              </w:rPr>
              <w:t>i</w:t>
            </w:r>
            <w:r>
              <w:rPr>
                <w:rFonts w:asciiTheme="majorHAnsi" w:hAnsiTheme="majorHAnsi" w:cs="Arial"/>
                <w:b/>
                <w:bCs/>
                <w:sz w:val="20"/>
                <w:szCs w:val="20"/>
                <w:lang w:val="en-GB"/>
              </w:rPr>
              <w:t>ndicator</w:t>
            </w:r>
          </w:p>
        </w:tc>
        <w:tc>
          <w:tcPr>
            <w:tcW w:w="1916" w:type="dxa"/>
            <w:tcBorders>
              <w:top w:val="single" w:sz="4" w:space="0" w:color="auto"/>
              <w:bottom w:val="single" w:sz="4" w:space="0" w:color="auto"/>
            </w:tcBorders>
          </w:tcPr>
          <w:p w14:paraId="5791BC36" w14:textId="77777777" w:rsidR="005D4626" w:rsidRDefault="005D4626" w:rsidP="00DB51B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Responsible person/organization</w:t>
            </w:r>
          </w:p>
        </w:tc>
      </w:tr>
      <w:tr w:rsidR="000E103A" w:rsidRPr="00B60582" w14:paraId="69BEB265" w14:textId="77777777" w:rsidTr="007A183B">
        <w:tc>
          <w:tcPr>
            <w:tcW w:w="1983" w:type="dxa"/>
            <w:tcBorders>
              <w:top w:val="single" w:sz="4" w:space="0" w:color="auto"/>
            </w:tcBorders>
            <w:shd w:val="clear" w:color="auto" w:fill="auto"/>
          </w:tcPr>
          <w:p w14:paraId="2E2AFB79" w14:textId="77777777" w:rsidR="000E103A" w:rsidRPr="004A4146" w:rsidRDefault="000E103A" w:rsidP="004A4146">
            <w:pPr>
              <w:spacing w:before="40" w:after="40" w:line="276" w:lineRule="auto"/>
              <w:rPr>
                <w:rFonts w:asciiTheme="majorHAnsi" w:hAnsiTheme="majorHAnsi" w:cs="Arial"/>
                <w:sz w:val="20"/>
                <w:szCs w:val="20"/>
              </w:rPr>
            </w:pPr>
            <w:r>
              <w:rPr>
                <w:rFonts w:asciiTheme="majorHAnsi" w:hAnsiTheme="majorHAnsi" w:cs="Arial"/>
                <w:sz w:val="20"/>
                <w:szCs w:val="20"/>
                <w:lang w:val="en-GB"/>
              </w:rPr>
              <w:t>Kick-Off Meeting</w:t>
            </w:r>
          </w:p>
        </w:tc>
        <w:tc>
          <w:tcPr>
            <w:tcW w:w="4018" w:type="dxa"/>
            <w:tcBorders>
              <w:top w:val="single" w:sz="4" w:space="0" w:color="auto"/>
            </w:tcBorders>
            <w:shd w:val="clear" w:color="auto" w:fill="auto"/>
          </w:tcPr>
          <w:p w14:paraId="41FE2B2C" w14:textId="77777777" w:rsidR="000E103A" w:rsidRPr="004A4146" w:rsidRDefault="000E103A" w:rsidP="004A4146">
            <w:pPr>
              <w:spacing w:before="40" w:after="40" w:line="276" w:lineRule="auto"/>
              <w:rPr>
                <w:rFonts w:asciiTheme="majorHAnsi" w:hAnsiTheme="majorHAnsi" w:cs="Arial"/>
                <w:sz w:val="20"/>
                <w:szCs w:val="20"/>
              </w:rPr>
            </w:pPr>
          </w:p>
        </w:tc>
        <w:tc>
          <w:tcPr>
            <w:tcW w:w="1967" w:type="dxa"/>
            <w:tcBorders>
              <w:top w:val="single" w:sz="4" w:space="0" w:color="auto"/>
            </w:tcBorders>
            <w:shd w:val="clear" w:color="auto" w:fill="auto"/>
          </w:tcPr>
          <w:p w14:paraId="4ECB0522" w14:textId="77777777" w:rsidR="000E103A" w:rsidRPr="00F7125F" w:rsidRDefault="000E103A" w:rsidP="00DB51B9">
            <w:pPr>
              <w:spacing w:before="40" w:after="40" w:line="276" w:lineRule="auto"/>
              <w:rPr>
                <w:rFonts w:asciiTheme="majorHAnsi" w:hAnsiTheme="majorHAnsi" w:cs="Arial"/>
                <w:sz w:val="20"/>
                <w:szCs w:val="20"/>
              </w:rPr>
            </w:pPr>
          </w:p>
        </w:tc>
        <w:tc>
          <w:tcPr>
            <w:tcW w:w="1818" w:type="dxa"/>
            <w:tcBorders>
              <w:top w:val="single" w:sz="4" w:space="0" w:color="auto"/>
            </w:tcBorders>
            <w:shd w:val="clear" w:color="auto" w:fill="auto"/>
          </w:tcPr>
          <w:p w14:paraId="5D90D47F" w14:textId="77777777" w:rsidR="000E103A" w:rsidRDefault="000E103A"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IDDI, Ministry for Environment and Natural Resources, Technical Committee, communities</w:t>
            </w:r>
          </w:p>
        </w:tc>
        <w:tc>
          <w:tcPr>
            <w:tcW w:w="1908" w:type="dxa"/>
            <w:tcBorders>
              <w:top w:val="single" w:sz="4" w:space="0" w:color="auto"/>
            </w:tcBorders>
            <w:shd w:val="clear" w:color="auto" w:fill="auto"/>
          </w:tcPr>
          <w:p w14:paraId="1835029A" w14:textId="77777777" w:rsidR="000E103A" w:rsidRPr="004A4146" w:rsidRDefault="000E103A" w:rsidP="00DB51B9">
            <w:pPr>
              <w:spacing w:before="40" w:after="40" w:line="276" w:lineRule="auto"/>
              <w:rPr>
                <w:rFonts w:asciiTheme="majorHAnsi" w:hAnsiTheme="majorHAnsi" w:cs="Arial"/>
                <w:sz w:val="20"/>
                <w:szCs w:val="20"/>
              </w:rPr>
            </w:pPr>
          </w:p>
        </w:tc>
        <w:tc>
          <w:tcPr>
            <w:tcW w:w="1916" w:type="dxa"/>
            <w:tcBorders>
              <w:top w:val="single" w:sz="4" w:space="0" w:color="auto"/>
            </w:tcBorders>
            <w:shd w:val="clear" w:color="auto" w:fill="auto"/>
          </w:tcPr>
          <w:p w14:paraId="44B18817" w14:textId="77777777" w:rsidR="000E103A" w:rsidRDefault="00573149"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Ministry for Environment and Natural Resources</w:t>
            </w:r>
          </w:p>
        </w:tc>
      </w:tr>
      <w:tr w:rsidR="00F7125F" w:rsidRPr="004A4146" w14:paraId="5FFE973E" w14:textId="77777777" w:rsidTr="007A183B">
        <w:tc>
          <w:tcPr>
            <w:tcW w:w="1983" w:type="dxa"/>
            <w:vMerge w:val="restart"/>
            <w:tcBorders>
              <w:top w:val="single" w:sz="4" w:space="0" w:color="auto"/>
            </w:tcBorders>
            <w:shd w:val="clear" w:color="auto" w:fill="E0E0E0"/>
          </w:tcPr>
          <w:p w14:paraId="53CEB6F0" w14:textId="77777777" w:rsidR="00F7125F" w:rsidRPr="004A4146" w:rsidRDefault="00F7125F" w:rsidP="004A4146">
            <w:pPr>
              <w:spacing w:before="40" w:after="40" w:line="276" w:lineRule="auto"/>
              <w:rPr>
                <w:rFonts w:asciiTheme="majorHAnsi" w:hAnsiTheme="majorHAnsi" w:cs="Arial"/>
                <w:sz w:val="20"/>
                <w:szCs w:val="20"/>
              </w:rPr>
            </w:pPr>
            <w:r>
              <w:rPr>
                <w:rFonts w:asciiTheme="majorHAnsi" w:hAnsiTheme="majorHAnsi" w:cs="Arial"/>
                <w:sz w:val="20"/>
                <w:szCs w:val="20"/>
                <w:lang w:val="en-GB"/>
              </w:rPr>
              <w:t>1. Review of the existing risk analysis for the area of the project with EWS perspective</w:t>
            </w:r>
          </w:p>
        </w:tc>
        <w:tc>
          <w:tcPr>
            <w:tcW w:w="4018" w:type="dxa"/>
            <w:tcBorders>
              <w:top w:val="single" w:sz="4" w:space="0" w:color="auto"/>
            </w:tcBorders>
            <w:shd w:val="clear" w:color="auto" w:fill="E0E0E0"/>
          </w:tcPr>
          <w:p w14:paraId="3C4D04C2" w14:textId="77777777" w:rsidR="00F7125F" w:rsidRPr="004A4146" w:rsidRDefault="00F7125F" w:rsidP="004A4146">
            <w:pPr>
              <w:spacing w:before="40" w:after="40" w:line="276" w:lineRule="auto"/>
              <w:rPr>
                <w:rFonts w:asciiTheme="majorHAnsi" w:hAnsiTheme="majorHAnsi" w:cs="Arial"/>
                <w:sz w:val="20"/>
                <w:szCs w:val="20"/>
              </w:rPr>
            </w:pPr>
            <w:r>
              <w:rPr>
                <w:rFonts w:asciiTheme="majorHAnsi" w:hAnsiTheme="majorHAnsi" w:cs="Arial"/>
                <w:sz w:val="20"/>
                <w:szCs w:val="20"/>
                <w:lang w:val="en-GB"/>
              </w:rPr>
              <w:t>1.1. Gathering existing documentation</w:t>
            </w:r>
          </w:p>
        </w:tc>
        <w:tc>
          <w:tcPr>
            <w:tcW w:w="1967" w:type="dxa"/>
            <w:vMerge w:val="restart"/>
            <w:tcBorders>
              <w:top w:val="single" w:sz="4" w:space="0" w:color="auto"/>
            </w:tcBorders>
            <w:shd w:val="clear" w:color="auto" w:fill="E0E0E0"/>
          </w:tcPr>
          <w:p w14:paraId="71BC4BB5" w14:textId="2848B125" w:rsidR="00F7125F" w:rsidRPr="004A4146"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Work document summari</w:t>
            </w:r>
            <w:r w:rsidR="004244C5">
              <w:rPr>
                <w:rFonts w:asciiTheme="majorHAnsi" w:hAnsiTheme="majorHAnsi" w:cs="Arial"/>
                <w:sz w:val="20"/>
                <w:szCs w:val="20"/>
                <w:lang w:val="en-GB"/>
              </w:rPr>
              <w:t>z</w:t>
            </w:r>
            <w:r>
              <w:rPr>
                <w:rFonts w:asciiTheme="majorHAnsi" w:hAnsiTheme="majorHAnsi" w:cs="Arial"/>
                <w:sz w:val="20"/>
                <w:szCs w:val="20"/>
                <w:lang w:val="en-GB"/>
              </w:rPr>
              <w:t>ing the results of the review, including recommendations for future research in this area</w:t>
            </w:r>
          </w:p>
        </w:tc>
        <w:tc>
          <w:tcPr>
            <w:tcW w:w="1818" w:type="dxa"/>
            <w:tcBorders>
              <w:top w:val="single" w:sz="4" w:space="0" w:color="auto"/>
            </w:tcBorders>
            <w:shd w:val="clear" w:color="auto" w:fill="E0E0E0"/>
          </w:tcPr>
          <w:p w14:paraId="5FB158A9" w14:textId="77777777" w:rsidR="00F7125F" w:rsidRPr="004A4146" w:rsidRDefault="00F7125F"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908" w:type="dxa"/>
            <w:tcBorders>
              <w:top w:val="single" w:sz="4" w:space="0" w:color="auto"/>
            </w:tcBorders>
            <w:shd w:val="clear" w:color="auto" w:fill="E0E0E0"/>
          </w:tcPr>
          <w:p w14:paraId="31A3399E" w14:textId="77777777" w:rsidR="00F7125F" w:rsidRPr="004A4146" w:rsidRDefault="00AE38B3"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The existing risk analyses have been reviewed</w:t>
            </w:r>
          </w:p>
        </w:tc>
        <w:tc>
          <w:tcPr>
            <w:tcW w:w="1916" w:type="dxa"/>
            <w:tcBorders>
              <w:top w:val="single" w:sz="4" w:space="0" w:color="auto"/>
            </w:tcBorders>
            <w:shd w:val="clear" w:color="auto" w:fill="E0E0E0"/>
          </w:tcPr>
          <w:p w14:paraId="5DE61D4A" w14:textId="77777777" w:rsidR="00F7125F" w:rsidRPr="004A4146"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F7125F" w:rsidRPr="00CD66D8" w14:paraId="45006FC0" w14:textId="77777777" w:rsidTr="007A183B">
        <w:tc>
          <w:tcPr>
            <w:tcW w:w="1983" w:type="dxa"/>
            <w:vMerge/>
            <w:shd w:val="clear" w:color="auto" w:fill="E0E0E0"/>
          </w:tcPr>
          <w:p w14:paraId="44FD0CED" w14:textId="77777777" w:rsidR="00F7125F" w:rsidRPr="00CD66D8" w:rsidRDefault="00F7125F" w:rsidP="00DB51B9">
            <w:pPr>
              <w:spacing w:before="40" w:after="40" w:line="276" w:lineRule="auto"/>
              <w:rPr>
                <w:rFonts w:asciiTheme="majorHAnsi" w:hAnsiTheme="majorHAnsi" w:cs="Arial"/>
                <w:sz w:val="20"/>
                <w:szCs w:val="20"/>
              </w:rPr>
            </w:pPr>
          </w:p>
        </w:tc>
        <w:tc>
          <w:tcPr>
            <w:tcW w:w="4018" w:type="dxa"/>
            <w:shd w:val="clear" w:color="auto" w:fill="E0E0E0"/>
          </w:tcPr>
          <w:p w14:paraId="3AE5AD0D" w14:textId="77777777" w:rsidR="00F7125F" w:rsidRPr="000E103A" w:rsidRDefault="00F7125F"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1.2. Reviewing and analysing information that is gathered</w:t>
            </w:r>
          </w:p>
        </w:tc>
        <w:tc>
          <w:tcPr>
            <w:tcW w:w="1967" w:type="dxa"/>
            <w:vMerge/>
            <w:shd w:val="clear" w:color="auto" w:fill="E0E0E0"/>
          </w:tcPr>
          <w:p w14:paraId="182C941B" w14:textId="77777777" w:rsidR="00F7125F" w:rsidRPr="00F21B90" w:rsidRDefault="00F7125F" w:rsidP="00DB51B9">
            <w:pPr>
              <w:spacing w:before="40" w:after="40" w:line="276" w:lineRule="auto"/>
              <w:rPr>
                <w:rFonts w:asciiTheme="majorHAnsi" w:hAnsiTheme="majorHAnsi" w:cs="Arial"/>
                <w:sz w:val="20"/>
                <w:szCs w:val="20"/>
              </w:rPr>
            </w:pPr>
          </w:p>
        </w:tc>
        <w:tc>
          <w:tcPr>
            <w:tcW w:w="1818" w:type="dxa"/>
            <w:shd w:val="clear" w:color="auto" w:fill="E0E0E0"/>
          </w:tcPr>
          <w:p w14:paraId="013A951F" w14:textId="77777777" w:rsidR="00F7125F" w:rsidRPr="00CD66D8" w:rsidRDefault="00F7125F"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c>
          <w:tcPr>
            <w:tcW w:w="1908" w:type="dxa"/>
            <w:shd w:val="clear" w:color="auto" w:fill="E0E0E0"/>
          </w:tcPr>
          <w:p w14:paraId="3F777A6A" w14:textId="77777777" w:rsidR="00F7125F" w:rsidRPr="00CD66D8" w:rsidRDefault="00F7125F" w:rsidP="00DB51B9">
            <w:pPr>
              <w:spacing w:before="40" w:after="40" w:line="276" w:lineRule="auto"/>
              <w:rPr>
                <w:rFonts w:asciiTheme="majorHAnsi" w:hAnsiTheme="majorHAnsi" w:cs="Arial"/>
                <w:sz w:val="20"/>
                <w:szCs w:val="20"/>
              </w:rPr>
            </w:pPr>
          </w:p>
        </w:tc>
        <w:tc>
          <w:tcPr>
            <w:tcW w:w="1916" w:type="dxa"/>
            <w:shd w:val="clear" w:color="auto" w:fill="E0E0E0"/>
          </w:tcPr>
          <w:p w14:paraId="659FF82B" w14:textId="77777777" w:rsidR="00F7125F" w:rsidRPr="00CD66D8"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F7125F" w:rsidRPr="00CD66D8" w14:paraId="58B4878C" w14:textId="77777777" w:rsidTr="007A183B">
        <w:tc>
          <w:tcPr>
            <w:tcW w:w="1983" w:type="dxa"/>
            <w:vMerge/>
            <w:shd w:val="clear" w:color="auto" w:fill="E0E0E0"/>
          </w:tcPr>
          <w:p w14:paraId="3CCBE255" w14:textId="77777777" w:rsidR="00F7125F" w:rsidRPr="00CD66D8" w:rsidRDefault="00F7125F" w:rsidP="00DB51B9">
            <w:pPr>
              <w:spacing w:before="40" w:after="40" w:line="276" w:lineRule="auto"/>
              <w:rPr>
                <w:rFonts w:asciiTheme="majorHAnsi" w:hAnsiTheme="majorHAnsi" w:cs="Arial"/>
                <w:sz w:val="20"/>
                <w:szCs w:val="20"/>
              </w:rPr>
            </w:pPr>
          </w:p>
        </w:tc>
        <w:tc>
          <w:tcPr>
            <w:tcW w:w="4018" w:type="dxa"/>
            <w:shd w:val="clear" w:color="auto" w:fill="E0E0E0"/>
          </w:tcPr>
          <w:p w14:paraId="74B69897" w14:textId="77777777" w:rsidR="00F7125F" w:rsidRPr="00F7125F"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1.3. Validation with actors in the project area</w:t>
            </w:r>
          </w:p>
        </w:tc>
        <w:tc>
          <w:tcPr>
            <w:tcW w:w="1967" w:type="dxa"/>
            <w:vMerge/>
            <w:shd w:val="clear" w:color="auto" w:fill="E0E0E0"/>
          </w:tcPr>
          <w:p w14:paraId="1C08BE29" w14:textId="77777777" w:rsidR="00F7125F" w:rsidRPr="00F21B90" w:rsidRDefault="00F7125F" w:rsidP="00DB51B9">
            <w:pPr>
              <w:spacing w:before="40" w:after="40" w:line="276" w:lineRule="auto"/>
              <w:rPr>
                <w:rFonts w:asciiTheme="majorHAnsi" w:hAnsiTheme="majorHAnsi" w:cs="Arial"/>
                <w:sz w:val="20"/>
                <w:szCs w:val="20"/>
              </w:rPr>
            </w:pPr>
          </w:p>
        </w:tc>
        <w:tc>
          <w:tcPr>
            <w:tcW w:w="1818" w:type="dxa"/>
            <w:shd w:val="clear" w:color="auto" w:fill="E0E0E0"/>
          </w:tcPr>
          <w:p w14:paraId="1673F48D" w14:textId="77777777" w:rsidR="00F7125F" w:rsidRPr="00CD66D8" w:rsidRDefault="00F7125F"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IDDI, communities</w:t>
            </w:r>
          </w:p>
        </w:tc>
        <w:tc>
          <w:tcPr>
            <w:tcW w:w="1908" w:type="dxa"/>
            <w:shd w:val="clear" w:color="auto" w:fill="E0E0E0"/>
          </w:tcPr>
          <w:p w14:paraId="79798DE6" w14:textId="77777777" w:rsidR="00F7125F" w:rsidRPr="00CD66D8" w:rsidRDefault="00F7125F" w:rsidP="00DB51B9">
            <w:pPr>
              <w:spacing w:before="40" w:after="40" w:line="276" w:lineRule="auto"/>
              <w:rPr>
                <w:rFonts w:asciiTheme="majorHAnsi" w:hAnsiTheme="majorHAnsi" w:cs="Arial"/>
                <w:sz w:val="20"/>
                <w:szCs w:val="20"/>
              </w:rPr>
            </w:pPr>
          </w:p>
        </w:tc>
        <w:tc>
          <w:tcPr>
            <w:tcW w:w="1916" w:type="dxa"/>
            <w:shd w:val="clear" w:color="auto" w:fill="E0E0E0"/>
          </w:tcPr>
          <w:p w14:paraId="4745B81A" w14:textId="77777777" w:rsidR="00F7125F" w:rsidRPr="00CD66D8"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F7125F" w:rsidRPr="00CD66D8" w14:paraId="1E14438B" w14:textId="77777777" w:rsidTr="007A183B">
        <w:tc>
          <w:tcPr>
            <w:tcW w:w="1983" w:type="dxa"/>
            <w:vMerge/>
            <w:shd w:val="clear" w:color="auto" w:fill="E0E0E0"/>
          </w:tcPr>
          <w:p w14:paraId="20C0F85A" w14:textId="77777777" w:rsidR="00F7125F" w:rsidRPr="00CD66D8" w:rsidRDefault="00F7125F" w:rsidP="00DB51B9">
            <w:pPr>
              <w:spacing w:before="40" w:after="40" w:line="276" w:lineRule="auto"/>
              <w:rPr>
                <w:rFonts w:asciiTheme="majorHAnsi" w:hAnsiTheme="majorHAnsi" w:cs="Arial"/>
                <w:sz w:val="20"/>
                <w:szCs w:val="20"/>
              </w:rPr>
            </w:pPr>
          </w:p>
        </w:tc>
        <w:tc>
          <w:tcPr>
            <w:tcW w:w="4018" w:type="dxa"/>
            <w:shd w:val="clear" w:color="auto" w:fill="E0E0E0"/>
          </w:tcPr>
          <w:p w14:paraId="26045D27" w14:textId="77777777" w:rsidR="00F7125F" w:rsidRPr="000E103A"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1.4. Conclusions and recommendations</w:t>
            </w:r>
          </w:p>
        </w:tc>
        <w:tc>
          <w:tcPr>
            <w:tcW w:w="1967" w:type="dxa"/>
            <w:vMerge/>
            <w:shd w:val="clear" w:color="auto" w:fill="E0E0E0"/>
          </w:tcPr>
          <w:p w14:paraId="10766D73" w14:textId="77777777" w:rsidR="00F7125F" w:rsidRPr="00CD66D8" w:rsidRDefault="00F7125F" w:rsidP="00DB51B9">
            <w:pPr>
              <w:spacing w:before="40" w:after="40" w:line="276" w:lineRule="auto"/>
              <w:rPr>
                <w:rFonts w:asciiTheme="majorHAnsi" w:hAnsiTheme="majorHAnsi" w:cs="Arial"/>
                <w:sz w:val="20"/>
                <w:szCs w:val="20"/>
              </w:rPr>
            </w:pPr>
          </w:p>
        </w:tc>
        <w:tc>
          <w:tcPr>
            <w:tcW w:w="1818" w:type="dxa"/>
            <w:shd w:val="clear" w:color="auto" w:fill="E0E0E0"/>
          </w:tcPr>
          <w:p w14:paraId="2A5184CF" w14:textId="77777777" w:rsidR="00F7125F" w:rsidRPr="00CD66D8" w:rsidRDefault="00F7125F"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c>
          <w:tcPr>
            <w:tcW w:w="1908" w:type="dxa"/>
            <w:shd w:val="clear" w:color="auto" w:fill="E0E0E0"/>
          </w:tcPr>
          <w:p w14:paraId="1460BD3D" w14:textId="77777777" w:rsidR="00F7125F" w:rsidRPr="00CD66D8" w:rsidRDefault="00F7125F" w:rsidP="00DB51B9">
            <w:pPr>
              <w:spacing w:before="40" w:after="40" w:line="276" w:lineRule="auto"/>
              <w:rPr>
                <w:rFonts w:asciiTheme="majorHAnsi" w:hAnsiTheme="majorHAnsi" w:cs="Arial"/>
                <w:sz w:val="20"/>
                <w:szCs w:val="20"/>
              </w:rPr>
            </w:pPr>
          </w:p>
        </w:tc>
        <w:tc>
          <w:tcPr>
            <w:tcW w:w="1916" w:type="dxa"/>
            <w:shd w:val="clear" w:color="auto" w:fill="E0E0E0"/>
          </w:tcPr>
          <w:p w14:paraId="5E487DF0" w14:textId="77777777" w:rsidR="00F7125F" w:rsidRPr="00CD66D8"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F7125F" w:rsidRPr="00CD66D8" w14:paraId="6EC7E236" w14:textId="77777777" w:rsidTr="007A183B">
        <w:tc>
          <w:tcPr>
            <w:tcW w:w="1983" w:type="dxa"/>
            <w:vMerge/>
            <w:shd w:val="clear" w:color="auto" w:fill="E0E0E0"/>
          </w:tcPr>
          <w:p w14:paraId="0A6FFFCB" w14:textId="77777777" w:rsidR="00F7125F" w:rsidRPr="00CD66D8" w:rsidRDefault="00F7125F" w:rsidP="00DB51B9">
            <w:pPr>
              <w:spacing w:before="40" w:after="40" w:line="276" w:lineRule="auto"/>
              <w:rPr>
                <w:rFonts w:asciiTheme="majorHAnsi" w:hAnsiTheme="majorHAnsi" w:cs="Arial"/>
                <w:sz w:val="20"/>
                <w:szCs w:val="20"/>
              </w:rPr>
            </w:pPr>
          </w:p>
        </w:tc>
        <w:tc>
          <w:tcPr>
            <w:tcW w:w="4018" w:type="dxa"/>
            <w:shd w:val="clear" w:color="auto" w:fill="E0E0E0"/>
          </w:tcPr>
          <w:p w14:paraId="05B4CF7D" w14:textId="77777777" w:rsidR="00F7125F" w:rsidRPr="00F21B90"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1.5. Documenting results and observations</w:t>
            </w:r>
          </w:p>
        </w:tc>
        <w:tc>
          <w:tcPr>
            <w:tcW w:w="1967" w:type="dxa"/>
            <w:vMerge/>
            <w:shd w:val="clear" w:color="auto" w:fill="E0E0E0"/>
          </w:tcPr>
          <w:p w14:paraId="04889F7E" w14:textId="77777777" w:rsidR="00F7125F" w:rsidRPr="00F21B90" w:rsidRDefault="00F7125F" w:rsidP="00DB51B9">
            <w:pPr>
              <w:spacing w:before="40" w:after="40" w:line="276" w:lineRule="auto"/>
              <w:rPr>
                <w:rFonts w:asciiTheme="majorHAnsi" w:hAnsiTheme="majorHAnsi" w:cs="Arial"/>
                <w:sz w:val="20"/>
                <w:szCs w:val="20"/>
              </w:rPr>
            </w:pPr>
          </w:p>
        </w:tc>
        <w:tc>
          <w:tcPr>
            <w:tcW w:w="1818" w:type="dxa"/>
            <w:shd w:val="clear" w:color="auto" w:fill="E0E0E0"/>
          </w:tcPr>
          <w:p w14:paraId="085B5747" w14:textId="77777777" w:rsidR="00F7125F" w:rsidRPr="00CD66D8"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c>
          <w:tcPr>
            <w:tcW w:w="1908" w:type="dxa"/>
            <w:shd w:val="clear" w:color="auto" w:fill="E0E0E0"/>
          </w:tcPr>
          <w:p w14:paraId="3330029B" w14:textId="77777777" w:rsidR="00F7125F" w:rsidRPr="00CD66D8" w:rsidRDefault="00F7125F" w:rsidP="00DB51B9">
            <w:pPr>
              <w:spacing w:before="40" w:after="40" w:line="276" w:lineRule="auto"/>
              <w:rPr>
                <w:rFonts w:asciiTheme="majorHAnsi" w:hAnsiTheme="majorHAnsi" w:cs="Arial"/>
                <w:sz w:val="20"/>
                <w:szCs w:val="20"/>
              </w:rPr>
            </w:pPr>
          </w:p>
        </w:tc>
        <w:tc>
          <w:tcPr>
            <w:tcW w:w="1916" w:type="dxa"/>
            <w:shd w:val="clear" w:color="auto" w:fill="E0E0E0"/>
          </w:tcPr>
          <w:p w14:paraId="53E0B68B" w14:textId="77777777" w:rsidR="00F7125F" w:rsidRPr="00CD66D8"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562708" w:rsidRPr="00F7125F" w14:paraId="38103DE5" w14:textId="77777777" w:rsidTr="007A183B">
        <w:tc>
          <w:tcPr>
            <w:tcW w:w="1983" w:type="dxa"/>
            <w:vMerge w:val="restart"/>
          </w:tcPr>
          <w:p w14:paraId="053E2B28" w14:textId="59D85C46" w:rsidR="00562708" w:rsidRPr="00F7125F" w:rsidRDefault="00562708" w:rsidP="00E61540">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2. Analysis of actors and institutions for hydro-meteorological </w:t>
            </w:r>
            <w:r w:rsidR="00597DB0">
              <w:rPr>
                <w:rFonts w:asciiTheme="majorHAnsi" w:hAnsiTheme="majorHAnsi" w:cs="Arial"/>
                <w:sz w:val="20"/>
                <w:szCs w:val="20"/>
                <w:lang w:val="en-GB"/>
              </w:rPr>
              <w:t>early warning systems</w:t>
            </w:r>
            <w:r>
              <w:rPr>
                <w:rFonts w:asciiTheme="majorHAnsi" w:hAnsiTheme="majorHAnsi" w:cs="Arial"/>
                <w:sz w:val="20"/>
                <w:szCs w:val="20"/>
                <w:lang w:val="en-GB"/>
              </w:rPr>
              <w:t xml:space="preserve"> in the Dominican Republic</w:t>
            </w:r>
          </w:p>
        </w:tc>
        <w:tc>
          <w:tcPr>
            <w:tcW w:w="4018" w:type="dxa"/>
          </w:tcPr>
          <w:p w14:paraId="3D0A429F" w14:textId="77777777" w:rsidR="00562708" w:rsidRPr="00F7125F" w:rsidRDefault="00562708"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2.1. Review of the EWS legal framework in the Dominican Republic</w:t>
            </w:r>
          </w:p>
        </w:tc>
        <w:tc>
          <w:tcPr>
            <w:tcW w:w="1967" w:type="dxa"/>
            <w:vMerge w:val="restart"/>
          </w:tcPr>
          <w:p w14:paraId="4DAAA43A"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Documenting the results of the workshop and recommendations</w:t>
            </w:r>
          </w:p>
        </w:tc>
        <w:tc>
          <w:tcPr>
            <w:tcW w:w="1818" w:type="dxa"/>
          </w:tcPr>
          <w:p w14:paraId="266B3670"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908" w:type="dxa"/>
            <w:vMerge w:val="restart"/>
          </w:tcPr>
          <w:p w14:paraId="7A1439B4" w14:textId="5824D340"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Actors and institutions for hydro-meteorological </w:t>
            </w:r>
            <w:r w:rsidR="00597DB0">
              <w:rPr>
                <w:rFonts w:asciiTheme="majorHAnsi" w:hAnsiTheme="majorHAnsi" w:cs="Arial"/>
                <w:sz w:val="20"/>
                <w:szCs w:val="20"/>
                <w:lang w:val="en-GB"/>
              </w:rPr>
              <w:t>early warning systems</w:t>
            </w:r>
            <w:r>
              <w:rPr>
                <w:rFonts w:asciiTheme="majorHAnsi" w:hAnsiTheme="majorHAnsi" w:cs="Arial"/>
                <w:sz w:val="20"/>
                <w:szCs w:val="20"/>
                <w:lang w:val="en-GB"/>
              </w:rPr>
              <w:t xml:space="preserve"> in the Dominican Republic have been mapped</w:t>
            </w:r>
          </w:p>
        </w:tc>
        <w:tc>
          <w:tcPr>
            <w:tcW w:w="1916" w:type="dxa"/>
          </w:tcPr>
          <w:p w14:paraId="74F6B87B"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562708" w:rsidRPr="00F7125F" w14:paraId="2AA044EA" w14:textId="77777777" w:rsidTr="007A183B">
        <w:tc>
          <w:tcPr>
            <w:tcW w:w="1983" w:type="dxa"/>
            <w:vMerge/>
          </w:tcPr>
          <w:p w14:paraId="622353BB" w14:textId="77777777" w:rsidR="00562708" w:rsidRPr="00F7125F" w:rsidRDefault="00562708" w:rsidP="00DB51B9">
            <w:pPr>
              <w:spacing w:before="40" w:after="40" w:line="276" w:lineRule="auto"/>
              <w:rPr>
                <w:rFonts w:asciiTheme="majorHAnsi" w:hAnsiTheme="majorHAnsi" w:cs="Arial"/>
                <w:sz w:val="20"/>
                <w:szCs w:val="20"/>
              </w:rPr>
            </w:pPr>
          </w:p>
        </w:tc>
        <w:tc>
          <w:tcPr>
            <w:tcW w:w="4018" w:type="dxa"/>
          </w:tcPr>
          <w:p w14:paraId="00500919"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2.2. Identification of actors and institutions to involve</w:t>
            </w:r>
          </w:p>
        </w:tc>
        <w:tc>
          <w:tcPr>
            <w:tcW w:w="1967" w:type="dxa"/>
            <w:vMerge/>
          </w:tcPr>
          <w:p w14:paraId="1979C798" w14:textId="77777777" w:rsidR="00562708" w:rsidRPr="00F7125F" w:rsidRDefault="00562708" w:rsidP="00DB51B9">
            <w:pPr>
              <w:spacing w:before="40" w:after="40" w:line="276" w:lineRule="auto"/>
              <w:rPr>
                <w:rFonts w:asciiTheme="majorHAnsi" w:hAnsiTheme="majorHAnsi" w:cs="Arial"/>
                <w:sz w:val="20"/>
                <w:szCs w:val="20"/>
              </w:rPr>
            </w:pPr>
          </w:p>
        </w:tc>
        <w:tc>
          <w:tcPr>
            <w:tcW w:w="1818" w:type="dxa"/>
          </w:tcPr>
          <w:p w14:paraId="6FEADEF2"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 communities</w:t>
            </w:r>
          </w:p>
        </w:tc>
        <w:tc>
          <w:tcPr>
            <w:tcW w:w="1908" w:type="dxa"/>
            <w:vMerge/>
          </w:tcPr>
          <w:p w14:paraId="2077D21F" w14:textId="77777777" w:rsidR="00562708" w:rsidRPr="00F7125F" w:rsidRDefault="00562708" w:rsidP="00DB51B9">
            <w:pPr>
              <w:spacing w:before="40" w:after="40" w:line="276" w:lineRule="auto"/>
              <w:rPr>
                <w:rFonts w:asciiTheme="majorHAnsi" w:hAnsiTheme="majorHAnsi" w:cs="Arial"/>
                <w:sz w:val="20"/>
                <w:szCs w:val="20"/>
              </w:rPr>
            </w:pPr>
          </w:p>
        </w:tc>
        <w:tc>
          <w:tcPr>
            <w:tcW w:w="1916" w:type="dxa"/>
          </w:tcPr>
          <w:p w14:paraId="2FC4C402"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562708" w:rsidRPr="00F7125F" w14:paraId="13D7A60C" w14:textId="77777777" w:rsidTr="007A183B">
        <w:tc>
          <w:tcPr>
            <w:tcW w:w="1983" w:type="dxa"/>
            <w:vMerge/>
          </w:tcPr>
          <w:p w14:paraId="618083B9" w14:textId="77777777" w:rsidR="00562708" w:rsidRPr="00F7125F" w:rsidRDefault="00562708" w:rsidP="00DB51B9">
            <w:pPr>
              <w:spacing w:before="40" w:after="40" w:line="276" w:lineRule="auto"/>
              <w:rPr>
                <w:rFonts w:asciiTheme="majorHAnsi" w:hAnsiTheme="majorHAnsi" w:cs="Arial"/>
                <w:sz w:val="20"/>
                <w:szCs w:val="20"/>
              </w:rPr>
            </w:pPr>
          </w:p>
        </w:tc>
        <w:tc>
          <w:tcPr>
            <w:tcW w:w="4018" w:type="dxa"/>
            <w:tcBorders>
              <w:bottom w:val="single" w:sz="4" w:space="0" w:color="auto"/>
            </w:tcBorders>
          </w:tcPr>
          <w:p w14:paraId="1A4A2B53" w14:textId="77777777" w:rsidR="00562708" w:rsidRPr="00F7125F" w:rsidRDefault="00562708"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2.3. Design and preparation of analysis workshop</w:t>
            </w:r>
          </w:p>
          <w:p w14:paraId="2A6CBDD6" w14:textId="77777777" w:rsidR="00562708" w:rsidRPr="00F7125F" w:rsidRDefault="00562708" w:rsidP="00DB51B9">
            <w:pPr>
              <w:spacing w:before="40" w:after="40" w:line="276" w:lineRule="auto"/>
              <w:rPr>
                <w:rFonts w:asciiTheme="majorHAnsi" w:hAnsiTheme="majorHAnsi" w:cs="Arial"/>
                <w:sz w:val="20"/>
                <w:szCs w:val="20"/>
              </w:rPr>
            </w:pPr>
          </w:p>
        </w:tc>
        <w:tc>
          <w:tcPr>
            <w:tcW w:w="1967" w:type="dxa"/>
            <w:vMerge/>
          </w:tcPr>
          <w:p w14:paraId="28BB7470" w14:textId="77777777" w:rsidR="00562708" w:rsidRPr="00F7125F" w:rsidRDefault="00562708" w:rsidP="00DB51B9">
            <w:pPr>
              <w:spacing w:before="40" w:after="40" w:line="276" w:lineRule="auto"/>
              <w:rPr>
                <w:rFonts w:asciiTheme="majorHAnsi" w:hAnsiTheme="majorHAnsi" w:cs="Arial"/>
                <w:sz w:val="20"/>
                <w:szCs w:val="20"/>
              </w:rPr>
            </w:pPr>
          </w:p>
        </w:tc>
        <w:tc>
          <w:tcPr>
            <w:tcW w:w="1818" w:type="dxa"/>
            <w:tcBorders>
              <w:bottom w:val="single" w:sz="4" w:space="0" w:color="auto"/>
            </w:tcBorders>
          </w:tcPr>
          <w:p w14:paraId="3A6EC148"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908" w:type="dxa"/>
            <w:vMerge/>
            <w:tcBorders>
              <w:bottom w:val="single" w:sz="4" w:space="0" w:color="auto"/>
            </w:tcBorders>
          </w:tcPr>
          <w:p w14:paraId="45F9C3C5" w14:textId="77777777" w:rsidR="00562708" w:rsidRPr="00F7125F" w:rsidRDefault="00562708" w:rsidP="00DB51B9">
            <w:pPr>
              <w:spacing w:before="40" w:after="40" w:line="276" w:lineRule="auto"/>
              <w:rPr>
                <w:rFonts w:asciiTheme="majorHAnsi" w:hAnsiTheme="majorHAnsi" w:cs="Arial"/>
                <w:sz w:val="20"/>
                <w:szCs w:val="20"/>
              </w:rPr>
            </w:pPr>
          </w:p>
        </w:tc>
        <w:tc>
          <w:tcPr>
            <w:tcW w:w="1916" w:type="dxa"/>
            <w:tcBorders>
              <w:bottom w:val="single" w:sz="4" w:space="0" w:color="auto"/>
            </w:tcBorders>
          </w:tcPr>
          <w:p w14:paraId="19D82387" w14:textId="77777777" w:rsidR="00562708" w:rsidRPr="00F7125F" w:rsidRDefault="00562708"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F7125F" w:rsidRPr="00F7125F" w14:paraId="33B1FE0F" w14:textId="77777777" w:rsidTr="007A183B">
        <w:tc>
          <w:tcPr>
            <w:tcW w:w="1983" w:type="dxa"/>
            <w:vMerge/>
          </w:tcPr>
          <w:p w14:paraId="5309D015" w14:textId="77777777" w:rsidR="00F7125F" w:rsidRPr="00F7125F" w:rsidRDefault="00F7125F" w:rsidP="00DB51B9">
            <w:pPr>
              <w:spacing w:before="40" w:after="40" w:line="276" w:lineRule="auto"/>
              <w:rPr>
                <w:rFonts w:asciiTheme="majorHAnsi" w:hAnsiTheme="majorHAnsi" w:cs="Arial"/>
                <w:sz w:val="20"/>
                <w:szCs w:val="20"/>
              </w:rPr>
            </w:pPr>
          </w:p>
        </w:tc>
        <w:tc>
          <w:tcPr>
            <w:tcW w:w="4018" w:type="dxa"/>
            <w:tcBorders>
              <w:bottom w:val="single" w:sz="4" w:space="0" w:color="auto"/>
            </w:tcBorders>
          </w:tcPr>
          <w:p w14:paraId="3A809889" w14:textId="77777777" w:rsidR="00F7125F" w:rsidRPr="00F7125F" w:rsidRDefault="00F7125F" w:rsidP="00F7125F">
            <w:pPr>
              <w:spacing w:before="40" w:after="40" w:line="276" w:lineRule="auto"/>
              <w:rPr>
                <w:rFonts w:asciiTheme="majorHAnsi" w:hAnsiTheme="majorHAnsi" w:cs="Arial"/>
                <w:sz w:val="20"/>
                <w:szCs w:val="20"/>
              </w:rPr>
            </w:pPr>
            <w:r>
              <w:rPr>
                <w:rFonts w:asciiTheme="majorHAnsi" w:hAnsiTheme="majorHAnsi" w:cs="Arial"/>
                <w:sz w:val="20"/>
                <w:szCs w:val="20"/>
                <w:lang w:val="en-GB"/>
              </w:rPr>
              <w:t>2.4. Holding the analysis workshop</w:t>
            </w:r>
          </w:p>
          <w:p w14:paraId="7268909D" w14:textId="77777777" w:rsidR="00F7125F" w:rsidRPr="00F7125F" w:rsidRDefault="00F7125F" w:rsidP="00DB51B9">
            <w:pPr>
              <w:spacing w:before="40" w:after="40" w:line="276" w:lineRule="auto"/>
              <w:rPr>
                <w:rFonts w:asciiTheme="majorHAnsi" w:hAnsiTheme="majorHAnsi" w:cs="Arial"/>
                <w:sz w:val="20"/>
                <w:szCs w:val="20"/>
              </w:rPr>
            </w:pPr>
          </w:p>
        </w:tc>
        <w:tc>
          <w:tcPr>
            <w:tcW w:w="1967" w:type="dxa"/>
            <w:vMerge/>
          </w:tcPr>
          <w:p w14:paraId="3080D6DD" w14:textId="77777777" w:rsidR="00F7125F" w:rsidRPr="00F7125F" w:rsidRDefault="00F7125F" w:rsidP="00DB51B9">
            <w:pPr>
              <w:spacing w:before="40" w:after="40" w:line="276" w:lineRule="auto"/>
              <w:rPr>
                <w:rFonts w:asciiTheme="majorHAnsi" w:hAnsiTheme="majorHAnsi" w:cs="Arial"/>
                <w:sz w:val="20"/>
                <w:szCs w:val="20"/>
              </w:rPr>
            </w:pPr>
          </w:p>
        </w:tc>
        <w:tc>
          <w:tcPr>
            <w:tcW w:w="1818" w:type="dxa"/>
            <w:tcBorders>
              <w:bottom w:val="single" w:sz="4" w:space="0" w:color="auto"/>
            </w:tcBorders>
          </w:tcPr>
          <w:p w14:paraId="59BFB1A1" w14:textId="77777777" w:rsidR="00F7125F" w:rsidRPr="00F7125F" w:rsidRDefault="00687317"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IDDI, Ministry for </w:t>
            </w:r>
            <w:r>
              <w:rPr>
                <w:rFonts w:asciiTheme="majorHAnsi" w:hAnsiTheme="majorHAnsi" w:cs="Arial"/>
                <w:sz w:val="20"/>
                <w:szCs w:val="20"/>
                <w:lang w:val="en-GB"/>
              </w:rPr>
              <w:lastRenderedPageBreak/>
              <w:t>Environment and Natural Resources, Technical Committee, communities</w:t>
            </w:r>
          </w:p>
        </w:tc>
        <w:tc>
          <w:tcPr>
            <w:tcW w:w="1908" w:type="dxa"/>
            <w:tcBorders>
              <w:bottom w:val="single" w:sz="4" w:space="0" w:color="auto"/>
            </w:tcBorders>
          </w:tcPr>
          <w:p w14:paraId="2A0E430F" w14:textId="77777777" w:rsidR="00F7125F" w:rsidRPr="00F7125F" w:rsidRDefault="00F7125F" w:rsidP="00DB51B9">
            <w:pPr>
              <w:spacing w:before="40" w:after="40" w:line="276" w:lineRule="auto"/>
              <w:rPr>
                <w:rFonts w:asciiTheme="majorHAnsi" w:hAnsiTheme="majorHAnsi" w:cs="Arial"/>
                <w:sz w:val="20"/>
                <w:szCs w:val="20"/>
              </w:rPr>
            </w:pPr>
          </w:p>
        </w:tc>
        <w:tc>
          <w:tcPr>
            <w:tcW w:w="1916" w:type="dxa"/>
            <w:tcBorders>
              <w:bottom w:val="single" w:sz="4" w:space="0" w:color="auto"/>
            </w:tcBorders>
          </w:tcPr>
          <w:p w14:paraId="002F5A90" w14:textId="77777777" w:rsidR="00F7125F" w:rsidRPr="00F7125F" w:rsidRDefault="00687317"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F7125F" w:rsidRPr="00F7125F" w14:paraId="45CEAFA1" w14:textId="77777777" w:rsidTr="007A183B">
        <w:tc>
          <w:tcPr>
            <w:tcW w:w="1983" w:type="dxa"/>
            <w:vMerge/>
            <w:tcBorders>
              <w:bottom w:val="single" w:sz="4" w:space="0" w:color="auto"/>
            </w:tcBorders>
          </w:tcPr>
          <w:p w14:paraId="4E6C64AF" w14:textId="77777777" w:rsidR="00F7125F" w:rsidRPr="00F7125F" w:rsidRDefault="00F7125F" w:rsidP="00DB51B9">
            <w:pPr>
              <w:spacing w:before="40" w:after="40" w:line="276" w:lineRule="auto"/>
              <w:rPr>
                <w:rFonts w:asciiTheme="majorHAnsi" w:hAnsiTheme="majorHAnsi" w:cs="Arial"/>
                <w:sz w:val="20"/>
                <w:szCs w:val="20"/>
              </w:rPr>
            </w:pPr>
          </w:p>
        </w:tc>
        <w:tc>
          <w:tcPr>
            <w:tcW w:w="4018" w:type="dxa"/>
            <w:tcBorders>
              <w:bottom w:val="single" w:sz="4" w:space="0" w:color="auto"/>
            </w:tcBorders>
          </w:tcPr>
          <w:p w14:paraId="2F5F70A1" w14:textId="77777777" w:rsidR="00F7125F" w:rsidRPr="00F7125F" w:rsidRDefault="00F7125F"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2.5. Documenting results and recommendations</w:t>
            </w:r>
          </w:p>
        </w:tc>
        <w:tc>
          <w:tcPr>
            <w:tcW w:w="1967" w:type="dxa"/>
            <w:vMerge/>
            <w:tcBorders>
              <w:bottom w:val="single" w:sz="4" w:space="0" w:color="auto"/>
            </w:tcBorders>
          </w:tcPr>
          <w:p w14:paraId="7B70AF45" w14:textId="77777777" w:rsidR="00F7125F" w:rsidRPr="00F7125F" w:rsidRDefault="00F7125F" w:rsidP="00DB51B9">
            <w:pPr>
              <w:spacing w:before="40" w:after="40" w:line="276" w:lineRule="auto"/>
              <w:rPr>
                <w:rFonts w:asciiTheme="majorHAnsi" w:hAnsiTheme="majorHAnsi" w:cs="Arial"/>
                <w:sz w:val="20"/>
                <w:szCs w:val="20"/>
              </w:rPr>
            </w:pPr>
          </w:p>
        </w:tc>
        <w:tc>
          <w:tcPr>
            <w:tcW w:w="1818" w:type="dxa"/>
            <w:tcBorders>
              <w:bottom w:val="single" w:sz="4" w:space="0" w:color="auto"/>
            </w:tcBorders>
          </w:tcPr>
          <w:p w14:paraId="2D00E1A7" w14:textId="77777777" w:rsidR="00F7125F" w:rsidRPr="00F7125F" w:rsidRDefault="00687317"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908" w:type="dxa"/>
            <w:tcBorders>
              <w:bottom w:val="single" w:sz="4" w:space="0" w:color="auto"/>
            </w:tcBorders>
          </w:tcPr>
          <w:p w14:paraId="15DD999D" w14:textId="77777777" w:rsidR="00F7125F" w:rsidRPr="00F7125F" w:rsidRDefault="00F7125F" w:rsidP="00DB51B9">
            <w:pPr>
              <w:spacing w:before="40" w:after="40" w:line="276" w:lineRule="auto"/>
              <w:rPr>
                <w:rFonts w:asciiTheme="majorHAnsi" w:hAnsiTheme="majorHAnsi" w:cs="Arial"/>
                <w:sz w:val="20"/>
                <w:szCs w:val="20"/>
              </w:rPr>
            </w:pPr>
          </w:p>
        </w:tc>
        <w:tc>
          <w:tcPr>
            <w:tcW w:w="1916" w:type="dxa"/>
            <w:tcBorders>
              <w:bottom w:val="single" w:sz="4" w:space="0" w:color="auto"/>
            </w:tcBorders>
          </w:tcPr>
          <w:p w14:paraId="715ADC9F" w14:textId="77777777" w:rsidR="00F7125F" w:rsidRPr="00F7125F" w:rsidRDefault="000E103A"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0E103A" w:rsidRPr="00CD66D8" w14:paraId="7EAAF4C9" w14:textId="77777777" w:rsidTr="007A183B">
        <w:tc>
          <w:tcPr>
            <w:tcW w:w="1983" w:type="dxa"/>
            <w:tcBorders>
              <w:top w:val="single" w:sz="4" w:space="0" w:color="auto"/>
              <w:bottom w:val="single" w:sz="4" w:space="0" w:color="auto"/>
            </w:tcBorders>
          </w:tcPr>
          <w:p w14:paraId="253494AC"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lang w:val="en-GB"/>
              </w:rPr>
              <w:br w:type="page"/>
            </w:r>
            <w:r>
              <w:rPr>
                <w:rFonts w:asciiTheme="majorHAnsi" w:hAnsiTheme="majorHAnsi"/>
                <w:b/>
                <w:bCs/>
                <w:sz w:val="20"/>
                <w:szCs w:val="20"/>
                <w:lang w:val="en-GB"/>
              </w:rPr>
              <w:t>Activity</w:t>
            </w:r>
          </w:p>
        </w:tc>
        <w:tc>
          <w:tcPr>
            <w:tcW w:w="4018" w:type="dxa"/>
            <w:tcBorders>
              <w:top w:val="single" w:sz="4" w:space="0" w:color="auto"/>
              <w:bottom w:val="single" w:sz="4" w:space="0" w:color="auto"/>
            </w:tcBorders>
          </w:tcPr>
          <w:p w14:paraId="6D385483"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Description of sub-activities conducted by the CTCN</w:t>
            </w:r>
          </w:p>
        </w:tc>
        <w:tc>
          <w:tcPr>
            <w:tcW w:w="1967" w:type="dxa"/>
            <w:tcBorders>
              <w:top w:val="single" w:sz="4" w:space="0" w:color="auto"/>
              <w:bottom w:val="single" w:sz="4" w:space="0" w:color="auto"/>
            </w:tcBorders>
          </w:tcPr>
          <w:p w14:paraId="250F111D"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Output and deliverables</w:t>
            </w:r>
          </w:p>
        </w:tc>
        <w:tc>
          <w:tcPr>
            <w:tcW w:w="1818" w:type="dxa"/>
            <w:tcBorders>
              <w:top w:val="single" w:sz="4" w:space="0" w:color="auto"/>
              <w:bottom w:val="single" w:sz="4" w:space="0" w:color="auto"/>
            </w:tcBorders>
          </w:tcPr>
          <w:p w14:paraId="4E105230"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Main national partners involved</w:t>
            </w:r>
          </w:p>
        </w:tc>
        <w:tc>
          <w:tcPr>
            <w:tcW w:w="1908" w:type="dxa"/>
            <w:tcBorders>
              <w:top w:val="single" w:sz="4" w:space="0" w:color="auto"/>
              <w:bottom w:val="single" w:sz="4" w:space="0" w:color="auto"/>
            </w:tcBorders>
          </w:tcPr>
          <w:p w14:paraId="632DCE4E" w14:textId="77777777" w:rsidR="005108B7"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Objectively Verifiable Indicator</w:t>
            </w:r>
          </w:p>
        </w:tc>
        <w:tc>
          <w:tcPr>
            <w:tcW w:w="1916" w:type="dxa"/>
            <w:tcBorders>
              <w:top w:val="single" w:sz="4" w:space="0" w:color="auto"/>
              <w:bottom w:val="single" w:sz="4" w:space="0" w:color="auto"/>
            </w:tcBorders>
          </w:tcPr>
          <w:p w14:paraId="6F50827D" w14:textId="77777777" w:rsidR="005108B7"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Responsible person/organization</w:t>
            </w:r>
          </w:p>
        </w:tc>
      </w:tr>
      <w:tr w:rsidR="007A183B" w:rsidRPr="005108B7" w14:paraId="089C7269" w14:textId="77777777" w:rsidTr="007A183B">
        <w:tc>
          <w:tcPr>
            <w:tcW w:w="1983" w:type="dxa"/>
            <w:vMerge w:val="restart"/>
            <w:tcBorders>
              <w:top w:val="single" w:sz="4" w:space="0" w:color="auto"/>
            </w:tcBorders>
            <w:shd w:val="clear" w:color="auto" w:fill="E0E0E0"/>
          </w:tcPr>
          <w:p w14:paraId="7F7DBB20" w14:textId="18E1B9B4" w:rsidR="007A183B" w:rsidRPr="005108B7" w:rsidRDefault="007A183B" w:rsidP="004A4146">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3. Analysis of existing hydro-meteorological </w:t>
            </w:r>
            <w:r w:rsidR="00597DB0">
              <w:rPr>
                <w:rFonts w:asciiTheme="majorHAnsi" w:hAnsiTheme="majorHAnsi" w:cs="Arial"/>
                <w:sz w:val="20"/>
                <w:szCs w:val="20"/>
                <w:lang w:val="en-GB"/>
              </w:rPr>
              <w:t>early warning systems</w:t>
            </w:r>
            <w:r>
              <w:rPr>
                <w:rFonts w:asciiTheme="majorHAnsi" w:hAnsiTheme="majorHAnsi" w:cs="Arial"/>
                <w:sz w:val="20"/>
                <w:szCs w:val="20"/>
                <w:lang w:val="en-GB"/>
              </w:rPr>
              <w:t xml:space="preserve"> and the definition of additional requirements</w:t>
            </w:r>
          </w:p>
        </w:tc>
        <w:tc>
          <w:tcPr>
            <w:tcW w:w="4018" w:type="dxa"/>
            <w:tcBorders>
              <w:top w:val="single" w:sz="4" w:space="0" w:color="auto"/>
            </w:tcBorders>
            <w:shd w:val="clear" w:color="auto" w:fill="E0E0E0"/>
          </w:tcPr>
          <w:p w14:paraId="1580C16D" w14:textId="77777777" w:rsidR="007A183B" w:rsidRPr="005108B7" w:rsidRDefault="007A183B" w:rsidP="005108B7">
            <w:pPr>
              <w:spacing w:before="40" w:after="40" w:line="276" w:lineRule="auto"/>
              <w:rPr>
                <w:rFonts w:asciiTheme="majorHAnsi" w:hAnsiTheme="majorHAnsi" w:cs="Arial"/>
                <w:sz w:val="20"/>
                <w:szCs w:val="20"/>
              </w:rPr>
            </w:pPr>
            <w:r>
              <w:rPr>
                <w:rFonts w:asciiTheme="majorHAnsi" w:hAnsiTheme="majorHAnsi" w:cs="Arial"/>
                <w:sz w:val="20"/>
                <w:szCs w:val="20"/>
                <w:lang w:val="en-GB"/>
              </w:rPr>
              <w:t>3.1. Identification of actors and institutions to involve</w:t>
            </w:r>
          </w:p>
        </w:tc>
        <w:tc>
          <w:tcPr>
            <w:tcW w:w="1967" w:type="dxa"/>
            <w:vMerge w:val="restart"/>
            <w:tcBorders>
              <w:top w:val="single" w:sz="4" w:space="0" w:color="auto"/>
            </w:tcBorders>
            <w:shd w:val="clear" w:color="auto" w:fill="E0E0E0"/>
          </w:tcPr>
          <w:p w14:paraId="07891D63"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Documenting the results of the workshops and recommendations</w:t>
            </w:r>
          </w:p>
        </w:tc>
        <w:tc>
          <w:tcPr>
            <w:tcW w:w="1818" w:type="dxa"/>
            <w:tcBorders>
              <w:top w:val="single" w:sz="4" w:space="0" w:color="auto"/>
            </w:tcBorders>
            <w:shd w:val="clear" w:color="auto" w:fill="E0E0E0"/>
          </w:tcPr>
          <w:p w14:paraId="32390794"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 communities</w:t>
            </w:r>
          </w:p>
        </w:tc>
        <w:tc>
          <w:tcPr>
            <w:tcW w:w="1908" w:type="dxa"/>
            <w:vMerge w:val="restart"/>
            <w:tcBorders>
              <w:top w:val="single" w:sz="4" w:space="0" w:color="auto"/>
            </w:tcBorders>
            <w:shd w:val="clear" w:color="auto" w:fill="E0E0E0"/>
          </w:tcPr>
          <w:p w14:paraId="50E47D79" w14:textId="77777777" w:rsidR="007A183B" w:rsidRPr="005108B7" w:rsidRDefault="007A183B" w:rsidP="007542ED">
            <w:pPr>
              <w:spacing w:before="40" w:after="40" w:line="276" w:lineRule="auto"/>
              <w:rPr>
                <w:rFonts w:asciiTheme="majorHAnsi" w:hAnsiTheme="majorHAnsi" w:cs="Arial"/>
                <w:sz w:val="20"/>
                <w:szCs w:val="20"/>
              </w:rPr>
            </w:pPr>
            <w:r>
              <w:rPr>
                <w:rFonts w:asciiTheme="majorHAnsi" w:hAnsiTheme="majorHAnsi" w:cs="Arial"/>
                <w:sz w:val="20"/>
                <w:szCs w:val="20"/>
                <w:lang w:val="en-GB"/>
              </w:rPr>
              <w:t>The existing hydro-meteorological EWS processes have been analysed and additional requirements defined</w:t>
            </w:r>
          </w:p>
        </w:tc>
        <w:tc>
          <w:tcPr>
            <w:tcW w:w="1916" w:type="dxa"/>
            <w:tcBorders>
              <w:top w:val="single" w:sz="4" w:space="0" w:color="auto"/>
            </w:tcBorders>
            <w:shd w:val="clear" w:color="auto" w:fill="E0E0E0"/>
          </w:tcPr>
          <w:p w14:paraId="68AE7A73"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7A183B" w:rsidRPr="005108B7" w14:paraId="327CDBDE" w14:textId="77777777" w:rsidTr="007A183B">
        <w:tc>
          <w:tcPr>
            <w:tcW w:w="1983" w:type="dxa"/>
            <w:vMerge/>
            <w:shd w:val="clear" w:color="auto" w:fill="E0E0E0"/>
          </w:tcPr>
          <w:p w14:paraId="74DDD772" w14:textId="77777777" w:rsidR="007A183B" w:rsidRPr="005108B7" w:rsidRDefault="007A183B" w:rsidP="00DB51B9">
            <w:pPr>
              <w:spacing w:before="40" w:after="40" w:line="276" w:lineRule="auto"/>
              <w:rPr>
                <w:rFonts w:asciiTheme="majorHAnsi" w:hAnsiTheme="majorHAnsi" w:cs="Arial"/>
                <w:sz w:val="20"/>
                <w:szCs w:val="20"/>
              </w:rPr>
            </w:pPr>
          </w:p>
        </w:tc>
        <w:tc>
          <w:tcPr>
            <w:tcW w:w="4018" w:type="dxa"/>
            <w:shd w:val="clear" w:color="auto" w:fill="E0E0E0"/>
          </w:tcPr>
          <w:p w14:paraId="7D9F1E2E"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3.2. Design and preparation of analysis workshops</w:t>
            </w:r>
          </w:p>
        </w:tc>
        <w:tc>
          <w:tcPr>
            <w:tcW w:w="1967" w:type="dxa"/>
            <w:vMerge/>
            <w:shd w:val="clear" w:color="auto" w:fill="E0E0E0"/>
          </w:tcPr>
          <w:p w14:paraId="5C55CEF5" w14:textId="77777777" w:rsidR="007A183B" w:rsidRPr="005108B7" w:rsidRDefault="007A183B" w:rsidP="00DB51B9">
            <w:pPr>
              <w:spacing w:before="40" w:after="40" w:line="276" w:lineRule="auto"/>
              <w:rPr>
                <w:rFonts w:asciiTheme="majorHAnsi" w:hAnsiTheme="majorHAnsi" w:cs="Arial"/>
                <w:sz w:val="20"/>
                <w:szCs w:val="20"/>
              </w:rPr>
            </w:pPr>
          </w:p>
        </w:tc>
        <w:tc>
          <w:tcPr>
            <w:tcW w:w="1818" w:type="dxa"/>
            <w:shd w:val="clear" w:color="auto" w:fill="E0E0E0"/>
          </w:tcPr>
          <w:p w14:paraId="62F17DC5" w14:textId="77777777" w:rsidR="007A183B" w:rsidRPr="005108B7" w:rsidRDefault="007A183B" w:rsidP="000E103A">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 communities</w:t>
            </w:r>
          </w:p>
        </w:tc>
        <w:tc>
          <w:tcPr>
            <w:tcW w:w="1908" w:type="dxa"/>
            <w:vMerge/>
            <w:shd w:val="clear" w:color="auto" w:fill="E0E0E0"/>
          </w:tcPr>
          <w:p w14:paraId="6572D691" w14:textId="77777777" w:rsidR="007A183B" w:rsidRPr="005108B7" w:rsidRDefault="007A183B" w:rsidP="00DB51B9">
            <w:pPr>
              <w:spacing w:before="40" w:after="40" w:line="276" w:lineRule="auto"/>
              <w:rPr>
                <w:rFonts w:asciiTheme="majorHAnsi" w:hAnsiTheme="majorHAnsi" w:cs="Arial"/>
                <w:sz w:val="20"/>
                <w:szCs w:val="20"/>
              </w:rPr>
            </w:pPr>
          </w:p>
        </w:tc>
        <w:tc>
          <w:tcPr>
            <w:tcW w:w="1916" w:type="dxa"/>
            <w:shd w:val="clear" w:color="auto" w:fill="E0E0E0"/>
          </w:tcPr>
          <w:p w14:paraId="019E5704"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7A183B" w:rsidRPr="005108B7" w14:paraId="56876F22" w14:textId="77777777" w:rsidTr="007A183B">
        <w:trPr>
          <w:trHeight w:val="1285"/>
        </w:trPr>
        <w:tc>
          <w:tcPr>
            <w:tcW w:w="1983" w:type="dxa"/>
            <w:vMerge/>
            <w:shd w:val="clear" w:color="auto" w:fill="E0E0E0"/>
          </w:tcPr>
          <w:p w14:paraId="7B0B9BF4" w14:textId="77777777" w:rsidR="007A183B" w:rsidRPr="005108B7" w:rsidRDefault="007A183B" w:rsidP="00DB51B9">
            <w:pPr>
              <w:spacing w:before="40" w:after="40" w:line="276" w:lineRule="auto"/>
              <w:rPr>
                <w:rFonts w:asciiTheme="majorHAnsi" w:hAnsiTheme="majorHAnsi" w:cs="Arial"/>
                <w:sz w:val="20"/>
                <w:szCs w:val="20"/>
              </w:rPr>
            </w:pPr>
          </w:p>
        </w:tc>
        <w:tc>
          <w:tcPr>
            <w:tcW w:w="4018" w:type="dxa"/>
            <w:shd w:val="clear" w:color="auto" w:fill="E0E0E0"/>
          </w:tcPr>
          <w:p w14:paraId="076ACFD9"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3.3. Holding the local analysis workshop</w:t>
            </w:r>
          </w:p>
        </w:tc>
        <w:tc>
          <w:tcPr>
            <w:tcW w:w="1967" w:type="dxa"/>
            <w:vMerge/>
            <w:shd w:val="clear" w:color="auto" w:fill="E0E0E0"/>
          </w:tcPr>
          <w:p w14:paraId="27B47ECA" w14:textId="77777777" w:rsidR="007A183B" w:rsidRPr="005108B7" w:rsidRDefault="007A183B" w:rsidP="00DB51B9">
            <w:pPr>
              <w:spacing w:before="40" w:after="40" w:line="276" w:lineRule="auto"/>
              <w:rPr>
                <w:rFonts w:asciiTheme="majorHAnsi" w:hAnsiTheme="majorHAnsi" w:cs="Arial"/>
                <w:sz w:val="20"/>
                <w:szCs w:val="20"/>
              </w:rPr>
            </w:pPr>
          </w:p>
        </w:tc>
        <w:tc>
          <w:tcPr>
            <w:tcW w:w="1818" w:type="dxa"/>
            <w:shd w:val="clear" w:color="auto" w:fill="E0E0E0"/>
          </w:tcPr>
          <w:p w14:paraId="5270E5BF" w14:textId="77777777" w:rsidR="007A183B" w:rsidRPr="005108B7" w:rsidRDefault="007A183B" w:rsidP="000E103A">
            <w:pPr>
              <w:spacing w:before="40" w:after="40" w:line="276" w:lineRule="auto"/>
              <w:rPr>
                <w:rFonts w:asciiTheme="majorHAnsi" w:hAnsiTheme="majorHAnsi" w:cs="Arial"/>
                <w:sz w:val="20"/>
                <w:szCs w:val="20"/>
              </w:rPr>
            </w:pPr>
            <w:r>
              <w:rPr>
                <w:rFonts w:asciiTheme="majorHAnsi" w:hAnsiTheme="majorHAnsi" w:cs="Arial"/>
                <w:sz w:val="20"/>
                <w:szCs w:val="20"/>
                <w:lang w:val="en-GB"/>
              </w:rPr>
              <w:t>IDDI, Ministry for Environment and Natural Resources, communities</w:t>
            </w:r>
          </w:p>
        </w:tc>
        <w:tc>
          <w:tcPr>
            <w:tcW w:w="1908" w:type="dxa"/>
            <w:vMerge/>
            <w:shd w:val="clear" w:color="auto" w:fill="E0E0E0"/>
          </w:tcPr>
          <w:p w14:paraId="502AAC79" w14:textId="77777777" w:rsidR="007A183B" w:rsidRPr="005108B7" w:rsidRDefault="007A183B" w:rsidP="00DB51B9">
            <w:pPr>
              <w:spacing w:before="40" w:after="40" w:line="276" w:lineRule="auto"/>
              <w:rPr>
                <w:rFonts w:asciiTheme="majorHAnsi" w:hAnsiTheme="majorHAnsi" w:cs="Arial"/>
                <w:sz w:val="20"/>
                <w:szCs w:val="20"/>
              </w:rPr>
            </w:pPr>
          </w:p>
        </w:tc>
        <w:tc>
          <w:tcPr>
            <w:tcW w:w="1916" w:type="dxa"/>
            <w:shd w:val="clear" w:color="auto" w:fill="E0E0E0"/>
          </w:tcPr>
          <w:p w14:paraId="102780DE"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7A183B" w:rsidRPr="005108B7" w14:paraId="41C5D942" w14:textId="77777777" w:rsidTr="007A183B">
        <w:tc>
          <w:tcPr>
            <w:tcW w:w="1983" w:type="dxa"/>
            <w:vMerge/>
            <w:shd w:val="clear" w:color="auto" w:fill="E0E0E0"/>
          </w:tcPr>
          <w:p w14:paraId="24BF44D1" w14:textId="77777777" w:rsidR="007A183B" w:rsidRPr="005108B7" w:rsidRDefault="007A183B" w:rsidP="00DB51B9">
            <w:pPr>
              <w:spacing w:before="40" w:after="40" w:line="276" w:lineRule="auto"/>
              <w:rPr>
                <w:rFonts w:asciiTheme="majorHAnsi" w:hAnsiTheme="majorHAnsi" w:cs="Arial"/>
                <w:sz w:val="20"/>
                <w:szCs w:val="20"/>
              </w:rPr>
            </w:pPr>
          </w:p>
        </w:tc>
        <w:tc>
          <w:tcPr>
            <w:tcW w:w="4018" w:type="dxa"/>
            <w:shd w:val="clear" w:color="auto" w:fill="E0E0E0"/>
          </w:tcPr>
          <w:p w14:paraId="58BFDB1E"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3.4. Holding the national analysis workshop</w:t>
            </w:r>
          </w:p>
        </w:tc>
        <w:tc>
          <w:tcPr>
            <w:tcW w:w="1967" w:type="dxa"/>
            <w:vMerge/>
            <w:shd w:val="clear" w:color="auto" w:fill="E0E0E0"/>
          </w:tcPr>
          <w:p w14:paraId="5345FBE4" w14:textId="77777777" w:rsidR="007A183B" w:rsidRPr="005108B7" w:rsidRDefault="007A183B" w:rsidP="00DB51B9">
            <w:pPr>
              <w:spacing w:before="40" w:after="40" w:line="276" w:lineRule="auto"/>
              <w:rPr>
                <w:rFonts w:asciiTheme="majorHAnsi" w:hAnsiTheme="majorHAnsi" w:cs="Arial"/>
                <w:sz w:val="20"/>
                <w:szCs w:val="20"/>
              </w:rPr>
            </w:pPr>
          </w:p>
        </w:tc>
        <w:tc>
          <w:tcPr>
            <w:tcW w:w="1818" w:type="dxa"/>
            <w:shd w:val="clear" w:color="auto" w:fill="E0E0E0"/>
          </w:tcPr>
          <w:p w14:paraId="3EDD4C8B"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Ministry for Environment and Natural Resources, Technical Committee, communities</w:t>
            </w:r>
          </w:p>
        </w:tc>
        <w:tc>
          <w:tcPr>
            <w:tcW w:w="1908" w:type="dxa"/>
            <w:vMerge/>
            <w:shd w:val="clear" w:color="auto" w:fill="E0E0E0"/>
          </w:tcPr>
          <w:p w14:paraId="4ACE4DDB" w14:textId="77777777" w:rsidR="007A183B" w:rsidRPr="005108B7" w:rsidRDefault="007A183B" w:rsidP="00DB51B9">
            <w:pPr>
              <w:spacing w:before="40" w:after="40" w:line="276" w:lineRule="auto"/>
              <w:rPr>
                <w:rFonts w:asciiTheme="majorHAnsi" w:hAnsiTheme="majorHAnsi" w:cs="Arial"/>
                <w:sz w:val="20"/>
                <w:szCs w:val="20"/>
              </w:rPr>
            </w:pPr>
          </w:p>
        </w:tc>
        <w:tc>
          <w:tcPr>
            <w:tcW w:w="1916" w:type="dxa"/>
            <w:shd w:val="clear" w:color="auto" w:fill="E0E0E0"/>
          </w:tcPr>
          <w:p w14:paraId="678DB0D5"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5108B7" w:rsidRPr="005108B7" w14:paraId="61D48B37" w14:textId="77777777" w:rsidTr="007A183B">
        <w:tc>
          <w:tcPr>
            <w:tcW w:w="1983" w:type="dxa"/>
            <w:vMerge/>
            <w:shd w:val="clear" w:color="auto" w:fill="E0E0E0"/>
          </w:tcPr>
          <w:p w14:paraId="5E2C98CF" w14:textId="77777777" w:rsidR="005108B7" w:rsidRPr="005108B7" w:rsidRDefault="005108B7" w:rsidP="00DB51B9">
            <w:pPr>
              <w:spacing w:before="40" w:after="40" w:line="276" w:lineRule="auto"/>
              <w:rPr>
                <w:rFonts w:asciiTheme="majorHAnsi" w:hAnsiTheme="majorHAnsi" w:cs="Arial"/>
                <w:sz w:val="20"/>
                <w:szCs w:val="20"/>
              </w:rPr>
            </w:pPr>
          </w:p>
        </w:tc>
        <w:tc>
          <w:tcPr>
            <w:tcW w:w="4018" w:type="dxa"/>
            <w:shd w:val="clear" w:color="auto" w:fill="E0E0E0"/>
          </w:tcPr>
          <w:p w14:paraId="6FEF2340" w14:textId="77777777" w:rsidR="005108B7" w:rsidRPr="005108B7" w:rsidRDefault="005108B7"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3.5. Documenting results and recommendations</w:t>
            </w:r>
          </w:p>
        </w:tc>
        <w:tc>
          <w:tcPr>
            <w:tcW w:w="1967" w:type="dxa"/>
            <w:vMerge/>
            <w:shd w:val="clear" w:color="auto" w:fill="E0E0E0"/>
          </w:tcPr>
          <w:p w14:paraId="4428373A" w14:textId="77777777" w:rsidR="005108B7" w:rsidRPr="005108B7" w:rsidRDefault="005108B7" w:rsidP="00DB51B9">
            <w:pPr>
              <w:spacing w:before="40" w:after="40" w:line="276" w:lineRule="auto"/>
              <w:rPr>
                <w:rFonts w:asciiTheme="majorHAnsi" w:hAnsiTheme="majorHAnsi" w:cs="Arial"/>
                <w:sz w:val="20"/>
                <w:szCs w:val="20"/>
              </w:rPr>
            </w:pPr>
          </w:p>
        </w:tc>
        <w:tc>
          <w:tcPr>
            <w:tcW w:w="1818" w:type="dxa"/>
            <w:shd w:val="clear" w:color="auto" w:fill="E0E0E0"/>
          </w:tcPr>
          <w:p w14:paraId="55DB71FA" w14:textId="77777777" w:rsidR="005108B7" w:rsidRPr="005108B7" w:rsidRDefault="000E103A"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908" w:type="dxa"/>
            <w:shd w:val="clear" w:color="auto" w:fill="E0E0E0"/>
          </w:tcPr>
          <w:p w14:paraId="5EB06FB7" w14:textId="77777777" w:rsidR="005108B7" w:rsidRPr="005108B7" w:rsidRDefault="005108B7" w:rsidP="00DB51B9">
            <w:pPr>
              <w:spacing w:before="40" w:after="40" w:line="276" w:lineRule="auto"/>
              <w:rPr>
                <w:rFonts w:asciiTheme="majorHAnsi" w:hAnsiTheme="majorHAnsi" w:cs="Arial"/>
                <w:sz w:val="20"/>
                <w:szCs w:val="20"/>
              </w:rPr>
            </w:pPr>
          </w:p>
        </w:tc>
        <w:tc>
          <w:tcPr>
            <w:tcW w:w="1916" w:type="dxa"/>
            <w:shd w:val="clear" w:color="auto" w:fill="E0E0E0"/>
          </w:tcPr>
          <w:p w14:paraId="31BAAEE6" w14:textId="77777777" w:rsidR="005108B7" w:rsidRPr="005108B7" w:rsidRDefault="000E103A"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9E3969" w:rsidRPr="005108B7" w14:paraId="7048C66B" w14:textId="77777777" w:rsidTr="007A183B">
        <w:trPr>
          <w:trHeight w:val="74"/>
        </w:trPr>
        <w:tc>
          <w:tcPr>
            <w:tcW w:w="1983" w:type="dxa"/>
            <w:vMerge w:val="restart"/>
          </w:tcPr>
          <w:p w14:paraId="31ED98C5" w14:textId="77777777" w:rsidR="00202A67" w:rsidRDefault="00202A67" w:rsidP="00DB51B9">
            <w:pPr>
              <w:spacing w:before="40" w:after="40" w:line="276" w:lineRule="auto"/>
              <w:rPr>
                <w:rFonts w:asciiTheme="majorHAnsi" w:hAnsiTheme="majorHAnsi" w:cs="Arial"/>
                <w:sz w:val="20"/>
                <w:szCs w:val="20"/>
              </w:rPr>
            </w:pPr>
          </w:p>
          <w:p w14:paraId="030A849A" w14:textId="77777777" w:rsidR="009E3969" w:rsidRPr="007A183B" w:rsidRDefault="009E3969"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4. Analysis of </w:t>
            </w:r>
            <w:r>
              <w:rPr>
                <w:rFonts w:asciiTheme="majorHAnsi" w:hAnsiTheme="majorHAnsi" w:cs="Arial"/>
                <w:sz w:val="20"/>
                <w:szCs w:val="20"/>
                <w:lang w:val="en-GB"/>
              </w:rPr>
              <w:lastRenderedPageBreak/>
              <w:t>possibilities of and requirements for using apps to communicate early warnings and related information</w:t>
            </w:r>
          </w:p>
          <w:p w14:paraId="458DC2EA" w14:textId="77777777" w:rsidR="009E3969" w:rsidRPr="005108B7" w:rsidRDefault="009E3969" w:rsidP="00DB51B9">
            <w:pPr>
              <w:spacing w:before="40" w:after="40" w:line="276" w:lineRule="auto"/>
              <w:rPr>
                <w:rFonts w:asciiTheme="majorHAnsi" w:hAnsiTheme="majorHAnsi" w:cs="Arial"/>
                <w:sz w:val="20"/>
                <w:szCs w:val="20"/>
              </w:rPr>
            </w:pPr>
          </w:p>
        </w:tc>
        <w:tc>
          <w:tcPr>
            <w:tcW w:w="4018" w:type="dxa"/>
          </w:tcPr>
          <w:p w14:paraId="6A7B62F9" w14:textId="77777777" w:rsidR="00202A67" w:rsidRDefault="00202A67" w:rsidP="005108B7">
            <w:pPr>
              <w:spacing w:before="40" w:after="40" w:line="276" w:lineRule="auto"/>
              <w:rPr>
                <w:rFonts w:asciiTheme="majorHAnsi" w:hAnsiTheme="majorHAnsi" w:cs="Arial"/>
                <w:sz w:val="20"/>
                <w:szCs w:val="20"/>
              </w:rPr>
            </w:pPr>
          </w:p>
          <w:p w14:paraId="1A90E4BE" w14:textId="77777777" w:rsidR="009E3969" w:rsidRPr="005108B7" w:rsidRDefault="009E3969" w:rsidP="005108B7">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4.1. Review of experiences and existing </w:t>
            </w:r>
            <w:r>
              <w:rPr>
                <w:rFonts w:asciiTheme="majorHAnsi" w:hAnsiTheme="majorHAnsi" w:cs="Arial"/>
                <w:sz w:val="20"/>
                <w:szCs w:val="20"/>
                <w:lang w:val="en-GB"/>
              </w:rPr>
              <w:lastRenderedPageBreak/>
              <w:t>approaches in other countries</w:t>
            </w:r>
          </w:p>
        </w:tc>
        <w:tc>
          <w:tcPr>
            <w:tcW w:w="1967" w:type="dxa"/>
            <w:vMerge w:val="restart"/>
          </w:tcPr>
          <w:p w14:paraId="43A41149" w14:textId="77777777" w:rsidR="00202A67" w:rsidRDefault="00202A67" w:rsidP="009E3969">
            <w:pPr>
              <w:spacing w:before="40" w:after="40" w:line="276" w:lineRule="auto"/>
              <w:rPr>
                <w:rFonts w:asciiTheme="majorHAnsi" w:hAnsiTheme="majorHAnsi" w:cs="Arial"/>
                <w:sz w:val="20"/>
                <w:szCs w:val="20"/>
              </w:rPr>
            </w:pPr>
          </w:p>
          <w:p w14:paraId="0837E335" w14:textId="123F4FB4" w:rsidR="009E3969" w:rsidRPr="005108B7" w:rsidRDefault="009E3969" w:rsidP="009E396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Document on </w:t>
            </w:r>
            <w:r>
              <w:rPr>
                <w:rFonts w:asciiTheme="majorHAnsi" w:hAnsiTheme="majorHAnsi" w:cs="Arial"/>
                <w:sz w:val="20"/>
                <w:szCs w:val="20"/>
                <w:lang w:val="en-GB"/>
              </w:rPr>
              <w:lastRenderedPageBreak/>
              <w:t xml:space="preserve">existing experiences and possible use of apps for </w:t>
            </w:r>
            <w:r w:rsidR="00597DB0">
              <w:rPr>
                <w:rFonts w:asciiTheme="majorHAnsi" w:hAnsiTheme="majorHAnsi" w:cs="Arial"/>
                <w:sz w:val="20"/>
                <w:szCs w:val="20"/>
                <w:lang w:val="en-GB"/>
              </w:rPr>
              <w:t>early warning systems</w:t>
            </w:r>
            <w:r>
              <w:rPr>
                <w:rFonts w:asciiTheme="majorHAnsi" w:hAnsiTheme="majorHAnsi" w:cs="Arial"/>
                <w:sz w:val="20"/>
                <w:szCs w:val="20"/>
                <w:lang w:val="en-GB"/>
              </w:rPr>
              <w:t xml:space="preserve"> </w:t>
            </w:r>
          </w:p>
        </w:tc>
        <w:tc>
          <w:tcPr>
            <w:tcW w:w="1818" w:type="dxa"/>
          </w:tcPr>
          <w:p w14:paraId="631418E1" w14:textId="77777777" w:rsidR="009E3969" w:rsidRDefault="009E3969" w:rsidP="00DB51B9">
            <w:pPr>
              <w:spacing w:before="40" w:after="40" w:line="276" w:lineRule="auto"/>
              <w:rPr>
                <w:rFonts w:asciiTheme="majorHAnsi" w:hAnsiTheme="majorHAnsi" w:cs="Arial"/>
                <w:sz w:val="20"/>
                <w:szCs w:val="20"/>
              </w:rPr>
            </w:pPr>
          </w:p>
          <w:p w14:paraId="150B6B86" w14:textId="77777777" w:rsidR="00202A67"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                                       </w:t>
            </w:r>
          </w:p>
        </w:tc>
        <w:tc>
          <w:tcPr>
            <w:tcW w:w="1908" w:type="dxa"/>
          </w:tcPr>
          <w:p w14:paraId="7228A9DA" w14:textId="77777777" w:rsidR="009E3969" w:rsidRPr="005108B7" w:rsidRDefault="009E3969" w:rsidP="00DB51B9">
            <w:pPr>
              <w:spacing w:before="40" w:after="40" w:line="276" w:lineRule="auto"/>
              <w:rPr>
                <w:rFonts w:asciiTheme="majorHAnsi" w:hAnsiTheme="majorHAnsi" w:cs="Arial"/>
                <w:sz w:val="20"/>
                <w:szCs w:val="20"/>
              </w:rPr>
            </w:pPr>
          </w:p>
        </w:tc>
        <w:tc>
          <w:tcPr>
            <w:tcW w:w="1916" w:type="dxa"/>
          </w:tcPr>
          <w:p w14:paraId="1D08F68D" w14:textId="77777777" w:rsidR="00202A67" w:rsidRDefault="00202A67" w:rsidP="00DB51B9">
            <w:pPr>
              <w:spacing w:before="40" w:after="40" w:line="276" w:lineRule="auto"/>
              <w:rPr>
                <w:rFonts w:asciiTheme="majorHAnsi" w:hAnsiTheme="majorHAnsi" w:cs="Arial"/>
                <w:sz w:val="20"/>
                <w:szCs w:val="20"/>
              </w:rPr>
            </w:pPr>
          </w:p>
          <w:p w14:paraId="7BE7377E" w14:textId="77777777" w:rsidR="009E3969" w:rsidRPr="005108B7" w:rsidRDefault="000E103A"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7A183B" w:rsidRPr="005108B7" w14:paraId="103CE55A" w14:textId="77777777" w:rsidTr="007A183B">
        <w:trPr>
          <w:trHeight w:val="74"/>
        </w:trPr>
        <w:tc>
          <w:tcPr>
            <w:tcW w:w="1983" w:type="dxa"/>
            <w:vMerge/>
          </w:tcPr>
          <w:p w14:paraId="32F0FB92" w14:textId="77777777" w:rsidR="007A183B" w:rsidRPr="005108B7" w:rsidRDefault="007A183B" w:rsidP="00DB51B9">
            <w:pPr>
              <w:spacing w:before="40" w:after="40" w:line="276" w:lineRule="auto"/>
              <w:rPr>
                <w:rFonts w:asciiTheme="majorHAnsi" w:hAnsiTheme="majorHAnsi" w:cs="Arial"/>
                <w:sz w:val="20"/>
                <w:szCs w:val="20"/>
              </w:rPr>
            </w:pPr>
          </w:p>
        </w:tc>
        <w:tc>
          <w:tcPr>
            <w:tcW w:w="4018" w:type="dxa"/>
          </w:tcPr>
          <w:p w14:paraId="61EFDDE3" w14:textId="5E0ADA9D"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4.2. Documentation of possible uses of apps for </w:t>
            </w:r>
            <w:r w:rsidR="00597DB0">
              <w:rPr>
                <w:rFonts w:asciiTheme="majorHAnsi" w:hAnsiTheme="majorHAnsi" w:cs="Arial"/>
                <w:sz w:val="20"/>
                <w:szCs w:val="20"/>
                <w:lang w:val="en-GB"/>
              </w:rPr>
              <w:t>early warning systems</w:t>
            </w:r>
            <w:r>
              <w:rPr>
                <w:rFonts w:asciiTheme="majorHAnsi" w:hAnsiTheme="majorHAnsi" w:cs="Arial"/>
                <w:sz w:val="20"/>
                <w:szCs w:val="20"/>
                <w:lang w:val="en-GB"/>
              </w:rPr>
              <w:t xml:space="preserve"> and related processes</w:t>
            </w:r>
          </w:p>
        </w:tc>
        <w:tc>
          <w:tcPr>
            <w:tcW w:w="1967" w:type="dxa"/>
            <w:vMerge/>
          </w:tcPr>
          <w:p w14:paraId="4A20431A" w14:textId="77777777" w:rsidR="007A183B" w:rsidRPr="005108B7" w:rsidRDefault="007A183B" w:rsidP="00DB51B9">
            <w:pPr>
              <w:spacing w:before="40" w:after="40" w:line="276" w:lineRule="auto"/>
              <w:rPr>
                <w:rFonts w:asciiTheme="majorHAnsi" w:hAnsiTheme="majorHAnsi" w:cs="Arial"/>
                <w:sz w:val="20"/>
                <w:szCs w:val="20"/>
              </w:rPr>
            </w:pPr>
          </w:p>
        </w:tc>
        <w:tc>
          <w:tcPr>
            <w:tcW w:w="1818" w:type="dxa"/>
          </w:tcPr>
          <w:p w14:paraId="52BB1D07" w14:textId="77777777" w:rsidR="007A183B" w:rsidRPr="005108B7" w:rsidRDefault="007A183B" w:rsidP="00DB51B9">
            <w:pPr>
              <w:spacing w:before="40" w:after="40" w:line="276" w:lineRule="auto"/>
              <w:rPr>
                <w:rFonts w:asciiTheme="majorHAnsi" w:hAnsiTheme="majorHAnsi" w:cs="Arial"/>
                <w:sz w:val="20"/>
                <w:szCs w:val="20"/>
              </w:rPr>
            </w:pPr>
          </w:p>
        </w:tc>
        <w:tc>
          <w:tcPr>
            <w:tcW w:w="1908" w:type="dxa"/>
            <w:vMerge w:val="restart"/>
          </w:tcPr>
          <w:p w14:paraId="6F55748D" w14:textId="77777777" w:rsidR="007A183B" w:rsidRPr="005108B7" w:rsidRDefault="005C6934"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The possibilities of and requirements for early warning apps have been documented</w:t>
            </w:r>
          </w:p>
        </w:tc>
        <w:tc>
          <w:tcPr>
            <w:tcW w:w="1916" w:type="dxa"/>
          </w:tcPr>
          <w:p w14:paraId="3C652B5A"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7A183B" w:rsidRPr="005108B7" w14:paraId="5EFBB141" w14:textId="77777777" w:rsidTr="007A183B">
        <w:trPr>
          <w:trHeight w:val="74"/>
        </w:trPr>
        <w:tc>
          <w:tcPr>
            <w:tcW w:w="1983" w:type="dxa"/>
            <w:vMerge/>
          </w:tcPr>
          <w:p w14:paraId="0B377661" w14:textId="77777777" w:rsidR="007A183B" w:rsidRPr="005108B7" w:rsidRDefault="007A183B" w:rsidP="00DB51B9">
            <w:pPr>
              <w:spacing w:before="40" w:after="40" w:line="276" w:lineRule="auto"/>
              <w:rPr>
                <w:rFonts w:asciiTheme="majorHAnsi" w:hAnsiTheme="majorHAnsi" w:cs="Arial"/>
                <w:sz w:val="20"/>
                <w:szCs w:val="20"/>
              </w:rPr>
            </w:pPr>
          </w:p>
        </w:tc>
        <w:tc>
          <w:tcPr>
            <w:tcW w:w="4018" w:type="dxa"/>
          </w:tcPr>
          <w:p w14:paraId="69C5220E"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4.3. Analysis of the conditions in the context of the Dominican Republic and the project area</w:t>
            </w:r>
          </w:p>
        </w:tc>
        <w:tc>
          <w:tcPr>
            <w:tcW w:w="1967" w:type="dxa"/>
            <w:vMerge w:val="restart"/>
          </w:tcPr>
          <w:p w14:paraId="4AB8637A"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Document on the framework conditions and recommendations for the use of apps or alternatives in the project area</w:t>
            </w:r>
          </w:p>
        </w:tc>
        <w:tc>
          <w:tcPr>
            <w:tcW w:w="1818" w:type="dxa"/>
          </w:tcPr>
          <w:p w14:paraId="1ECD2AD8"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 communities</w:t>
            </w:r>
          </w:p>
        </w:tc>
        <w:tc>
          <w:tcPr>
            <w:tcW w:w="1908" w:type="dxa"/>
            <w:vMerge/>
          </w:tcPr>
          <w:p w14:paraId="3FF16D0C" w14:textId="77777777" w:rsidR="007A183B" w:rsidRPr="005108B7" w:rsidRDefault="007A183B" w:rsidP="00DB51B9">
            <w:pPr>
              <w:spacing w:before="40" w:after="40" w:line="276" w:lineRule="auto"/>
              <w:rPr>
                <w:rFonts w:asciiTheme="majorHAnsi" w:hAnsiTheme="majorHAnsi" w:cs="Arial"/>
                <w:sz w:val="20"/>
                <w:szCs w:val="20"/>
              </w:rPr>
            </w:pPr>
          </w:p>
        </w:tc>
        <w:tc>
          <w:tcPr>
            <w:tcW w:w="1916" w:type="dxa"/>
          </w:tcPr>
          <w:p w14:paraId="2BF13143"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7A183B" w:rsidRPr="005108B7" w14:paraId="1D9443D8" w14:textId="77777777" w:rsidTr="007A183B">
        <w:trPr>
          <w:trHeight w:val="74"/>
        </w:trPr>
        <w:tc>
          <w:tcPr>
            <w:tcW w:w="1983" w:type="dxa"/>
            <w:vMerge/>
          </w:tcPr>
          <w:p w14:paraId="78CBE340" w14:textId="77777777" w:rsidR="007A183B" w:rsidRPr="005108B7" w:rsidRDefault="007A183B" w:rsidP="00DB51B9">
            <w:pPr>
              <w:spacing w:before="40" w:after="40" w:line="276" w:lineRule="auto"/>
              <w:rPr>
                <w:rFonts w:asciiTheme="majorHAnsi" w:hAnsiTheme="majorHAnsi" w:cs="Arial"/>
                <w:sz w:val="20"/>
                <w:szCs w:val="20"/>
              </w:rPr>
            </w:pPr>
          </w:p>
        </w:tc>
        <w:tc>
          <w:tcPr>
            <w:tcW w:w="4018" w:type="dxa"/>
          </w:tcPr>
          <w:p w14:paraId="40DA09E2"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4.4. Documenting the framework conditions and recommendations for the use of apps or alternatives</w:t>
            </w:r>
          </w:p>
        </w:tc>
        <w:tc>
          <w:tcPr>
            <w:tcW w:w="1967" w:type="dxa"/>
            <w:vMerge/>
          </w:tcPr>
          <w:p w14:paraId="07B9F1DB" w14:textId="77777777" w:rsidR="007A183B" w:rsidRPr="005108B7" w:rsidRDefault="007A183B" w:rsidP="00DB51B9">
            <w:pPr>
              <w:spacing w:before="40" w:after="40" w:line="276" w:lineRule="auto"/>
              <w:rPr>
                <w:rFonts w:asciiTheme="majorHAnsi" w:hAnsiTheme="majorHAnsi" w:cs="Arial"/>
                <w:sz w:val="20"/>
                <w:szCs w:val="20"/>
              </w:rPr>
            </w:pPr>
          </w:p>
        </w:tc>
        <w:tc>
          <w:tcPr>
            <w:tcW w:w="1818" w:type="dxa"/>
          </w:tcPr>
          <w:p w14:paraId="03800E5E" w14:textId="77777777" w:rsidR="007A183B" w:rsidRPr="005108B7" w:rsidRDefault="007A183B" w:rsidP="00DB51B9">
            <w:pPr>
              <w:spacing w:before="40" w:after="40" w:line="276" w:lineRule="auto"/>
              <w:rPr>
                <w:rFonts w:asciiTheme="majorHAnsi" w:hAnsiTheme="majorHAnsi" w:cs="Arial"/>
                <w:sz w:val="20"/>
                <w:szCs w:val="20"/>
              </w:rPr>
            </w:pPr>
          </w:p>
        </w:tc>
        <w:tc>
          <w:tcPr>
            <w:tcW w:w="1908" w:type="dxa"/>
            <w:vMerge/>
          </w:tcPr>
          <w:p w14:paraId="62B3DB47" w14:textId="77777777" w:rsidR="007A183B" w:rsidRPr="005108B7" w:rsidRDefault="007A183B" w:rsidP="00DB51B9">
            <w:pPr>
              <w:spacing w:before="40" w:after="40" w:line="276" w:lineRule="auto"/>
              <w:rPr>
                <w:rFonts w:asciiTheme="majorHAnsi" w:hAnsiTheme="majorHAnsi" w:cs="Arial"/>
                <w:sz w:val="20"/>
                <w:szCs w:val="20"/>
              </w:rPr>
            </w:pPr>
          </w:p>
        </w:tc>
        <w:tc>
          <w:tcPr>
            <w:tcW w:w="1916" w:type="dxa"/>
          </w:tcPr>
          <w:p w14:paraId="28F0164D" w14:textId="77777777" w:rsidR="007A183B" w:rsidRPr="005108B7" w:rsidRDefault="007A183B"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5108B7" w:rsidRPr="005108B7" w14:paraId="00CD323B" w14:textId="77777777" w:rsidTr="007A183B">
        <w:trPr>
          <w:trHeight w:val="74"/>
        </w:trPr>
        <w:tc>
          <w:tcPr>
            <w:tcW w:w="1983" w:type="dxa"/>
            <w:vMerge/>
          </w:tcPr>
          <w:p w14:paraId="5BFB6DF7" w14:textId="77777777" w:rsidR="005108B7" w:rsidRPr="005108B7" w:rsidRDefault="005108B7" w:rsidP="00DB51B9">
            <w:pPr>
              <w:spacing w:before="40" w:after="40" w:line="276" w:lineRule="auto"/>
              <w:rPr>
                <w:rFonts w:asciiTheme="majorHAnsi" w:hAnsiTheme="majorHAnsi" w:cs="Arial"/>
                <w:sz w:val="20"/>
                <w:szCs w:val="20"/>
              </w:rPr>
            </w:pPr>
          </w:p>
        </w:tc>
        <w:tc>
          <w:tcPr>
            <w:tcW w:w="4018" w:type="dxa"/>
          </w:tcPr>
          <w:p w14:paraId="57B674EC" w14:textId="77777777" w:rsidR="005108B7" w:rsidRPr="005108B7" w:rsidRDefault="009E3969"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4.5. Documenting technical specifications for an app or alternatives</w:t>
            </w:r>
          </w:p>
        </w:tc>
        <w:tc>
          <w:tcPr>
            <w:tcW w:w="1967" w:type="dxa"/>
          </w:tcPr>
          <w:p w14:paraId="0DB0538F" w14:textId="77777777" w:rsidR="005108B7" w:rsidRPr="005108B7" w:rsidRDefault="009E3969" w:rsidP="009E396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Document of technical specifications </w:t>
            </w:r>
          </w:p>
        </w:tc>
        <w:tc>
          <w:tcPr>
            <w:tcW w:w="1818" w:type="dxa"/>
          </w:tcPr>
          <w:p w14:paraId="408255EA" w14:textId="77777777" w:rsidR="005108B7" w:rsidRPr="005108B7" w:rsidRDefault="000E103A" w:rsidP="000E103A">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908" w:type="dxa"/>
          </w:tcPr>
          <w:p w14:paraId="6326B7FD" w14:textId="77777777" w:rsidR="005108B7" w:rsidRPr="005108B7" w:rsidRDefault="005108B7" w:rsidP="00DB51B9">
            <w:pPr>
              <w:spacing w:before="40" w:after="40" w:line="276" w:lineRule="auto"/>
              <w:rPr>
                <w:rFonts w:asciiTheme="majorHAnsi" w:hAnsiTheme="majorHAnsi" w:cs="Arial"/>
                <w:sz w:val="20"/>
                <w:szCs w:val="20"/>
              </w:rPr>
            </w:pPr>
          </w:p>
        </w:tc>
        <w:tc>
          <w:tcPr>
            <w:tcW w:w="1916" w:type="dxa"/>
          </w:tcPr>
          <w:p w14:paraId="5F6D57C6" w14:textId="77777777" w:rsidR="005108B7" w:rsidRPr="005108B7" w:rsidRDefault="000E103A" w:rsidP="00DB51B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bl>
    <w:p w14:paraId="5B0CB91B" w14:textId="77777777" w:rsidR="005108B7" w:rsidRDefault="005108B7">
      <w:pPr>
        <w:rPr>
          <w:rFonts w:ascii="Times New Roman" w:hAnsi="Times New Roman" w:cs="Times New Roman"/>
          <w:sz w:val="22"/>
          <w:szCs w:val="22"/>
        </w:rPr>
      </w:pPr>
    </w:p>
    <w:tbl>
      <w:tblPr>
        <w:tblStyle w:val="TableGrid"/>
        <w:tblW w:w="1361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073"/>
        <w:gridCol w:w="1974"/>
        <w:gridCol w:w="1829"/>
        <w:gridCol w:w="1833"/>
        <w:gridCol w:w="1916"/>
      </w:tblGrid>
      <w:tr w:rsidR="000E103A" w:rsidRPr="00CD66D8" w14:paraId="696CFF15" w14:textId="77777777" w:rsidTr="00421C1E">
        <w:tc>
          <w:tcPr>
            <w:tcW w:w="1985" w:type="dxa"/>
          </w:tcPr>
          <w:p w14:paraId="12261914" w14:textId="77777777" w:rsidR="000E103A" w:rsidRDefault="005108B7" w:rsidP="001D7A29">
            <w:pPr>
              <w:spacing w:line="276" w:lineRule="auto"/>
              <w:jc w:val="center"/>
              <w:rPr>
                <w:rFonts w:ascii="Times New Roman" w:hAnsi="Times New Roman" w:cs="Times New Roman"/>
                <w:sz w:val="22"/>
                <w:szCs w:val="22"/>
              </w:rPr>
            </w:pPr>
            <w:r>
              <w:rPr>
                <w:rFonts w:ascii="Times New Roman" w:hAnsi="Times New Roman" w:cs="Times New Roman"/>
                <w:sz w:val="22"/>
                <w:szCs w:val="22"/>
                <w:lang w:val="en-GB"/>
              </w:rPr>
              <w:br w:type="page"/>
            </w:r>
          </w:p>
          <w:p w14:paraId="5A9CD228" w14:textId="77777777" w:rsidR="005108B7" w:rsidRPr="00CD66D8" w:rsidRDefault="005108B7" w:rsidP="000E103A">
            <w:pPr>
              <w:spacing w:line="276" w:lineRule="auto"/>
              <w:rPr>
                <w:rFonts w:asciiTheme="majorHAnsi" w:hAnsiTheme="majorHAnsi" w:cs="Arial"/>
                <w:b/>
                <w:sz w:val="20"/>
                <w:szCs w:val="20"/>
              </w:rPr>
            </w:pPr>
            <w:r>
              <w:rPr>
                <w:rFonts w:asciiTheme="majorHAnsi" w:hAnsiTheme="majorHAnsi" w:cs="Arial"/>
                <w:b/>
                <w:bCs/>
                <w:sz w:val="20"/>
                <w:szCs w:val="20"/>
                <w:lang w:val="en-GB"/>
              </w:rPr>
              <w:t>Activity</w:t>
            </w:r>
          </w:p>
        </w:tc>
        <w:tc>
          <w:tcPr>
            <w:tcW w:w="4073" w:type="dxa"/>
          </w:tcPr>
          <w:p w14:paraId="4D3723B8"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Description of sub-activities conducted by the CTCN</w:t>
            </w:r>
          </w:p>
        </w:tc>
        <w:tc>
          <w:tcPr>
            <w:tcW w:w="1974" w:type="dxa"/>
          </w:tcPr>
          <w:p w14:paraId="576225DB"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Output and deliverables</w:t>
            </w:r>
          </w:p>
        </w:tc>
        <w:tc>
          <w:tcPr>
            <w:tcW w:w="1829" w:type="dxa"/>
          </w:tcPr>
          <w:p w14:paraId="6B531E7E" w14:textId="77777777" w:rsidR="005108B7" w:rsidRPr="00CD66D8"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Main national partners involved</w:t>
            </w:r>
          </w:p>
        </w:tc>
        <w:tc>
          <w:tcPr>
            <w:tcW w:w="1833" w:type="dxa"/>
          </w:tcPr>
          <w:p w14:paraId="6EC5C31A" w14:textId="67EA605D" w:rsidR="005108B7"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 xml:space="preserve">Objectively </w:t>
            </w:r>
            <w:r w:rsidR="004244C5">
              <w:rPr>
                <w:rFonts w:asciiTheme="majorHAnsi" w:hAnsiTheme="majorHAnsi" w:cs="Arial"/>
                <w:b/>
                <w:bCs/>
                <w:sz w:val="20"/>
                <w:szCs w:val="20"/>
                <w:lang w:val="en-GB"/>
              </w:rPr>
              <w:t>v</w:t>
            </w:r>
            <w:r>
              <w:rPr>
                <w:rFonts w:asciiTheme="majorHAnsi" w:hAnsiTheme="majorHAnsi" w:cs="Arial"/>
                <w:b/>
                <w:bCs/>
                <w:sz w:val="20"/>
                <w:szCs w:val="20"/>
                <w:lang w:val="en-GB"/>
              </w:rPr>
              <w:t xml:space="preserve">erifiable </w:t>
            </w:r>
            <w:r w:rsidR="004244C5">
              <w:rPr>
                <w:rFonts w:asciiTheme="majorHAnsi" w:hAnsiTheme="majorHAnsi" w:cs="Arial"/>
                <w:b/>
                <w:bCs/>
                <w:sz w:val="20"/>
                <w:szCs w:val="20"/>
                <w:lang w:val="en-GB"/>
              </w:rPr>
              <w:t>i</w:t>
            </w:r>
            <w:r>
              <w:rPr>
                <w:rFonts w:asciiTheme="majorHAnsi" w:hAnsiTheme="majorHAnsi" w:cs="Arial"/>
                <w:b/>
                <w:bCs/>
                <w:sz w:val="20"/>
                <w:szCs w:val="20"/>
                <w:lang w:val="en-GB"/>
              </w:rPr>
              <w:t>ndicator</w:t>
            </w:r>
          </w:p>
        </w:tc>
        <w:tc>
          <w:tcPr>
            <w:tcW w:w="1916" w:type="dxa"/>
          </w:tcPr>
          <w:p w14:paraId="33DABC0D" w14:textId="77777777" w:rsidR="005108B7" w:rsidRDefault="005108B7" w:rsidP="001D7A29">
            <w:pPr>
              <w:spacing w:line="276" w:lineRule="auto"/>
              <w:jc w:val="center"/>
              <w:rPr>
                <w:rFonts w:asciiTheme="majorHAnsi" w:hAnsiTheme="majorHAnsi" w:cs="Arial"/>
                <w:b/>
                <w:sz w:val="20"/>
                <w:szCs w:val="20"/>
              </w:rPr>
            </w:pPr>
            <w:r>
              <w:rPr>
                <w:rFonts w:asciiTheme="majorHAnsi" w:hAnsiTheme="majorHAnsi" w:cs="Arial"/>
                <w:b/>
                <w:bCs/>
                <w:sz w:val="20"/>
                <w:szCs w:val="20"/>
                <w:lang w:val="en-GB"/>
              </w:rPr>
              <w:t>Responsible person/organization</w:t>
            </w:r>
          </w:p>
        </w:tc>
      </w:tr>
      <w:tr w:rsidR="0027771B" w:rsidRPr="005108B7" w14:paraId="670F83B9" w14:textId="77777777" w:rsidTr="00421C1E">
        <w:tc>
          <w:tcPr>
            <w:tcW w:w="1985" w:type="dxa"/>
            <w:vMerge w:val="restart"/>
            <w:shd w:val="clear" w:color="auto" w:fill="E0E0E0"/>
          </w:tcPr>
          <w:p w14:paraId="1582C9F5" w14:textId="77777777" w:rsidR="0027771B" w:rsidRPr="005108B7" w:rsidRDefault="0027771B" w:rsidP="005108B7">
            <w:pPr>
              <w:spacing w:before="40" w:after="40" w:line="276" w:lineRule="auto"/>
              <w:rPr>
                <w:rFonts w:asciiTheme="majorHAnsi" w:hAnsiTheme="majorHAnsi" w:cs="Arial"/>
                <w:sz w:val="20"/>
                <w:szCs w:val="20"/>
              </w:rPr>
            </w:pPr>
            <w:r>
              <w:rPr>
                <w:rFonts w:asciiTheme="majorHAnsi" w:hAnsiTheme="majorHAnsi" w:cs="Arial"/>
                <w:sz w:val="20"/>
                <w:szCs w:val="20"/>
                <w:lang w:val="en-GB"/>
              </w:rPr>
              <w:t>5. Identifying outlines of proposals for projects agreed with the actors involved in the issue</w:t>
            </w:r>
          </w:p>
        </w:tc>
        <w:tc>
          <w:tcPr>
            <w:tcW w:w="4073" w:type="dxa"/>
            <w:shd w:val="clear" w:color="auto" w:fill="E0E0E0"/>
          </w:tcPr>
          <w:p w14:paraId="558A831C" w14:textId="375CAEF5" w:rsidR="0027771B" w:rsidRPr="005108B7" w:rsidRDefault="0027771B" w:rsidP="005108B7">
            <w:pPr>
              <w:spacing w:before="40" w:after="40" w:line="276" w:lineRule="auto"/>
              <w:rPr>
                <w:rFonts w:asciiTheme="majorHAnsi" w:hAnsiTheme="majorHAnsi" w:cs="Arial"/>
                <w:sz w:val="20"/>
                <w:szCs w:val="20"/>
              </w:rPr>
            </w:pPr>
            <w:r>
              <w:rPr>
                <w:rFonts w:asciiTheme="majorHAnsi" w:hAnsiTheme="majorHAnsi" w:cs="Arial"/>
                <w:sz w:val="20"/>
                <w:szCs w:val="20"/>
                <w:lang w:val="en-GB"/>
              </w:rPr>
              <w:t>5.1. Systemati</w:t>
            </w:r>
            <w:r w:rsidR="004244C5">
              <w:rPr>
                <w:rFonts w:asciiTheme="majorHAnsi" w:hAnsiTheme="majorHAnsi" w:cs="Arial"/>
                <w:sz w:val="20"/>
                <w:szCs w:val="20"/>
                <w:lang w:val="en-GB"/>
              </w:rPr>
              <w:t>z</w:t>
            </w:r>
            <w:r>
              <w:rPr>
                <w:rFonts w:asciiTheme="majorHAnsi" w:hAnsiTheme="majorHAnsi" w:cs="Arial"/>
                <w:sz w:val="20"/>
                <w:szCs w:val="20"/>
                <w:lang w:val="en-GB"/>
              </w:rPr>
              <w:t>ing the information and results of activities 1–4</w:t>
            </w:r>
          </w:p>
          <w:p w14:paraId="3DD4B179" w14:textId="77777777" w:rsidR="0027771B" w:rsidRPr="005108B7" w:rsidRDefault="0027771B" w:rsidP="005108B7">
            <w:pPr>
              <w:spacing w:before="40" w:after="40" w:line="276" w:lineRule="auto"/>
              <w:rPr>
                <w:rFonts w:asciiTheme="majorHAnsi" w:hAnsiTheme="majorHAnsi" w:cs="Arial"/>
                <w:sz w:val="20"/>
                <w:szCs w:val="20"/>
              </w:rPr>
            </w:pPr>
          </w:p>
        </w:tc>
        <w:tc>
          <w:tcPr>
            <w:tcW w:w="1974" w:type="dxa"/>
            <w:shd w:val="clear" w:color="auto" w:fill="E0E0E0"/>
          </w:tcPr>
          <w:p w14:paraId="23A942CE" w14:textId="2A59B815" w:rsidR="0027771B" w:rsidRPr="005108B7" w:rsidRDefault="0027771B" w:rsidP="005108B7">
            <w:pPr>
              <w:spacing w:before="40" w:after="40" w:line="276" w:lineRule="auto"/>
              <w:rPr>
                <w:rFonts w:asciiTheme="majorHAnsi" w:hAnsiTheme="majorHAnsi" w:cs="Arial"/>
                <w:sz w:val="20"/>
                <w:szCs w:val="20"/>
              </w:rPr>
            </w:pPr>
            <w:r>
              <w:rPr>
                <w:rFonts w:asciiTheme="majorHAnsi" w:hAnsiTheme="majorHAnsi" w:cs="Arial"/>
                <w:sz w:val="20"/>
                <w:szCs w:val="20"/>
                <w:lang w:val="en-GB"/>
              </w:rPr>
              <w:t>Report on the systemati</w:t>
            </w:r>
            <w:r w:rsidR="004244C5">
              <w:rPr>
                <w:rFonts w:asciiTheme="majorHAnsi" w:hAnsiTheme="majorHAnsi" w:cs="Arial"/>
                <w:sz w:val="20"/>
                <w:szCs w:val="20"/>
                <w:lang w:val="en-GB"/>
              </w:rPr>
              <w:t>z</w:t>
            </w:r>
            <w:r>
              <w:rPr>
                <w:rFonts w:asciiTheme="majorHAnsi" w:hAnsiTheme="majorHAnsi" w:cs="Arial"/>
                <w:sz w:val="20"/>
                <w:szCs w:val="20"/>
                <w:lang w:val="en-GB"/>
              </w:rPr>
              <w:t>ation of the results obtained in the previous steps</w:t>
            </w:r>
          </w:p>
        </w:tc>
        <w:tc>
          <w:tcPr>
            <w:tcW w:w="1829" w:type="dxa"/>
            <w:shd w:val="clear" w:color="auto" w:fill="E0E0E0"/>
          </w:tcPr>
          <w:p w14:paraId="2F749621" w14:textId="77777777"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c>
          <w:tcPr>
            <w:tcW w:w="1833" w:type="dxa"/>
            <w:vMerge w:val="restart"/>
            <w:shd w:val="clear" w:color="auto" w:fill="E0E0E0"/>
          </w:tcPr>
          <w:p w14:paraId="26B039CB" w14:textId="77777777"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An action plan including outlines of possible projects to improve the EWS in the Dominican Republic has been produced</w:t>
            </w:r>
          </w:p>
        </w:tc>
        <w:tc>
          <w:tcPr>
            <w:tcW w:w="1916" w:type="dxa"/>
            <w:shd w:val="clear" w:color="auto" w:fill="E0E0E0"/>
          </w:tcPr>
          <w:p w14:paraId="51A5F75D" w14:textId="77777777"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27771B" w:rsidRPr="005108B7" w14:paraId="2DF9677A" w14:textId="77777777" w:rsidTr="00421C1E">
        <w:trPr>
          <w:trHeight w:val="1243"/>
        </w:trPr>
        <w:tc>
          <w:tcPr>
            <w:tcW w:w="1985" w:type="dxa"/>
            <w:vMerge/>
            <w:shd w:val="clear" w:color="auto" w:fill="E0E0E0"/>
          </w:tcPr>
          <w:p w14:paraId="593D4159" w14:textId="77777777" w:rsidR="0027771B" w:rsidRPr="005108B7" w:rsidRDefault="0027771B" w:rsidP="001D7A29">
            <w:pPr>
              <w:spacing w:before="40" w:after="40" w:line="276" w:lineRule="auto"/>
              <w:rPr>
                <w:rFonts w:asciiTheme="majorHAnsi" w:hAnsiTheme="majorHAnsi" w:cs="Arial"/>
                <w:sz w:val="20"/>
                <w:szCs w:val="20"/>
              </w:rPr>
            </w:pPr>
          </w:p>
        </w:tc>
        <w:tc>
          <w:tcPr>
            <w:tcW w:w="4073" w:type="dxa"/>
            <w:shd w:val="clear" w:color="auto" w:fill="E0E0E0"/>
          </w:tcPr>
          <w:p w14:paraId="1E00D7D0" w14:textId="33E50D50" w:rsidR="0027771B" w:rsidRPr="005108B7" w:rsidRDefault="0027771B" w:rsidP="005108B7">
            <w:pPr>
              <w:spacing w:before="40" w:after="40" w:line="276" w:lineRule="auto"/>
              <w:rPr>
                <w:rFonts w:asciiTheme="majorHAnsi" w:hAnsiTheme="majorHAnsi" w:cs="Arial"/>
                <w:sz w:val="20"/>
                <w:szCs w:val="20"/>
              </w:rPr>
            </w:pPr>
            <w:r>
              <w:rPr>
                <w:rFonts w:asciiTheme="majorHAnsi" w:hAnsiTheme="majorHAnsi" w:cs="Arial"/>
                <w:sz w:val="20"/>
                <w:szCs w:val="20"/>
                <w:lang w:val="en-GB"/>
              </w:rPr>
              <w:t>5.2. Preparing and holding a workshop to identify possible initiatives based on the systemati</w:t>
            </w:r>
            <w:r w:rsidR="004244C5">
              <w:rPr>
                <w:rFonts w:asciiTheme="majorHAnsi" w:hAnsiTheme="majorHAnsi" w:cs="Arial"/>
                <w:sz w:val="20"/>
                <w:szCs w:val="20"/>
                <w:lang w:val="en-GB"/>
              </w:rPr>
              <w:t>z</w:t>
            </w:r>
            <w:r>
              <w:rPr>
                <w:rFonts w:asciiTheme="majorHAnsi" w:hAnsiTheme="majorHAnsi" w:cs="Arial"/>
                <w:sz w:val="20"/>
                <w:szCs w:val="20"/>
                <w:lang w:val="en-GB"/>
              </w:rPr>
              <w:t xml:space="preserve">ation </w:t>
            </w:r>
          </w:p>
          <w:p w14:paraId="2164104B" w14:textId="77777777" w:rsidR="0027771B" w:rsidRPr="005108B7" w:rsidRDefault="0027771B" w:rsidP="001D7A29">
            <w:pPr>
              <w:spacing w:before="40" w:after="40" w:line="276" w:lineRule="auto"/>
              <w:rPr>
                <w:rFonts w:asciiTheme="majorHAnsi" w:hAnsiTheme="majorHAnsi" w:cs="Arial"/>
                <w:sz w:val="20"/>
                <w:szCs w:val="20"/>
              </w:rPr>
            </w:pPr>
          </w:p>
        </w:tc>
        <w:tc>
          <w:tcPr>
            <w:tcW w:w="1974" w:type="dxa"/>
            <w:shd w:val="clear" w:color="auto" w:fill="E0E0E0"/>
          </w:tcPr>
          <w:p w14:paraId="16D1DCE6" w14:textId="77777777" w:rsidR="0027771B" w:rsidRPr="005108B7" w:rsidRDefault="0027771B" w:rsidP="001D7A29">
            <w:pPr>
              <w:spacing w:before="40" w:after="40" w:line="276" w:lineRule="auto"/>
              <w:rPr>
                <w:rFonts w:asciiTheme="majorHAnsi" w:hAnsiTheme="majorHAnsi" w:cs="Arial"/>
                <w:sz w:val="20"/>
                <w:szCs w:val="20"/>
              </w:rPr>
            </w:pPr>
          </w:p>
        </w:tc>
        <w:tc>
          <w:tcPr>
            <w:tcW w:w="1829" w:type="dxa"/>
            <w:shd w:val="clear" w:color="auto" w:fill="E0E0E0"/>
          </w:tcPr>
          <w:p w14:paraId="0C141A41" w14:textId="77777777"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IDDI, Ministry for Environment and Natural Resources, Technical Committee, communities</w:t>
            </w:r>
          </w:p>
        </w:tc>
        <w:tc>
          <w:tcPr>
            <w:tcW w:w="1833" w:type="dxa"/>
            <w:vMerge/>
            <w:shd w:val="clear" w:color="auto" w:fill="E0E0E0"/>
          </w:tcPr>
          <w:p w14:paraId="7A3FFA04" w14:textId="77777777" w:rsidR="0027771B" w:rsidRPr="005108B7" w:rsidRDefault="0027771B" w:rsidP="001D7A29">
            <w:pPr>
              <w:spacing w:before="40" w:after="40" w:line="276" w:lineRule="auto"/>
              <w:rPr>
                <w:rFonts w:asciiTheme="majorHAnsi" w:hAnsiTheme="majorHAnsi" w:cs="Arial"/>
                <w:sz w:val="20"/>
                <w:szCs w:val="20"/>
              </w:rPr>
            </w:pPr>
          </w:p>
        </w:tc>
        <w:tc>
          <w:tcPr>
            <w:tcW w:w="1916" w:type="dxa"/>
            <w:shd w:val="clear" w:color="auto" w:fill="E0E0E0"/>
          </w:tcPr>
          <w:p w14:paraId="03675375" w14:textId="77777777"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r>
      <w:tr w:rsidR="0027771B" w:rsidRPr="005108B7" w14:paraId="5D23081F" w14:textId="77777777" w:rsidTr="00421C1E">
        <w:tc>
          <w:tcPr>
            <w:tcW w:w="1985" w:type="dxa"/>
            <w:vMerge/>
            <w:shd w:val="clear" w:color="auto" w:fill="E0E0E0"/>
          </w:tcPr>
          <w:p w14:paraId="54038118" w14:textId="77777777" w:rsidR="0027771B" w:rsidRPr="005108B7" w:rsidRDefault="0027771B" w:rsidP="001D7A29">
            <w:pPr>
              <w:spacing w:before="40" w:after="40" w:line="276" w:lineRule="auto"/>
              <w:rPr>
                <w:rFonts w:asciiTheme="majorHAnsi" w:hAnsiTheme="majorHAnsi" w:cs="Arial"/>
                <w:sz w:val="20"/>
                <w:szCs w:val="20"/>
              </w:rPr>
            </w:pPr>
          </w:p>
        </w:tc>
        <w:tc>
          <w:tcPr>
            <w:tcW w:w="4073" w:type="dxa"/>
            <w:shd w:val="clear" w:color="auto" w:fill="E0E0E0"/>
          </w:tcPr>
          <w:p w14:paraId="257C6464" w14:textId="33C7E3A6"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5.3. Report on the systemati</w:t>
            </w:r>
            <w:r w:rsidR="004244C5">
              <w:rPr>
                <w:rFonts w:asciiTheme="majorHAnsi" w:hAnsiTheme="majorHAnsi" w:cs="Arial"/>
                <w:sz w:val="20"/>
                <w:szCs w:val="20"/>
                <w:lang w:val="en-GB"/>
              </w:rPr>
              <w:t>z</w:t>
            </w:r>
            <w:r>
              <w:rPr>
                <w:rFonts w:asciiTheme="majorHAnsi" w:hAnsiTheme="majorHAnsi" w:cs="Arial"/>
                <w:sz w:val="20"/>
                <w:szCs w:val="20"/>
                <w:lang w:val="en-GB"/>
              </w:rPr>
              <w:t>ation, including possible initiatives</w:t>
            </w:r>
          </w:p>
        </w:tc>
        <w:tc>
          <w:tcPr>
            <w:tcW w:w="1974" w:type="dxa"/>
            <w:shd w:val="clear" w:color="auto" w:fill="E0E0E0"/>
          </w:tcPr>
          <w:p w14:paraId="30240EAB" w14:textId="77777777" w:rsidR="0027771B" w:rsidRPr="005108B7" w:rsidRDefault="0027771B" w:rsidP="009E3969">
            <w:pPr>
              <w:spacing w:before="40" w:after="40" w:line="276" w:lineRule="auto"/>
              <w:rPr>
                <w:rFonts w:asciiTheme="majorHAnsi" w:hAnsiTheme="majorHAnsi" w:cs="Arial"/>
                <w:sz w:val="20"/>
                <w:szCs w:val="20"/>
              </w:rPr>
            </w:pPr>
            <w:r>
              <w:rPr>
                <w:rFonts w:asciiTheme="majorHAnsi" w:hAnsiTheme="majorHAnsi" w:cs="Arial"/>
                <w:sz w:val="20"/>
                <w:szCs w:val="20"/>
                <w:lang w:val="en-GB"/>
              </w:rPr>
              <w:t xml:space="preserve">Document describing possible initiatives </w:t>
            </w:r>
          </w:p>
        </w:tc>
        <w:tc>
          <w:tcPr>
            <w:tcW w:w="1829" w:type="dxa"/>
            <w:shd w:val="clear" w:color="auto" w:fill="E0E0E0"/>
          </w:tcPr>
          <w:p w14:paraId="725394C1" w14:textId="77777777" w:rsidR="0027771B" w:rsidRPr="005108B7" w:rsidRDefault="0027771B" w:rsidP="009B6EFF">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833" w:type="dxa"/>
            <w:vMerge/>
            <w:shd w:val="clear" w:color="auto" w:fill="E0E0E0"/>
          </w:tcPr>
          <w:p w14:paraId="0B7E99C4" w14:textId="77777777" w:rsidR="0027771B" w:rsidRPr="005108B7" w:rsidRDefault="0027771B" w:rsidP="001D7A29">
            <w:pPr>
              <w:spacing w:before="40" w:after="40" w:line="276" w:lineRule="auto"/>
              <w:rPr>
                <w:rFonts w:asciiTheme="majorHAnsi" w:hAnsiTheme="majorHAnsi" w:cs="Arial"/>
                <w:sz w:val="20"/>
                <w:szCs w:val="20"/>
              </w:rPr>
            </w:pPr>
          </w:p>
        </w:tc>
        <w:tc>
          <w:tcPr>
            <w:tcW w:w="1916" w:type="dxa"/>
            <w:shd w:val="clear" w:color="auto" w:fill="E0E0E0"/>
          </w:tcPr>
          <w:p w14:paraId="12DDAC2D" w14:textId="77777777" w:rsidR="0027771B" w:rsidRPr="005108B7" w:rsidRDefault="0027771B" w:rsidP="001D7A29">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B45075" w:rsidRPr="005108B7" w14:paraId="0D8235B5" w14:textId="77777777" w:rsidTr="00421C1E">
        <w:trPr>
          <w:trHeight w:val="74"/>
        </w:trPr>
        <w:tc>
          <w:tcPr>
            <w:tcW w:w="1985" w:type="dxa"/>
            <w:vMerge w:val="restart"/>
          </w:tcPr>
          <w:p w14:paraId="23FB7BEF" w14:textId="3FB0EF11" w:rsidR="00B45075" w:rsidRPr="00C459D3" w:rsidRDefault="00B45075" w:rsidP="00421C1E">
            <w:pPr>
              <w:contextualSpacing/>
              <w:rPr>
                <w:rFonts w:ascii="Times New Roman" w:hAnsi="Times New Roman" w:cs="Times New Roman"/>
                <w:color w:val="000000" w:themeColor="text1"/>
                <w:sz w:val="22"/>
                <w:szCs w:val="22"/>
              </w:rPr>
            </w:pPr>
            <w:r>
              <w:rPr>
                <w:rFonts w:asciiTheme="majorHAnsi" w:hAnsiTheme="majorHAnsi"/>
                <w:sz w:val="20"/>
                <w:szCs w:val="20"/>
                <w:lang w:val="en-GB"/>
              </w:rPr>
              <w:lastRenderedPageBreak/>
              <w:t>6. Organi</w:t>
            </w:r>
            <w:r w:rsidR="004244C5">
              <w:rPr>
                <w:rFonts w:asciiTheme="majorHAnsi" w:hAnsiTheme="majorHAnsi"/>
                <w:sz w:val="20"/>
                <w:szCs w:val="20"/>
                <w:lang w:val="en-GB"/>
              </w:rPr>
              <w:t>z</w:t>
            </w:r>
            <w:r>
              <w:rPr>
                <w:rFonts w:asciiTheme="majorHAnsi" w:hAnsiTheme="majorHAnsi"/>
                <w:sz w:val="20"/>
                <w:szCs w:val="20"/>
                <w:lang w:val="en-GB"/>
              </w:rPr>
              <w:t>ation of a regional conference with donors and regional representatives undertaking EWS reforms in the Caribbean to present results, generate interest among donors and promote South-South cooperation</w:t>
            </w:r>
          </w:p>
          <w:p w14:paraId="01CE3E2B" w14:textId="77777777" w:rsidR="00B45075" w:rsidRDefault="00B45075" w:rsidP="00421C1E">
            <w:pPr>
              <w:contextualSpacing/>
              <w:rPr>
                <w:rFonts w:ascii="Times New Roman" w:hAnsi="Times New Roman" w:cs="Times New Roman"/>
                <w:bCs/>
                <w:i/>
                <w:color w:val="000000" w:themeColor="text1"/>
                <w:sz w:val="22"/>
                <w:szCs w:val="22"/>
              </w:rPr>
            </w:pPr>
          </w:p>
          <w:p w14:paraId="6033AFE4" w14:textId="77777777" w:rsidR="00B45075" w:rsidRPr="005108B7" w:rsidRDefault="00B45075" w:rsidP="00421C1E">
            <w:pPr>
              <w:spacing w:before="40" w:after="40" w:line="276" w:lineRule="auto"/>
              <w:rPr>
                <w:rFonts w:asciiTheme="majorHAnsi" w:hAnsiTheme="majorHAnsi" w:cs="Arial"/>
                <w:sz w:val="20"/>
                <w:szCs w:val="20"/>
              </w:rPr>
            </w:pPr>
          </w:p>
          <w:p w14:paraId="39EFA77B" w14:textId="77777777" w:rsidR="00B45075" w:rsidRPr="005108B7" w:rsidRDefault="00B45075" w:rsidP="00421C1E">
            <w:pPr>
              <w:spacing w:before="40" w:after="40" w:line="276" w:lineRule="auto"/>
              <w:rPr>
                <w:rFonts w:asciiTheme="majorHAnsi" w:hAnsiTheme="majorHAnsi" w:cs="Arial"/>
                <w:sz w:val="20"/>
                <w:szCs w:val="20"/>
              </w:rPr>
            </w:pPr>
          </w:p>
        </w:tc>
        <w:tc>
          <w:tcPr>
            <w:tcW w:w="4073" w:type="dxa"/>
          </w:tcPr>
          <w:p w14:paraId="39F8E882" w14:textId="77777777" w:rsidR="00B45075" w:rsidRPr="005108B7"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6.1. Identify potential donors and regional and international representatives to participate</w:t>
            </w:r>
          </w:p>
        </w:tc>
        <w:tc>
          <w:tcPr>
            <w:tcW w:w="1974" w:type="dxa"/>
            <w:vMerge w:val="restart"/>
          </w:tcPr>
          <w:p w14:paraId="1CFCA05D" w14:textId="77777777" w:rsidR="00B45075"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Presentations on the project</w:t>
            </w:r>
          </w:p>
          <w:p w14:paraId="22A0E129" w14:textId="77777777" w:rsidR="00B45075" w:rsidRDefault="00B45075" w:rsidP="00421C1E">
            <w:pPr>
              <w:spacing w:before="40" w:after="40" w:line="276" w:lineRule="auto"/>
              <w:rPr>
                <w:rFonts w:asciiTheme="majorHAnsi" w:hAnsiTheme="majorHAnsi" w:cs="Arial"/>
                <w:sz w:val="20"/>
                <w:szCs w:val="20"/>
              </w:rPr>
            </w:pPr>
          </w:p>
          <w:p w14:paraId="10EA9F6A" w14:textId="77777777" w:rsidR="00B45075" w:rsidRPr="005108B7"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Documenting the conference</w:t>
            </w:r>
          </w:p>
        </w:tc>
        <w:tc>
          <w:tcPr>
            <w:tcW w:w="1829" w:type="dxa"/>
          </w:tcPr>
          <w:p w14:paraId="13F25DDB" w14:textId="77777777" w:rsidR="00B45075" w:rsidRPr="005108B7"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IDDI</w:t>
            </w:r>
          </w:p>
        </w:tc>
        <w:tc>
          <w:tcPr>
            <w:tcW w:w="1833" w:type="dxa"/>
            <w:vMerge w:val="restart"/>
          </w:tcPr>
          <w:p w14:paraId="540764D0" w14:textId="77777777" w:rsidR="00B45075" w:rsidRPr="005108B7"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A regional conference with donors and regional presenters has been held and documented</w:t>
            </w:r>
          </w:p>
        </w:tc>
        <w:tc>
          <w:tcPr>
            <w:tcW w:w="1916" w:type="dxa"/>
          </w:tcPr>
          <w:p w14:paraId="3AB359A1" w14:textId="77777777" w:rsidR="00B45075" w:rsidRPr="005108B7"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B45075" w:rsidRPr="004267BF" w14:paraId="032A9799" w14:textId="77777777" w:rsidTr="00421C1E">
        <w:trPr>
          <w:trHeight w:val="74"/>
        </w:trPr>
        <w:tc>
          <w:tcPr>
            <w:tcW w:w="1985" w:type="dxa"/>
            <w:vMerge/>
          </w:tcPr>
          <w:p w14:paraId="5753076A" w14:textId="77777777" w:rsidR="00B45075" w:rsidRPr="005108B7" w:rsidRDefault="00B45075" w:rsidP="00421C1E">
            <w:pPr>
              <w:spacing w:before="40" w:after="40" w:line="276" w:lineRule="auto"/>
              <w:rPr>
                <w:rFonts w:asciiTheme="majorHAnsi" w:hAnsiTheme="majorHAnsi" w:cs="Arial"/>
                <w:sz w:val="20"/>
                <w:szCs w:val="20"/>
              </w:rPr>
            </w:pPr>
          </w:p>
        </w:tc>
        <w:tc>
          <w:tcPr>
            <w:tcW w:w="4073" w:type="dxa"/>
          </w:tcPr>
          <w:p w14:paraId="27506339" w14:textId="248AD187" w:rsidR="00B45075" w:rsidRPr="004267BF"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6.2. Organi</w:t>
            </w:r>
            <w:r w:rsidR="004244C5">
              <w:rPr>
                <w:rFonts w:asciiTheme="majorHAnsi" w:hAnsiTheme="majorHAnsi" w:cs="Arial"/>
                <w:sz w:val="20"/>
                <w:szCs w:val="20"/>
                <w:lang w:val="en-GB"/>
              </w:rPr>
              <w:t>z</w:t>
            </w:r>
            <w:r>
              <w:rPr>
                <w:rFonts w:asciiTheme="majorHAnsi" w:hAnsiTheme="majorHAnsi" w:cs="Arial"/>
                <w:sz w:val="20"/>
                <w:szCs w:val="20"/>
                <w:lang w:val="en-GB"/>
              </w:rPr>
              <w:t>e the 2–3 day conference with the support of the local partner</w:t>
            </w:r>
          </w:p>
        </w:tc>
        <w:tc>
          <w:tcPr>
            <w:tcW w:w="1974" w:type="dxa"/>
            <w:vMerge/>
          </w:tcPr>
          <w:p w14:paraId="51FB42E5" w14:textId="77777777" w:rsidR="00B45075" w:rsidRPr="004267BF" w:rsidRDefault="00B45075" w:rsidP="00421C1E">
            <w:pPr>
              <w:spacing w:before="40" w:after="40" w:line="276" w:lineRule="auto"/>
              <w:rPr>
                <w:rFonts w:asciiTheme="majorHAnsi" w:hAnsiTheme="majorHAnsi" w:cs="Arial"/>
                <w:sz w:val="20"/>
                <w:szCs w:val="20"/>
              </w:rPr>
            </w:pPr>
          </w:p>
        </w:tc>
        <w:tc>
          <w:tcPr>
            <w:tcW w:w="1829" w:type="dxa"/>
          </w:tcPr>
          <w:p w14:paraId="2F422615" w14:textId="77777777" w:rsidR="00B45075" w:rsidRPr="004267BF"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IDDI, Technical Committee</w:t>
            </w:r>
          </w:p>
        </w:tc>
        <w:tc>
          <w:tcPr>
            <w:tcW w:w="1833" w:type="dxa"/>
            <w:vMerge/>
          </w:tcPr>
          <w:p w14:paraId="17BBB3C5" w14:textId="77777777" w:rsidR="00B45075" w:rsidRPr="004267BF" w:rsidRDefault="00B45075" w:rsidP="00421C1E">
            <w:pPr>
              <w:spacing w:before="40" w:after="40" w:line="276" w:lineRule="auto"/>
              <w:rPr>
                <w:rFonts w:asciiTheme="majorHAnsi" w:hAnsiTheme="majorHAnsi" w:cs="Arial"/>
                <w:sz w:val="20"/>
                <w:szCs w:val="20"/>
              </w:rPr>
            </w:pPr>
          </w:p>
        </w:tc>
        <w:tc>
          <w:tcPr>
            <w:tcW w:w="1916" w:type="dxa"/>
          </w:tcPr>
          <w:p w14:paraId="16EC52A1" w14:textId="77777777" w:rsidR="00B45075" w:rsidRPr="004267BF"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r w:rsidR="00B45075" w:rsidRPr="004267BF" w14:paraId="545C377C" w14:textId="77777777" w:rsidTr="00421C1E">
        <w:trPr>
          <w:trHeight w:val="74"/>
        </w:trPr>
        <w:tc>
          <w:tcPr>
            <w:tcW w:w="1985" w:type="dxa"/>
            <w:vMerge/>
          </w:tcPr>
          <w:p w14:paraId="14068966" w14:textId="77777777" w:rsidR="00B45075" w:rsidRPr="004267BF" w:rsidRDefault="00B45075" w:rsidP="00421C1E">
            <w:pPr>
              <w:spacing w:before="40" w:after="40" w:line="276" w:lineRule="auto"/>
              <w:rPr>
                <w:rFonts w:asciiTheme="majorHAnsi" w:hAnsiTheme="majorHAnsi" w:cs="Arial"/>
                <w:sz w:val="20"/>
                <w:szCs w:val="20"/>
              </w:rPr>
            </w:pPr>
          </w:p>
        </w:tc>
        <w:tc>
          <w:tcPr>
            <w:tcW w:w="4073" w:type="dxa"/>
          </w:tcPr>
          <w:p w14:paraId="59D1C61A" w14:textId="77777777" w:rsidR="00B45075" w:rsidRPr="004267BF"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6.3. Deliver the conference report</w:t>
            </w:r>
          </w:p>
        </w:tc>
        <w:tc>
          <w:tcPr>
            <w:tcW w:w="1974" w:type="dxa"/>
          </w:tcPr>
          <w:p w14:paraId="5FA9BF31" w14:textId="77777777" w:rsidR="00B45075" w:rsidRPr="004267BF" w:rsidRDefault="00B45075" w:rsidP="00421C1E">
            <w:pPr>
              <w:spacing w:before="40" w:after="40" w:line="276" w:lineRule="auto"/>
              <w:rPr>
                <w:rFonts w:asciiTheme="majorHAnsi" w:hAnsiTheme="majorHAnsi" w:cs="Arial"/>
                <w:sz w:val="20"/>
                <w:szCs w:val="20"/>
              </w:rPr>
            </w:pPr>
          </w:p>
        </w:tc>
        <w:tc>
          <w:tcPr>
            <w:tcW w:w="1829" w:type="dxa"/>
          </w:tcPr>
          <w:p w14:paraId="0E189C49" w14:textId="77777777" w:rsidR="00B45075" w:rsidRPr="00ED4328" w:rsidRDefault="00B45075" w:rsidP="004267BF">
            <w:pPr>
              <w:spacing w:before="40" w:after="40" w:line="276" w:lineRule="auto"/>
              <w:rPr>
                <w:rFonts w:asciiTheme="majorHAnsi" w:hAnsiTheme="majorHAnsi" w:cs="Arial"/>
                <w:sz w:val="20"/>
                <w:szCs w:val="20"/>
              </w:rPr>
            </w:pPr>
          </w:p>
        </w:tc>
        <w:tc>
          <w:tcPr>
            <w:tcW w:w="1833" w:type="dxa"/>
            <w:vMerge/>
          </w:tcPr>
          <w:p w14:paraId="61305C0F" w14:textId="77777777" w:rsidR="00B45075" w:rsidRPr="00ED4328" w:rsidRDefault="00B45075" w:rsidP="00421C1E">
            <w:pPr>
              <w:spacing w:before="40" w:after="40" w:line="276" w:lineRule="auto"/>
              <w:rPr>
                <w:rFonts w:asciiTheme="majorHAnsi" w:hAnsiTheme="majorHAnsi" w:cs="Arial"/>
                <w:sz w:val="20"/>
                <w:szCs w:val="20"/>
              </w:rPr>
            </w:pPr>
          </w:p>
        </w:tc>
        <w:tc>
          <w:tcPr>
            <w:tcW w:w="1916" w:type="dxa"/>
          </w:tcPr>
          <w:p w14:paraId="1748867D" w14:textId="77777777" w:rsidR="00B45075" w:rsidRPr="004267BF" w:rsidRDefault="00B45075" w:rsidP="00421C1E">
            <w:pPr>
              <w:spacing w:before="40" w:after="40" w:line="276" w:lineRule="auto"/>
              <w:rPr>
                <w:rFonts w:asciiTheme="majorHAnsi" w:hAnsiTheme="majorHAnsi" w:cs="Arial"/>
                <w:sz w:val="20"/>
                <w:szCs w:val="20"/>
              </w:rPr>
            </w:pPr>
            <w:r>
              <w:rPr>
                <w:rFonts w:asciiTheme="majorHAnsi" w:hAnsiTheme="majorHAnsi" w:cs="Arial"/>
                <w:sz w:val="20"/>
                <w:szCs w:val="20"/>
                <w:lang w:val="en-GB"/>
              </w:rPr>
              <w:t>CTCN</w:t>
            </w:r>
          </w:p>
        </w:tc>
      </w:tr>
    </w:tbl>
    <w:p w14:paraId="70C97439" w14:textId="77777777" w:rsidR="009D2A90" w:rsidRPr="004267BF" w:rsidRDefault="009D2A90">
      <w:pPr>
        <w:rPr>
          <w:rFonts w:ascii="Times New Roman" w:hAnsi="Times New Roman" w:cs="Times New Roman"/>
          <w:sz w:val="22"/>
          <w:szCs w:val="22"/>
        </w:rPr>
      </w:pPr>
    </w:p>
    <w:sectPr w:rsidR="009D2A90" w:rsidRPr="004267BF" w:rsidSect="005D4626">
      <w:pgSz w:w="16840" w:h="11901" w:orient="landscape"/>
      <w:pgMar w:top="1440" w:right="851" w:bottom="1440" w:left="1673"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381ED3" w15:done="0"/>
  <w15:commentEx w15:paraId="15C736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D798D" w14:textId="77777777" w:rsidR="004A4B9C" w:rsidRDefault="004A4B9C" w:rsidP="005219E4">
      <w:pPr>
        <w:spacing w:after="0"/>
      </w:pPr>
      <w:r>
        <w:separator/>
      </w:r>
    </w:p>
  </w:endnote>
  <w:endnote w:type="continuationSeparator" w:id="0">
    <w:p w14:paraId="0D902347" w14:textId="77777777" w:rsidR="004A4B9C" w:rsidRDefault="004A4B9C" w:rsidP="00521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7854" w14:textId="77777777" w:rsidR="004A4B9C" w:rsidRDefault="004A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16980"/>
      <w:docPartObj>
        <w:docPartGallery w:val="Page Numbers (Bottom of Page)"/>
        <w:docPartUnique/>
      </w:docPartObj>
    </w:sdtPr>
    <w:sdtContent>
      <w:p w14:paraId="1A6EE9D4" w14:textId="7ED44C5E" w:rsidR="004A4B9C" w:rsidRDefault="004A4B9C">
        <w:pPr>
          <w:pStyle w:val="Footer"/>
          <w:jc w:val="center"/>
        </w:pPr>
        <w:r>
          <w:rPr>
            <w:lang w:val="en-GB"/>
          </w:rPr>
          <w:fldChar w:fldCharType="begin"/>
        </w:r>
        <w:r>
          <w:rPr>
            <w:lang w:val="en-GB"/>
          </w:rPr>
          <w:instrText>PAGE   \* MERGEFORMAT</w:instrText>
        </w:r>
        <w:r>
          <w:rPr>
            <w:lang w:val="en-GB"/>
          </w:rPr>
          <w:fldChar w:fldCharType="separate"/>
        </w:r>
        <w:r w:rsidR="009F218C">
          <w:rPr>
            <w:noProof/>
            <w:lang w:val="en-GB"/>
          </w:rPr>
          <w:t>8</w:t>
        </w:r>
        <w:r>
          <w:rPr>
            <w:lang w:val="en-GB"/>
          </w:rPr>
          <w:fldChar w:fldCharType="end"/>
        </w:r>
      </w:p>
    </w:sdtContent>
  </w:sdt>
  <w:p w14:paraId="2C0D2EA7" w14:textId="77777777" w:rsidR="004A4B9C" w:rsidRDefault="004A4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E8574" w14:textId="77777777" w:rsidR="004A4B9C" w:rsidRDefault="004A4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74C4A" w14:textId="77777777" w:rsidR="004A4B9C" w:rsidRDefault="004A4B9C" w:rsidP="005219E4">
      <w:pPr>
        <w:spacing w:after="0"/>
      </w:pPr>
      <w:r>
        <w:separator/>
      </w:r>
    </w:p>
  </w:footnote>
  <w:footnote w:type="continuationSeparator" w:id="0">
    <w:p w14:paraId="3A53C438" w14:textId="77777777" w:rsidR="004A4B9C" w:rsidRDefault="004A4B9C" w:rsidP="005219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E1E74" w14:textId="77777777" w:rsidR="004A4B9C" w:rsidRDefault="004A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509"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4A4B9C" w14:paraId="4B58B86E" w14:textId="77777777" w:rsidTr="00655EC7">
      <w:tc>
        <w:tcPr>
          <w:tcW w:w="5353" w:type="dxa"/>
          <w:shd w:val="clear" w:color="auto" w:fill="EDE7FF"/>
        </w:tcPr>
        <w:p w14:paraId="13C44EAA" w14:textId="77777777" w:rsidR="004A4B9C" w:rsidRDefault="004A4B9C" w:rsidP="00655EC7">
          <w:pPr>
            <w:spacing w:before="120" w:after="120"/>
            <w:jc w:val="right"/>
            <w:rPr>
              <w:b/>
            </w:rPr>
          </w:pPr>
          <w:r>
            <w:rPr>
              <w:b/>
              <w:bCs/>
              <w:lang w:val="en-GB"/>
            </w:rPr>
            <w:t>CTCN Technical Assistance</w:t>
          </w:r>
        </w:p>
        <w:p w14:paraId="6D0A9DE8" w14:textId="77777777" w:rsidR="004A4B9C" w:rsidRPr="00D46D43" w:rsidRDefault="004A4B9C" w:rsidP="004126D2">
          <w:pPr>
            <w:spacing w:before="120" w:after="120"/>
            <w:jc w:val="right"/>
          </w:pPr>
          <w:r>
            <w:rPr>
              <w:lang w:val="en-GB"/>
            </w:rPr>
            <w:t xml:space="preserve">Response Plan </w:t>
          </w:r>
        </w:p>
      </w:tc>
    </w:tr>
  </w:tbl>
  <w:p w14:paraId="25A82436" w14:textId="77777777" w:rsidR="004A4B9C" w:rsidRDefault="004A4B9C">
    <w:pPr>
      <w:pStyle w:val="Header"/>
    </w:pPr>
    <w:r>
      <w:rPr>
        <w:noProof/>
        <w:lang w:val="en-GB" w:eastAsia="en-GB"/>
      </w:rPr>
      <w:drawing>
        <wp:anchor distT="0" distB="0" distL="114300" distR="114300" simplePos="0" relativeHeight="251658240" behindDoc="1" locked="0" layoutInCell="0" allowOverlap="1" wp14:anchorId="1B96FD7F" wp14:editId="0A87BC12">
          <wp:simplePos x="0" y="0"/>
          <wp:positionH relativeFrom="column">
            <wp:posOffset>-220134</wp:posOffset>
          </wp:positionH>
          <wp:positionV relativeFrom="paragraph">
            <wp:posOffset>-149649</wp:posOffset>
          </wp:positionV>
          <wp:extent cx="2149475" cy="555625"/>
          <wp:effectExtent l="0" t="0" r="9525"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2BFE" w14:textId="77777777" w:rsidR="004A4B9C" w:rsidRDefault="004A4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2F9"/>
    <w:multiLevelType w:val="hybridMultilevel"/>
    <w:tmpl w:val="6590A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772FAB"/>
    <w:multiLevelType w:val="hybridMultilevel"/>
    <w:tmpl w:val="0852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6BC0B72"/>
    <w:multiLevelType w:val="hybridMultilevel"/>
    <w:tmpl w:val="F3A009D0"/>
    <w:lvl w:ilvl="0" w:tplc="0C882C8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E38"/>
    <w:multiLevelType w:val="hybridMultilevel"/>
    <w:tmpl w:val="9AF071E0"/>
    <w:lvl w:ilvl="0" w:tplc="0046D0C4">
      <w:start w:val="1"/>
      <w:numFmt w:val="bullet"/>
      <w:lvlText w:val="•"/>
      <w:lvlJc w:val="left"/>
      <w:pPr>
        <w:tabs>
          <w:tab w:val="num" w:pos="720"/>
        </w:tabs>
        <w:ind w:left="720" w:hanging="360"/>
      </w:pPr>
      <w:rPr>
        <w:rFonts w:ascii="Arial" w:hAnsi="Arial" w:hint="default"/>
      </w:rPr>
    </w:lvl>
    <w:lvl w:ilvl="1" w:tplc="6A608530" w:tentative="1">
      <w:start w:val="1"/>
      <w:numFmt w:val="bullet"/>
      <w:lvlText w:val="•"/>
      <w:lvlJc w:val="left"/>
      <w:pPr>
        <w:tabs>
          <w:tab w:val="num" w:pos="1440"/>
        </w:tabs>
        <w:ind w:left="1440" w:hanging="360"/>
      </w:pPr>
      <w:rPr>
        <w:rFonts w:ascii="Arial" w:hAnsi="Arial" w:hint="default"/>
      </w:rPr>
    </w:lvl>
    <w:lvl w:ilvl="2" w:tplc="226AC50E" w:tentative="1">
      <w:start w:val="1"/>
      <w:numFmt w:val="bullet"/>
      <w:lvlText w:val="•"/>
      <w:lvlJc w:val="left"/>
      <w:pPr>
        <w:tabs>
          <w:tab w:val="num" w:pos="2160"/>
        </w:tabs>
        <w:ind w:left="2160" w:hanging="360"/>
      </w:pPr>
      <w:rPr>
        <w:rFonts w:ascii="Arial" w:hAnsi="Arial" w:hint="default"/>
      </w:rPr>
    </w:lvl>
    <w:lvl w:ilvl="3" w:tplc="4F029136" w:tentative="1">
      <w:start w:val="1"/>
      <w:numFmt w:val="bullet"/>
      <w:lvlText w:val="•"/>
      <w:lvlJc w:val="left"/>
      <w:pPr>
        <w:tabs>
          <w:tab w:val="num" w:pos="2880"/>
        </w:tabs>
        <w:ind w:left="2880" w:hanging="360"/>
      </w:pPr>
      <w:rPr>
        <w:rFonts w:ascii="Arial" w:hAnsi="Arial" w:hint="default"/>
      </w:rPr>
    </w:lvl>
    <w:lvl w:ilvl="4" w:tplc="69147A0C" w:tentative="1">
      <w:start w:val="1"/>
      <w:numFmt w:val="bullet"/>
      <w:lvlText w:val="•"/>
      <w:lvlJc w:val="left"/>
      <w:pPr>
        <w:tabs>
          <w:tab w:val="num" w:pos="3600"/>
        </w:tabs>
        <w:ind w:left="3600" w:hanging="360"/>
      </w:pPr>
      <w:rPr>
        <w:rFonts w:ascii="Arial" w:hAnsi="Arial" w:hint="default"/>
      </w:rPr>
    </w:lvl>
    <w:lvl w:ilvl="5" w:tplc="BD32C480" w:tentative="1">
      <w:start w:val="1"/>
      <w:numFmt w:val="bullet"/>
      <w:lvlText w:val="•"/>
      <w:lvlJc w:val="left"/>
      <w:pPr>
        <w:tabs>
          <w:tab w:val="num" w:pos="4320"/>
        </w:tabs>
        <w:ind w:left="4320" w:hanging="360"/>
      </w:pPr>
      <w:rPr>
        <w:rFonts w:ascii="Arial" w:hAnsi="Arial" w:hint="default"/>
      </w:rPr>
    </w:lvl>
    <w:lvl w:ilvl="6" w:tplc="F65CF33A" w:tentative="1">
      <w:start w:val="1"/>
      <w:numFmt w:val="bullet"/>
      <w:lvlText w:val="•"/>
      <w:lvlJc w:val="left"/>
      <w:pPr>
        <w:tabs>
          <w:tab w:val="num" w:pos="5040"/>
        </w:tabs>
        <w:ind w:left="5040" w:hanging="360"/>
      </w:pPr>
      <w:rPr>
        <w:rFonts w:ascii="Arial" w:hAnsi="Arial" w:hint="default"/>
      </w:rPr>
    </w:lvl>
    <w:lvl w:ilvl="7" w:tplc="C3CAB078" w:tentative="1">
      <w:start w:val="1"/>
      <w:numFmt w:val="bullet"/>
      <w:lvlText w:val="•"/>
      <w:lvlJc w:val="left"/>
      <w:pPr>
        <w:tabs>
          <w:tab w:val="num" w:pos="5760"/>
        </w:tabs>
        <w:ind w:left="5760" w:hanging="360"/>
      </w:pPr>
      <w:rPr>
        <w:rFonts w:ascii="Arial" w:hAnsi="Arial" w:hint="default"/>
      </w:rPr>
    </w:lvl>
    <w:lvl w:ilvl="8" w:tplc="6B8AFB14" w:tentative="1">
      <w:start w:val="1"/>
      <w:numFmt w:val="bullet"/>
      <w:lvlText w:val="•"/>
      <w:lvlJc w:val="left"/>
      <w:pPr>
        <w:tabs>
          <w:tab w:val="num" w:pos="6480"/>
        </w:tabs>
        <w:ind w:left="6480" w:hanging="360"/>
      </w:pPr>
      <w:rPr>
        <w:rFonts w:ascii="Arial" w:hAnsi="Arial" w:hint="default"/>
      </w:rPr>
    </w:lvl>
  </w:abstractNum>
  <w:abstractNum w:abstractNumId="4">
    <w:nsid w:val="08821DAE"/>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DF9359E"/>
    <w:multiLevelType w:val="multilevel"/>
    <w:tmpl w:val="7D5CD0B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A544386"/>
    <w:multiLevelType w:val="hybridMultilevel"/>
    <w:tmpl w:val="60D8A4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F925BB1"/>
    <w:multiLevelType w:val="hybridMultilevel"/>
    <w:tmpl w:val="35E05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2DF78E5"/>
    <w:multiLevelType w:val="multilevel"/>
    <w:tmpl w:val="64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952D1"/>
    <w:multiLevelType w:val="hybridMultilevel"/>
    <w:tmpl w:val="C1DA3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EC2A58"/>
    <w:multiLevelType w:val="multilevel"/>
    <w:tmpl w:val="5E7AD57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092453"/>
    <w:multiLevelType w:val="hybridMultilevel"/>
    <w:tmpl w:val="AD680AEC"/>
    <w:lvl w:ilvl="0" w:tplc="4E021E88">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A3711C3"/>
    <w:multiLevelType w:val="hybridMultilevel"/>
    <w:tmpl w:val="33D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FB1829"/>
    <w:multiLevelType w:val="hybridMultilevel"/>
    <w:tmpl w:val="43CA1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3BD7BCC"/>
    <w:multiLevelType w:val="hybridMultilevel"/>
    <w:tmpl w:val="26CCA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7E863F5"/>
    <w:multiLevelType w:val="multilevel"/>
    <w:tmpl w:val="9FDC61C2"/>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C2278D0"/>
    <w:multiLevelType w:val="hybridMultilevel"/>
    <w:tmpl w:val="FFF8999E"/>
    <w:lvl w:ilvl="0" w:tplc="0C44CFAE">
      <w:numFmt w:val="bullet"/>
      <w:lvlText w:val="-"/>
      <w:lvlJc w:val="left"/>
      <w:pPr>
        <w:ind w:left="720" w:hanging="360"/>
      </w:pPr>
      <w:rPr>
        <w:rFonts w:ascii="Calibri" w:eastAsiaTheme="minorEastAsia"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FE553A8"/>
    <w:multiLevelType w:val="hybridMultilevel"/>
    <w:tmpl w:val="A9E0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56E10"/>
    <w:multiLevelType w:val="hybridMultilevel"/>
    <w:tmpl w:val="3C6C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17797E"/>
    <w:multiLevelType w:val="hybridMultilevel"/>
    <w:tmpl w:val="3E28D3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3182206"/>
    <w:multiLevelType w:val="hybridMultilevel"/>
    <w:tmpl w:val="04E04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47739E8"/>
    <w:multiLevelType w:val="hybridMultilevel"/>
    <w:tmpl w:val="0858852E"/>
    <w:lvl w:ilvl="0" w:tplc="248EC076">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8424771"/>
    <w:multiLevelType w:val="hybridMultilevel"/>
    <w:tmpl w:val="D8C486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F90992"/>
    <w:multiLevelType w:val="hybridMultilevel"/>
    <w:tmpl w:val="A23C4C46"/>
    <w:lvl w:ilvl="0" w:tplc="B27E1EAA">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A3C2E64"/>
    <w:multiLevelType w:val="hybridMultilevel"/>
    <w:tmpl w:val="43E414CC"/>
    <w:lvl w:ilvl="0" w:tplc="95E27566">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85EBD"/>
    <w:multiLevelType w:val="hybridMultilevel"/>
    <w:tmpl w:val="9B547A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E4F02B3"/>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25"/>
  </w:num>
  <w:num w:numId="3">
    <w:abstractNumId w:val="22"/>
  </w:num>
  <w:num w:numId="4">
    <w:abstractNumId w:val="2"/>
  </w:num>
  <w:num w:numId="5">
    <w:abstractNumId w:val="5"/>
  </w:num>
  <w:num w:numId="6">
    <w:abstractNumId w:val="10"/>
  </w:num>
  <w:num w:numId="7">
    <w:abstractNumId w:val="24"/>
  </w:num>
  <w:num w:numId="8">
    <w:abstractNumId w:val="8"/>
  </w:num>
  <w:num w:numId="9">
    <w:abstractNumId w:val="18"/>
  </w:num>
  <w:num w:numId="10">
    <w:abstractNumId w:val="17"/>
  </w:num>
  <w:num w:numId="11">
    <w:abstractNumId w:val="26"/>
  </w:num>
  <w:num w:numId="12">
    <w:abstractNumId w:val="4"/>
  </w:num>
  <w:num w:numId="13">
    <w:abstractNumId w:val="16"/>
  </w:num>
  <w:num w:numId="14">
    <w:abstractNumId w:val="20"/>
  </w:num>
  <w:num w:numId="15">
    <w:abstractNumId w:val="7"/>
  </w:num>
  <w:num w:numId="16">
    <w:abstractNumId w:val="1"/>
  </w:num>
  <w:num w:numId="17">
    <w:abstractNumId w:val="14"/>
  </w:num>
  <w:num w:numId="18">
    <w:abstractNumId w:val="13"/>
  </w:num>
  <w:num w:numId="19">
    <w:abstractNumId w:val="11"/>
  </w:num>
  <w:num w:numId="20">
    <w:abstractNumId w:val="9"/>
  </w:num>
  <w:num w:numId="21">
    <w:abstractNumId w:val="6"/>
  </w:num>
  <w:num w:numId="22">
    <w:abstractNumId w:val="19"/>
  </w:num>
  <w:num w:numId="23">
    <w:abstractNumId w:val="0"/>
  </w:num>
  <w:num w:numId="24">
    <w:abstractNumId w:val="21"/>
  </w:num>
  <w:num w:numId="25">
    <w:abstractNumId w:val="23"/>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da-DK" w:vendorID="64" w:dllVersion="131078" w:nlCheck="1" w:checkStyle="0"/>
  <w:activeWritingStyle w:appName="MSWord" w:lang="de-DE" w:vendorID="64" w:dllVersion="131078" w:nlCheck="1" w:checkStyle="1"/>
  <w:activeWritingStyle w:appName="MSWord" w:lang="es-ES" w:vendorID="64" w:dllVersion="131078" w:nlCheck="1" w:checkStyle="1"/>
  <w:activeWritingStyle w:appName="MSWord" w:lang="en-US" w:vendorID="64" w:dllVersion="131078" w:nlCheck="1" w:checkStyle="0"/>
  <w:activeWritingStyle w:appName="MSWord" w:lang="es-ES_tradnl" w:vendorID="64" w:dllVersion="131078" w:nlCheck="1" w:checkStyle="1"/>
  <w:activeWritingStyle w:appName="MSWord" w:lang="es-EC" w:vendorID="64" w:dllVersion="131078" w:nlCheck="1" w:checkStyle="1"/>
  <w:activeWritingStyle w:appName="MSWord" w:lang="fr-FR" w:vendorID="64" w:dllVersion="131078" w:nlCheck="1" w:checkStyle="1"/>
  <w:activeWritingStyle w:appName="MSWord" w:lang="en-GB" w:vendorID="64" w:dllVersion="131078" w:nlCheck="1" w:checkStyle="0"/>
  <w:activeWritingStyle w:appName="MSWord" w:lang="es-AR" w:vendorID="64" w:dllVersion="131078" w:nlCheck="1" w:checkStyle="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2029A"/>
    <w:rsid w:val="00020B25"/>
    <w:rsid w:val="00022E0E"/>
    <w:rsid w:val="000326F4"/>
    <w:rsid w:val="000343DE"/>
    <w:rsid w:val="00035AFB"/>
    <w:rsid w:val="00044BAF"/>
    <w:rsid w:val="0004660E"/>
    <w:rsid w:val="000467B5"/>
    <w:rsid w:val="00050605"/>
    <w:rsid w:val="00053028"/>
    <w:rsid w:val="000552EA"/>
    <w:rsid w:val="0006592C"/>
    <w:rsid w:val="0006725D"/>
    <w:rsid w:val="00067820"/>
    <w:rsid w:val="000770BF"/>
    <w:rsid w:val="00080591"/>
    <w:rsid w:val="00081319"/>
    <w:rsid w:val="000824C2"/>
    <w:rsid w:val="00086DF3"/>
    <w:rsid w:val="0008703E"/>
    <w:rsid w:val="00092917"/>
    <w:rsid w:val="00092D3F"/>
    <w:rsid w:val="00092D6D"/>
    <w:rsid w:val="000A1377"/>
    <w:rsid w:val="000C389C"/>
    <w:rsid w:val="000C4DB5"/>
    <w:rsid w:val="000C699E"/>
    <w:rsid w:val="000D5750"/>
    <w:rsid w:val="000E103A"/>
    <w:rsid w:val="000E44B3"/>
    <w:rsid w:val="000E7431"/>
    <w:rsid w:val="000F529E"/>
    <w:rsid w:val="000F5FDE"/>
    <w:rsid w:val="0010147D"/>
    <w:rsid w:val="00101908"/>
    <w:rsid w:val="00103B24"/>
    <w:rsid w:val="0011706D"/>
    <w:rsid w:val="0012621E"/>
    <w:rsid w:val="00127984"/>
    <w:rsid w:val="00131C16"/>
    <w:rsid w:val="001339FB"/>
    <w:rsid w:val="001348CE"/>
    <w:rsid w:val="001360F6"/>
    <w:rsid w:val="0014219F"/>
    <w:rsid w:val="00145849"/>
    <w:rsid w:val="0014681E"/>
    <w:rsid w:val="00153C6F"/>
    <w:rsid w:val="00154854"/>
    <w:rsid w:val="00164007"/>
    <w:rsid w:val="00165E70"/>
    <w:rsid w:val="00170AD8"/>
    <w:rsid w:val="001757F8"/>
    <w:rsid w:val="001809D9"/>
    <w:rsid w:val="00180E2E"/>
    <w:rsid w:val="0018432B"/>
    <w:rsid w:val="00184D92"/>
    <w:rsid w:val="0018736E"/>
    <w:rsid w:val="001874F6"/>
    <w:rsid w:val="0019570D"/>
    <w:rsid w:val="00196624"/>
    <w:rsid w:val="001A5EED"/>
    <w:rsid w:val="001B4D06"/>
    <w:rsid w:val="001B5A51"/>
    <w:rsid w:val="001C03C4"/>
    <w:rsid w:val="001C232B"/>
    <w:rsid w:val="001C6FA0"/>
    <w:rsid w:val="001D0FFB"/>
    <w:rsid w:val="001D5BE8"/>
    <w:rsid w:val="001D7A29"/>
    <w:rsid w:val="001E2793"/>
    <w:rsid w:val="001E2BA5"/>
    <w:rsid w:val="001E7FDE"/>
    <w:rsid w:val="001F1B90"/>
    <w:rsid w:val="001F3F43"/>
    <w:rsid w:val="001F5CF7"/>
    <w:rsid w:val="00202A67"/>
    <w:rsid w:val="00202B9E"/>
    <w:rsid w:val="002047E6"/>
    <w:rsid w:val="00211CE4"/>
    <w:rsid w:val="00212386"/>
    <w:rsid w:val="002143B9"/>
    <w:rsid w:val="0022235F"/>
    <w:rsid w:val="00230B2E"/>
    <w:rsid w:val="00230DE3"/>
    <w:rsid w:val="002332C0"/>
    <w:rsid w:val="00235524"/>
    <w:rsid w:val="0025288F"/>
    <w:rsid w:val="00252CAD"/>
    <w:rsid w:val="002559CF"/>
    <w:rsid w:val="00256343"/>
    <w:rsid w:val="00256A45"/>
    <w:rsid w:val="0025716A"/>
    <w:rsid w:val="00257387"/>
    <w:rsid w:val="00265211"/>
    <w:rsid w:val="00267F56"/>
    <w:rsid w:val="00276F57"/>
    <w:rsid w:val="0027771B"/>
    <w:rsid w:val="002815D8"/>
    <w:rsid w:val="0028305A"/>
    <w:rsid w:val="00283ECF"/>
    <w:rsid w:val="0028406B"/>
    <w:rsid w:val="00290FD4"/>
    <w:rsid w:val="00292F09"/>
    <w:rsid w:val="002A428C"/>
    <w:rsid w:val="002A461D"/>
    <w:rsid w:val="002B0D61"/>
    <w:rsid w:val="002B2C48"/>
    <w:rsid w:val="002B5783"/>
    <w:rsid w:val="002B746E"/>
    <w:rsid w:val="002C6B67"/>
    <w:rsid w:val="002C6E46"/>
    <w:rsid w:val="002D494C"/>
    <w:rsid w:val="002D590F"/>
    <w:rsid w:val="002F18B7"/>
    <w:rsid w:val="002F2BC1"/>
    <w:rsid w:val="002F2F60"/>
    <w:rsid w:val="002F5DD7"/>
    <w:rsid w:val="002F67CA"/>
    <w:rsid w:val="002F7ECD"/>
    <w:rsid w:val="003023D2"/>
    <w:rsid w:val="003043A4"/>
    <w:rsid w:val="00306BE6"/>
    <w:rsid w:val="00307BDE"/>
    <w:rsid w:val="00313862"/>
    <w:rsid w:val="00315D7C"/>
    <w:rsid w:val="003200C4"/>
    <w:rsid w:val="0032569F"/>
    <w:rsid w:val="00327A07"/>
    <w:rsid w:val="00334DF1"/>
    <w:rsid w:val="00342AF7"/>
    <w:rsid w:val="00351929"/>
    <w:rsid w:val="00351AAB"/>
    <w:rsid w:val="00355F19"/>
    <w:rsid w:val="00357857"/>
    <w:rsid w:val="003601FE"/>
    <w:rsid w:val="00366FEE"/>
    <w:rsid w:val="00372083"/>
    <w:rsid w:val="00382D64"/>
    <w:rsid w:val="003863AA"/>
    <w:rsid w:val="003918AA"/>
    <w:rsid w:val="0039357F"/>
    <w:rsid w:val="00397A30"/>
    <w:rsid w:val="003A04D7"/>
    <w:rsid w:val="003A0ABA"/>
    <w:rsid w:val="003A49C7"/>
    <w:rsid w:val="003A6143"/>
    <w:rsid w:val="003B1816"/>
    <w:rsid w:val="003B262A"/>
    <w:rsid w:val="003B2AF1"/>
    <w:rsid w:val="003B5A85"/>
    <w:rsid w:val="003B7D16"/>
    <w:rsid w:val="003C025A"/>
    <w:rsid w:val="003C12FC"/>
    <w:rsid w:val="003D1DF7"/>
    <w:rsid w:val="003D596B"/>
    <w:rsid w:val="003F4477"/>
    <w:rsid w:val="003F56DA"/>
    <w:rsid w:val="003F6B07"/>
    <w:rsid w:val="00400D29"/>
    <w:rsid w:val="0041143B"/>
    <w:rsid w:val="00411E5D"/>
    <w:rsid w:val="004126D2"/>
    <w:rsid w:val="00420DFE"/>
    <w:rsid w:val="00421C1E"/>
    <w:rsid w:val="004244C5"/>
    <w:rsid w:val="00426288"/>
    <w:rsid w:val="0042670F"/>
    <w:rsid w:val="004267BF"/>
    <w:rsid w:val="004277D4"/>
    <w:rsid w:val="00427BDD"/>
    <w:rsid w:val="00436E4E"/>
    <w:rsid w:val="00455BBF"/>
    <w:rsid w:val="00456134"/>
    <w:rsid w:val="00466D2A"/>
    <w:rsid w:val="00472BF4"/>
    <w:rsid w:val="00472BFC"/>
    <w:rsid w:val="004824C9"/>
    <w:rsid w:val="004840CC"/>
    <w:rsid w:val="004855A9"/>
    <w:rsid w:val="00485A7B"/>
    <w:rsid w:val="00486686"/>
    <w:rsid w:val="004921D3"/>
    <w:rsid w:val="00492753"/>
    <w:rsid w:val="00497E6B"/>
    <w:rsid w:val="004A4146"/>
    <w:rsid w:val="004A4B9C"/>
    <w:rsid w:val="004A6525"/>
    <w:rsid w:val="004A6D9D"/>
    <w:rsid w:val="004B4835"/>
    <w:rsid w:val="004B4CA4"/>
    <w:rsid w:val="004C4EDE"/>
    <w:rsid w:val="004C7FBF"/>
    <w:rsid w:val="004D4C15"/>
    <w:rsid w:val="004E771B"/>
    <w:rsid w:val="004F2F27"/>
    <w:rsid w:val="004F5934"/>
    <w:rsid w:val="00510122"/>
    <w:rsid w:val="005108B7"/>
    <w:rsid w:val="0051614C"/>
    <w:rsid w:val="005162CF"/>
    <w:rsid w:val="005219E4"/>
    <w:rsid w:val="00523888"/>
    <w:rsid w:val="00525AC6"/>
    <w:rsid w:val="00532AD6"/>
    <w:rsid w:val="0053509A"/>
    <w:rsid w:val="005414B8"/>
    <w:rsid w:val="00557BCC"/>
    <w:rsid w:val="00560754"/>
    <w:rsid w:val="00562708"/>
    <w:rsid w:val="00564138"/>
    <w:rsid w:val="00573149"/>
    <w:rsid w:val="00575F91"/>
    <w:rsid w:val="00580DAA"/>
    <w:rsid w:val="00586FFC"/>
    <w:rsid w:val="00597DB0"/>
    <w:rsid w:val="005A080F"/>
    <w:rsid w:val="005A2222"/>
    <w:rsid w:val="005A2EFC"/>
    <w:rsid w:val="005A2FC6"/>
    <w:rsid w:val="005A404D"/>
    <w:rsid w:val="005A6F66"/>
    <w:rsid w:val="005B0575"/>
    <w:rsid w:val="005B3557"/>
    <w:rsid w:val="005B3BB9"/>
    <w:rsid w:val="005B47BE"/>
    <w:rsid w:val="005C04D5"/>
    <w:rsid w:val="005C6934"/>
    <w:rsid w:val="005D0B7C"/>
    <w:rsid w:val="005D4626"/>
    <w:rsid w:val="005D4708"/>
    <w:rsid w:val="005D4CBB"/>
    <w:rsid w:val="005E0F77"/>
    <w:rsid w:val="005E1B56"/>
    <w:rsid w:val="005E6FB1"/>
    <w:rsid w:val="005E7B9A"/>
    <w:rsid w:val="005F2D95"/>
    <w:rsid w:val="005F5747"/>
    <w:rsid w:val="005F61AB"/>
    <w:rsid w:val="005F6354"/>
    <w:rsid w:val="005F7448"/>
    <w:rsid w:val="005F7DE1"/>
    <w:rsid w:val="00603991"/>
    <w:rsid w:val="006064E3"/>
    <w:rsid w:val="0061088D"/>
    <w:rsid w:val="00611304"/>
    <w:rsid w:val="00613CB5"/>
    <w:rsid w:val="00614175"/>
    <w:rsid w:val="006144FB"/>
    <w:rsid w:val="00636558"/>
    <w:rsid w:val="00637285"/>
    <w:rsid w:val="00641168"/>
    <w:rsid w:val="00647EA9"/>
    <w:rsid w:val="00650E81"/>
    <w:rsid w:val="0065184B"/>
    <w:rsid w:val="0065420E"/>
    <w:rsid w:val="00655EC7"/>
    <w:rsid w:val="00661F22"/>
    <w:rsid w:val="0066390F"/>
    <w:rsid w:val="00676206"/>
    <w:rsid w:val="00677415"/>
    <w:rsid w:val="0068287C"/>
    <w:rsid w:val="006835A9"/>
    <w:rsid w:val="00684E3E"/>
    <w:rsid w:val="00685ED2"/>
    <w:rsid w:val="00687317"/>
    <w:rsid w:val="00687EB7"/>
    <w:rsid w:val="00694920"/>
    <w:rsid w:val="00695521"/>
    <w:rsid w:val="006A794C"/>
    <w:rsid w:val="006B0652"/>
    <w:rsid w:val="006B0890"/>
    <w:rsid w:val="006B2A7D"/>
    <w:rsid w:val="006B3D96"/>
    <w:rsid w:val="006B456F"/>
    <w:rsid w:val="006B4B42"/>
    <w:rsid w:val="006C2CF1"/>
    <w:rsid w:val="006C67A0"/>
    <w:rsid w:val="006D1D55"/>
    <w:rsid w:val="006E57B0"/>
    <w:rsid w:val="006E7F8C"/>
    <w:rsid w:val="006F231E"/>
    <w:rsid w:val="006F7973"/>
    <w:rsid w:val="00707D15"/>
    <w:rsid w:val="00713A72"/>
    <w:rsid w:val="00714EAA"/>
    <w:rsid w:val="00732339"/>
    <w:rsid w:val="007323E7"/>
    <w:rsid w:val="00742A26"/>
    <w:rsid w:val="00746E9D"/>
    <w:rsid w:val="007528F3"/>
    <w:rsid w:val="007542ED"/>
    <w:rsid w:val="00762E59"/>
    <w:rsid w:val="0076470C"/>
    <w:rsid w:val="00771576"/>
    <w:rsid w:val="0077230D"/>
    <w:rsid w:val="007801E6"/>
    <w:rsid w:val="007863E2"/>
    <w:rsid w:val="007868F3"/>
    <w:rsid w:val="00786FCA"/>
    <w:rsid w:val="007931E1"/>
    <w:rsid w:val="00796D2C"/>
    <w:rsid w:val="007A183B"/>
    <w:rsid w:val="007A1E93"/>
    <w:rsid w:val="007A5714"/>
    <w:rsid w:val="007B2C22"/>
    <w:rsid w:val="007B35F8"/>
    <w:rsid w:val="007B46A0"/>
    <w:rsid w:val="007C1A72"/>
    <w:rsid w:val="007C5071"/>
    <w:rsid w:val="007D06B5"/>
    <w:rsid w:val="007D0D83"/>
    <w:rsid w:val="007E5C5F"/>
    <w:rsid w:val="007F093F"/>
    <w:rsid w:val="007F1E2E"/>
    <w:rsid w:val="007F2A60"/>
    <w:rsid w:val="007F34DD"/>
    <w:rsid w:val="007F5133"/>
    <w:rsid w:val="007F56F4"/>
    <w:rsid w:val="007F5DA2"/>
    <w:rsid w:val="007F6785"/>
    <w:rsid w:val="00801666"/>
    <w:rsid w:val="00802D5F"/>
    <w:rsid w:val="00803AED"/>
    <w:rsid w:val="008057F4"/>
    <w:rsid w:val="00812938"/>
    <w:rsid w:val="00814AAC"/>
    <w:rsid w:val="00815DE6"/>
    <w:rsid w:val="00817B1D"/>
    <w:rsid w:val="008201C1"/>
    <w:rsid w:val="008218F2"/>
    <w:rsid w:val="0082476C"/>
    <w:rsid w:val="00824FBD"/>
    <w:rsid w:val="00832D40"/>
    <w:rsid w:val="00833455"/>
    <w:rsid w:val="00833AF7"/>
    <w:rsid w:val="008346F5"/>
    <w:rsid w:val="00837291"/>
    <w:rsid w:val="00842A25"/>
    <w:rsid w:val="00842CC3"/>
    <w:rsid w:val="0084331F"/>
    <w:rsid w:val="008437C3"/>
    <w:rsid w:val="00846D77"/>
    <w:rsid w:val="00850B77"/>
    <w:rsid w:val="008526FF"/>
    <w:rsid w:val="0085390F"/>
    <w:rsid w:val="00864FA3"/>
    <w:rsid w:val="00866921"/>
    <w:rsid w:val="0087122E"/>
    <w:rsid w:val="00876463"/>
    <w:rsid w:val="00877DFB"/>
    <w:rsid w:val="008834D2"/>
    <w:rsid w:val="008847F7"/>
    <w:rsid w:val="0088695C"/>
    <w:rsid w:val="00887CE3"/>
    <w:rsid w:val="008A3967"/>
    <w:rsid w:val="008B43C1"/>
    <w:rsid w:val="008C2023"/>
    <w:rsid w:val="008C4B8C"/>
    <w:rsid w:val="008D32B1"/>
    <w:rsid w:val="008E2E94"/>
    <w:rsid w:val="008E2F0C"/>
    <w:rsid w:val="008E5C2B"/>
    <w:rsid w:val="008E7110"/>
    <w:rsid w:val="008F3C32"/>
    <w:rsid w:val="009023C7"/>
    <w:rsid w:val="0090419D"/>
    <w:rsid w:val="00904290"/>
    <w:rsid w:val="00912494"/>
    <w:rsid w:val="00917AA9"/>
    <w:rsid w:val="00930D9F"/>
    <w:rsid w:val="00932447"/>
    <w:rsid w:val="00936526"/>
    <w:rsid w:val="00936BC0"/>
    <w:rsid w:val="0095013E"/>
    <w:rsid w:val="00966407"/>
    <w:rsid w:val="00971102"/>
    <w:rsid w:val="00985215"/>
    <w:rsid w:val="00986416"/>
    <w:rsid w:val="00986EE7"/>
    <w:rsid w:val="009958A4"/>
    <w:rsid w:val="009A0FE1"/>
    <w:rsid w:val="009A1B75"/>
    <w:rsid w:val="009A35ED"/>
    <w:rsid w:val="009B0F61"/>
    <w:rsid w:val="009B3D9A"/>
    <w:rsid w:val="009B5CAD"/>
    <w:rsid w:val="009B6EFF"/>
    <w:rsid w:val="009C6259"/>
    <w:rsid w:val="009C7016"/>
    <w:rsid w:val="009C7F9B"/>
    <w:rsid w:val="009D2A90"/>
    <w:rsid w:val="009D5699"/>
    <w:rsid w:val="009D6C86"/>
    <w:rsid w:val="009E314B"/>
    <w:rsid w:val="009E3969"/>
    <w:rsid w:val="009E47C1"/>
    <w:rsid w:val="009E654C"/>
    <w:rsid w:val="009E7E2B"/>
    <w:rsid w:val="009F218C"/>
    <w:rsid w:val="009F43BF"/>
    <w:rsid w:val="009F7FBF"/>
    <w:rsid w:val="00A037EB"/>
    <w:rsid w:val="00A03E61"/>
    <w:rsid w:val="00A11737"/>
    <w:rsid w:val="00A1376A"/>
    <w:rsid w:val="00A22D87"/>
    <w:rsid w:val="00A475FA"/>
    <w:rsid w:val="00A51109"/>
    <w:rsid w:val="00A603E0"/>
    <w:rsid w:val="00A60A78"/>
    <w:rsid w:val="00A67DA7"/>
    <w:rsid w:val="00A703CA"/>
    <w:rsid w:val="00A73361"/>
    <w:rsid w:val="00A75224"/>
    <w:rsid w:val="00A82E0E"/>
    <w:rsid w:val="00A850E5"/>
    <w:rsid w:val="00A8579B"/>
    <w:rsid w:val="00A858B2"/>
    <w:rsid w:val="00A86199"/>
    <w:rsid w:val="00A87C3B"/>
    <w:rsid w:val="00A97791"/>
    <w:rsid w:val="00AA1501"/>
    <w:rsid w:val="00AA4198"/>
    <w:rsid w:val="00AA6967"/>
    <w:rsid w:val="00AA7C62"/>
    <w:rsid w:val="00AB296C"/>
    <w:rsid w:val="00AB5D75"/>
    <w:rsid w:val="00AB7287"/>
    <w:rsid w:val="00AC1923"/>
    <w:rsid w:val="00AC50E3"/>
    <w:rsid w:val="00AD1AC1"/>
    <w:rsid w:val="00AD68A8"/>
    <w:rsid w:val="00AD709B"/>
    <w:rsid w:val="00AE2AAB"/>
    <w:rsid w:val="00AE38B3"/>
    <w:rsid w:val="00AE393F"/>
    <w:rsid w:val="00AE6CEE"/>
    <w:rsid w:val="00AF098B"/>
    <w:rsid w:val="00AF2C65"/>
    <w:rsid w:val="00AF5B5E"/>
    <w:rsid w:val="00B003DD"/>
    <w:rsid w:val="00B02E77"/>
    <w:rsid w:val="00B03C75"/>
    <w:rsid w:val="00B07316"/>
    <w:rsid w:val="00B133F7"/>
    <w:rsid w:val="00B135CC"/>
    <w:rsid w:val="00B25485"/>
    <w:rsid w:val="00B256F9"/>
    <w:rsid w:val="00B27BA9"/>
    <w:rsid w:val="00B32E3A"/>
    <w:rsid w:val="00B34FB6"/>
    <w:rsid w:val="00B368EC"/>
    <w:rsid w:val="00B36D3D"/>
    <w:rsid w:val="00B40214"/>
    <w:rsid w:val="00B411E5"/>
    <w:rsid w:val="00B41359"/>
    <w:rsid w:val="00B45075"/>
    <w:rsid w:val="00B45352"/>
    <w:rsid w:val="00B45AB4"/>
    <w:rsid w:val="00B569F6"/>
    <w:rsid w:val="00B60582"/>
    <w:rsid w:val="00B60A88"/>
    <w:rsid w:val="00B6449C"/>
    <w:rsid w:val="00B65275"/>
    <w:rsid w:val="00B65886"/>
    <w:rsid w:val="00B66AD5"/>
    <w:rsid w:val="00B71655"/>
    <w:rsid w:val="00B75BE0"/>
    <w:rsid w:val="00B76290"/>
    <w:rsid w:val="00B8099E"/>
    <w:rsid w:val="00B812CB"/>
    <w:rsid w:val="00B81781"/>
    <w:rsid w:val="00B83931"/>
    <w:rsid w:val="00B8693A"/>
    <w:rsid w:val="00B920E6"/>
    <w:rsid w:val="00BA50D5"/>
    <w:rsid w:val="00BA7D55"/>
    <w:rsid w:val="00BB082B"/>
    <w:rsid w:val="00BB2701"/>
    <w:rsid w:val="00BB6AA8"/>
    <w:rsid w:val="00BB78B9"/>
    <w:rsid w:val="00BC49D2"/>
    <w:rsid w:val="00BD5490"/>
    <w:rsid w:val="00BD7762"/>
    <w:rsid w:val="00BD7FA0"/>
    <w:rsid w:val="00BE102A"/>
    <w:rsid w:val="00BE20D0"/>
    <w:rsid w:val="00BE2C38"/>
    <w:rsid w:val="00BE72F0"/>
    <w:rsid w:val="00BF1D99"/>
    <w:rsid w:val="00BF4518"/>
    <w:rsid w:val="00BF686C"/>
    <w:rsid w:val="00BF6AC2"/>
    <w:rsid w:val="00BF745A"/>
    <w:rsid w:val="00C05596"/>
    <w:rsid w:val="00C14D6D"/>
    <w:rsid w:val="00C16B84"/>
    <w:rsid w:val="00C173D3"/>
    <w:rsid w:val="00C2161D"/>
    <w:rsid w:val="00C216BD"/>
    <w:rsid w:val="00C21C8D"/>
    <w:rsid w:val="00C23C15"/>
    <w:rsid w:val="00C243F3"/>
    <w:rsid w:val="00C27E82"/>
    <w:rsid w:val="00C3030A"/>
    <w:rsid w:val="00C359CC"/>
    <w:rsid w:val="00C36029"/>
    <w:rsid w:val="00C3694A"/>
    <w:rsid w:val="00C459D3"/>
    <w:rsid w:val="00C469C4"/>
    <w:rsid w:val="00C46ABD"/>
    <w:rsid w:val="00C512CC"/>
    <w:rsid w:val="00C530DA"/>
    <w:rsid w:val="00C608C8"/>
    <w:rsid w:val="00C6101E"/>
    <w:rsid w:val="00C61A82"/>
    <w:rsid w:val="00C662A5"/>
    <w:rsid w:val="00C71134"/>
    <w:rsid w:val="00C72196"/>
    <w:rsid w:val="00C73A5D"/>
    <w:rsid w:val="00C75D94"/>
    <w:rsid w:val="00C81E8F"/>
    <w:rsid w:val="00C82B83"/>
    <w:rsid w:val="00C85117"/>
    <w:rsid w:val="00C8774E"/>
    <w:rsid w:val="00C87FFE"/>
    <w:rsid w:val="00C91126"/>
    <w:rsid w:val="00C97160"/>
    <w:rsid w:val="00C97813"/>
    <w:rsid w:val="00CA4508"/>
    <w:rsid w:val="00CB00C6"/>
    <w:rsid w:val="00CB15A8"/>
    <w:rsid w:val="00CB38DE"/>
    <w:rsid w:val="00CC0467"/>
    <w:rsid w:val="00CC055B"/>
    <w:rsid w:val="00CC1BB3"/>
    <w:rsid w:val="00CC2F88"/>
    <w:rsid w:val="00CC6EDD"/>
    <w:rsid w:val="00CC7354"/>
    <w:rsid w:val="00CC7469"/>
    <w:rsid w:val="00CD3AC5"/>
    <w:rsid w:val="00CD66D8"/>
    <w:rsid w:val="00CE2679"/>
    <w:rsid w:val="00CE280D"/>
    <w:rsid w:val="00CE6B4A"/>
    <w:rsid w:val="00CF2461"/>
    <w:rsid w:val="00CF56FC"/>
    <w:rsid w:val="00CF68E7"/>
    <w:rsid w:val="00D0125C"/>
    <w:rsid w:val="00D027BA"/>
    <w:rsid w:val="00D03E88"/>
    <w:rsid w:val="00D05563"/>
    <w:rsid w:val="00D1080C"/>
    <w:rsid w:val="00D265E7"/>
    <w:rsid w:val="00D32C22"/>
    <w:rsid w:val="00D33994"/>
    <w:rsid w:val="00D34E14"/>
    <w:rsid w:val="00D41B64"/>
    <w:rsid w:val="00D43599"/>
    <w:rsid w:val="00D43A20"/>
    <w:rsid w:val="00D457A3"/>
    <w:rsid w:val="00D45875"/>
    <w:rsid w:val="00D6325A"/>
    <w:rsid w:val="00D658E8"/>
    <w:rsid w:val="00D71B8D"/>
    <w:rsid w:val="00D77308"/>
    <w:rsid w:val="00D80127"/>
    <w:rsid w:val="00D80AEB"/>
    <w:rsid w:val="00D87F55"/>
    <w:rsid w:val="00D914AB"/>
    <w:rsid w:val="00D92990"/>
    <w:rsid w:val="00DA0B75"/>
    <w:rsid w:val="00DA3016"/>
    <w:rsid w:val="00DA60FA"/>
    <w:rsid w:val="00DB0ABC"/>
    <w:rsid w:val="00DB51B9"/>
    <w:rsid w:val="00DC241D"/>
    <w:rsid w:val="00DC6F21"/>
    <w:rsid w:val="00DC70A7"/>
    <w:rsid w:val="00DD17E8"/>
    <w:rsid w:val="00DD240F"/>
    <w:rsid w:val="00DD5300"/>
    <w:rsid w:val="00DD6066"/>
    <w:rsid w:val="00DE5BDB"/>
    <w:rsid w:val="00DF077C"/>
    <w:rsid w:val="00DF0B12"/>
    <w:rsid w:val="00DF1D9E"/>
    <w:rsid w:val="00E005BB"/>
    <w:rsid w:val="00E25EA8"/>
    <w:rsid w:val="00E2758A"/>
    <w:rsid w:val="00E30EF3"/>
    <w:rsid w:val="00E35188"/>
    <w:rsid w:val="00E36458"/>
    <w:rsid w:val="00E36B06"/>
    <w:rsid w:val="00E4144C"/>
    <w:rsid w:val="00E4759B"/>
    <w:rsid w:val="00E5033F"/>
    <w:rsid w:val="00E504E1"/>
    <w:rsid w:val="00E61540"/>
    <w:rsid w:val="00E70447"/>
    <w:rsid w:val="00E70DC9"/>
    <w:rsid w:val="00E71796"/>
    <w:rsid w:val="00E72951"/>
    <w:rsid w:val="00E75D27"/>
    <w:rsid w:val="00E84142"/>
    <w:rsid w:val="00E90654"/>
    <w:rsid w:val="00E95557"/>
    <w:rsid w:val="00E95F94"/>
    <w:rsid w:val="00EA3ECE"/>
    <w:rsid w:val="00EA4D4D"/>
    <w:rsid w:val="00EA57BE"/>
    <w:rsid w:val="00EA5907"/>
    <w:rsid w:val="00EB39C5"/>
    <w:rsid w:val="00EB47B1"/>
    <w:rsid w:val="00EB4EB4"/>
    <w:rsid w:val="00EB6655"/>
    <w:rsid w:val="00EC3966"/>
    <w:rsid w:val="00ED3749"/>
    <w:rsid w:val="00ED4328"/>
    <w:rsid w:val="00ED43E4"/>
    <w:rsid w:val="00ED6079"/>
    <w:rsid w:val="00EF2852"/>
    <w:rsid w:val="00EF5C7B"/>
    <w:rsid w:val="00F01764"/>
    <w:rsid w:val="00F03EEF"/>
    <w:rsid w:val="00F0457B"/>
    <w:rsid w:val="00F12CCB"/>
    <w:rsid w:val="00F12E93"/>
    <w:rsid w:val="00F14751"/>
    <w:rsid w:val="00F21B90"/>
    <w:rsid w:val="00F269E5"/>
    <w:rsid w:val="00F3063B"/>
    <w:rsid w:val="00F33F7F"/>
    <w:rsid w:val="00F35527"/>
    <w:rsid w:val="00F36A91"/>
    <w:rsid w:val="00F4120F"/>
    <w:rsid w:val="00F41771"/>
    <w:rsid w:val="00F44E9A"/>
    <w:rsid w:val="00F51775"/>
    <w:rsid w:val="00F52E99"/>
    <w:rsid w:val="00F55FBF"/>
    <w:rsid w:val="00F6331C"/>
    <w:rsid w:val="00F67BA9"/>
    <w:rsid w:val="00F7125F"/>
    <w:rsid w:val="00F7406E"/>
    <w:rsid w:val="00F74561"/>
    <w:rsid w:val="00F75B0A"/>
    <w:rsid w:val="00F7672C"/>
    <w:rsid w:val="00F81A80"/>
    <w:rsid w:val="00F82403"/>
    <w:rsid w:val="00F842B0"/>
    <w:rsid w:val="00FA1538"/>
    <w:rsid w:val="00FA1981"/>
    <w:rsid w:val="00FA6913"/>
    <w:rsid w:val="00FB4C00"/>
    <w:rsid w:val="00FB5BCB"/>
    <w:rsid w:val="00FC102E"/>
    <w:rsid w:val="00FC164C"/>
    <w:rsid w:val="00FC62B4"/>
    <w:rsid w:val="00FD1097"/>
    <w:rsid w:val="00FD1D6C"/>
    <w:rsid w:val="00FD5522"/>
    <w:rsid w:val="00FE5622"/>
    <w:rsid w:val="00FF5777"/>
  </w:rsids>
  <m:mathPr>
    <m:mathFont m:val="Cambria Math"/>
    <m:brkBin m:val="before"/>
    <m:brkBinSub m:val="--"/>
    <m:smallFrac m:val="0"/>
    <m:dispDef m:val="0"/>
    <m:lMargin m:val="0"/>
    <m:rMargin m:val="0"/>
    <m:defJc m:val="centerGroup"/>
    <m:wrapRight/>
    <m:intLim m:val="subSup"/>
    <m:naryLim m:val="subSup"/>
  </m:mathPr>
  <w:themeFontLang w:val="es-E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17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B7"/>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link w:val="ListParagraph"/>
    <w:uiPriority w:val="34"/>
    <w:rsid w:val="006B4B4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B7"/>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link w:val="ListParagraph"/>
    <w:uiPriority w:val="34"/>
    <w:rsid w:val="006B4B4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9418">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553198925">
      <w:bodyDiv w:val="1"/>
      <w:marLeft w:val="0"/>
      <w:marRight w:val="0"/>
      <w:marTop w:val="0"/>
      <w:marBottom w:val="0"/>
      <w:divBdr>
        <w:top w:val="none" w:sz="0" w:space="0" w:color="auto"/>
        <w:left w:val="none" w:sz="0" w:space="0" w:color="auto"/>
        <w:bottom w:val="none" w:sz="0" w:space="0" w:color="auto"/>
        <w:right w:val="none" w:sz="0" w:space="0" w:color="auto"/>
      </w:divBdr>
    </w:div>
    <w:div w:id="604655806">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83320355">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3AAF-C56A-420D-AE85-0373E30E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6381</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2016-10-21T16:04:00Z</dcterms:created>
  <dcterms:modified xsi:type="dcterms:W3CDTF">2016-10-21T16:04:00Z</dcterms:modified>
</cp:coreProperties>
</file>