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390" w:rsidRPr="009B4390" w:rsidRDefault="009B4390" w:rsidP="002A25F6">
      <w:pPr>
        <w:jc w:val="both"/>
        <w:rPr>
          <w:sz w:val="24"/>
          <w:szCs w:val="24"/>
        </w:rPr>
      </w:pPr>
      <w:r w:rsidRPr="009B4390">
        <w:rPr>
          <w:b/>
          <w:sz w:val="24"/>
          <w:szCs w:val="24"/>
        </w:rPr>
        <w:t>Para:</w:t>
      </w:r>
      <w:r w:rsidRPr="009B4390">
        <w:rPr>
          <w:sz w:val="24"/>
          <w:szCs w:val="24"/>
        </w:rPr>
        <w:t xml:space="preserve"> </w:t>
      </w:r>
      <w:r w:rsidR="00093D83" w:rsidRPr="009B4390">
        <w:rPr>
          <w:sz w:val="24"/>
          <w:szCs w:val="24"/>
        </w:rPr>
        <w:t xml:space="preserve">Centro y Red de Tecnología del Clima (CTCN) </w:t>
      </w:r>
      <w:r w:rsidRPr="009B4390">
        <w:rPr>
          <w:sz w:val="24"/>
          <w:szCs w:val="24"/>
        </w:rPr>
        <w:t xml:space="preserve">y MARN </w:t>
      </w:r>
    </w:p>
    <w:p w:rsidR="009B4390" w:rsidRPr="009B4390" w:rsidRDefault="009B4390" w:rsidP="002A25F6">
      <w:pPr>
        <w:jc w:val="both"/>
        <w:rPr>
          <w:sz w:val="24"/>
          <w:szCs w:val="24"/>
        </w:rPr>
      </w:pPr>
    </w:p>
    <w:p w:rsidR="00093D83" w:rsidRPr="009B4390" w:rsidRDefault="009B4390" w:rsidP="002A25F6">
      <w:pPr>
        <w:jc w:val="both"/>
        <w:rPr>
          <w:sz w:val="24"/>
          <w:szCs w:val="24"/>
        </w:rPr>
      </w:pPr>
      <w:r w:rsidRPr="009B4390">
        <w:rPr>
          <w:b/>
          <w:sz w:val="24"/>
          <w:szCs w:val="24"/>
        </w:rPr>
        <w:t>De:</w:t>
      </w:r>
      <w:r w:rsidRPr="009B4390">
        <w:rPr>
          <w:sz w:val="24"/>
          <w:szCs w:val="24"/>
        </w:rPr>
        <w:t xml:space="preserve"> Equipo asistencia técnica CTCN - </w:t>
      </w:r>
      <w:r w:rsidR="00093D83" w:rsidRPr="009B4390">
        <w:rPr>
          <w:sz w:val="24"/>
          <w:szCs w:val="24"/>
        </w:rPr>
        <w:t xml:space="preserve">Wageningen </w:t>
      </w:r>
      <w:proofErr w:type="spellStart"/>
      <w:r w:rsidR="00093D83" w:rsidRPr="009B4390">
        <w:rPr>
          <w:sz w:val="24"/>
          <w:szCs w:val="24"/>
        </w:rPr>
        <w:t>Environmental</w:t>
      </w:r>
      <w:proofErr w:type="spellEnd"/>
      <w:r w:rsidR="00093D83" w:rsidRPr="009B4390">
        <w:rPr>
          <w:sz w:val="24"/>
          <w:szCs w:val="24"/>
        </w:rPr>
        <w:t xml:space="preserve"> </w:t>
      </w:r>
      <w:proofErr w:type="spellStart"/>
      <w:r w:rsidR="00093D83" w:rsidRPr="009B4390">
        <w:rPr>
          <w:sz w:val="24"/>
          <w:szCs w:val="24"/>
        </w:rPr>
        <w:t>Research</w:t>
      </w:r>
      <w:proofErr w:type="spellEnd"/>
      <w:r w:rsidR="00093D83" w:rsidRPr="009B4390">
        <w:rPr>
          <w:sz w:val="24"/>
          <w:szCs w:val="24"/>
        </w:rPr>
        <w:t xml:space="preserve"> (WENR)</w:t>
      </w:r>
    </w:p>
    <w:p w:rsidR="009B4390" w:rsidRDefault="009B4390" w:rsidP="002A25F6">
      <w:pPr>
        <w:jc w:val="both"/>
        <w:rPr>
          <w:sz w:val="24"/>
          <w:szCs w:val="24"/>
        </w:rPr>
      </w:pPr>
    </w:p>
    <w:p w:rsidR="00093D83" w:rsidRPr="009B4390" w:rsidRDefault="009B4390" w:rsidP="002A25F6">
      <w:pPr>
        <w:jc w:val="both"/>
        <w:rPr>
          <w:sz w:val="24"/>
          <w:szCs w:val="24"/>
        </w:rPr>
      </w:pPr>
      <w:r w:rsidRPr="009B4390">
        <w:rPr>
          <w:b/>
          <w:sz w:val="24"/>
          <w:szCs w:val="24"/>
        </w:rPr>
        <w:t>Proyecto:</w:t>
      </w:r>
      <w:r>
        <w:rPr>
          <w:sz w:val="24"/>
          <w:szCs w:val="24"/>
        </w:rPr>
        <w:t xml:space="preserve"> </w:t>
      </w:r>
      <w:r w:rsidR="00093D83" w:rsidRPr="009B4390">
        <w:rPr>
          <w:sz w:val="24"/>
          <w:szCs w:val="24"/>
        </w:rPr>
        <w:t>“Fortalecimiento del Sistema de Información sobre el Cambio Climático para la toma de decisiones en las estrategias de vulnerabilidad y adaptación</w:t>
      </w:r>
      <w:r w:rsidRPr="009B4390">
        <w:rPr>
          <w:sz w:val="24"/>
          <w:szCs w:val="24"/>
        </w:rPr>
        <w:t xml:space="preserve"> en </w:t>
      </w:r>
      <w:r w:rsidR="00093D83" w:rsidRPr="009B4390">
        <w:rPr>
          <w:sz w:val="24"/>
          <w:szCs w:val="24"/>
        </w:rPr>
        <w:t>Guatemala</w:t>
      </w:r>
      <w:r w:rsidRPr="009B4390">
        <w:rPr>
          <w:sz w:val="24"/>
          <w:szCs w:val="24"/>
        </w:rPr>
        <w:t>”</w:t>
      </w:r>
    </w:p>
    <w:p w:rsidR="00093D83" w:rsidRPr="009B4390" w:rsidRDefault="00093D83" w:rsidP="002A25F6">
      <w:pPr>
        <w:jc w:val="both"/>
        <w:rPr>
          <w:sz w:val="24"/>
          <w:szCs w:val="24"/>
        </w:rPr>
      </w:pPr>
    </w:p>
    <w:p w:rsidR="009B4390" w:rsidRPr="009B4390" w:rsidRDefault="009B4390" w:rsidP="002A25F6">
      <w:pPr>
        <w:jc w:val="both"/>
        <w:rPr>
          <w:sz w:val="24"/>
          <w:szCs w:val="24"/>
        </w:rPr>
      </w:pPr>
      <w:r w:rsidRPr="009B4390">
        <w:rPr>
          <w:b/>
          <w:sz w:val="24"/>
          <w:szCs w:val="24"/>
        </w:rPr>
        <w:t>Fecha:</w:t>
      </w:r>
      <w:r w:rsidRPr="009B4390">
        <w:rPr>
          <w:sz w:val="24"/>
          <w:szCs w:val="24"/>
        </w:rPr>
        <w:t xml:space="preserve"> 12 de </w:t>
      </w:r>
      <w:proofErr w:type="gramStart"/>
      <w:r w:rsidRPr="009B4390">
        <w:rPr>
          <w:sz w:val="24"/>
          <w:szCs w:val="24"/>
        </w:rPr>
        <w:t>Agosto</w:t>
      </w:r>
      <w:proofErr w:type="gramEnd"/>
      <w:r w:rsidRPr="009B4390">
        <w:rPr>
          <w:sz w:val="24"/>
          <w:szCs w:val="24"/>
        </w:rPr>
        <w:t>, 2018</w:t>
      </w:r>
    </w:p>
    <w:p w:rsidR="009B4390" w:rsidRPr="009B4390" w:rsidRDefault="009B4390" w:rsidP="002A25F6">
      <w:pPr>
        <w:jc w:val="both"/>
        <w:rPr>
          <w:sz w:val="24"/>
          <w:szCs w:val="24"/>
        </w:rPr>
      </w:pPr>
      <w:r w:rsidRPr="009B4390">
        <w:rPr>
          <w:sz w:val="24"/>
          <w:szCs w:val="24"/>
        </w:rPr>
        <w:t xml:space="preserve"> </w:t>
      </w:r>
    </w:p>
    <w:p w:rsidR="00093D83" w:rsidRPr="009B4390" w:rsidRDefault="009B4390" w:rsidP="002A25F6">
      <w:pPr>
        <w:jc w:val="both"/>
        <w:rPr>
          <w:sz w:val="24"/>
          <w:szCs w:val="24"/>
        </w:rPr>
      </w:pPr>
      <w:r w:rsidRPr="009B4390">
        <w:rPr>
          <w:b/>
          <w:sz w:val="24"/>
          <w:szCs w:val="24"/>
        </w:rPr>
        <w:t xml:space="preserve">Tema: </w:t>
      </w:r>
      <w:r w:rsidR="00093D83" w:rsidRPr="009B4390">
        <w:rPr>
          <w:sz w:val="24"/>
          <w:szCs w:val="24"/>
        </w:rPr>
        <w:t>Informe de segunda visita en Guatemala, 23 al 27 julio 2018</w:t>
      </w:r>
    </w:p>
    <w:p w:rsidR="009B4390" w:rsidRDefault="009B4390" w:rsidP="002A25F6">
      <w:pPr>
        <w:jc w:val="both"/>
        <w:rPr>
          <w:sz w:val="24"/>
          <w:szCs w:val="24"/>
        </w:rPr>
      </w:pPr>
    </w:p>
    <w:p w:rsidR="00093D83" w:rsidRDefault="00093D83" w:rsidP="002A25F6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9B4390">
        <w:rPr>
          <w:b/>
          <w:sz w:val="24"/>
          <w:szCs w:val="24"/>
        </w:rPr>
        <w:t>Equipo:</w:t>
      </w:r>
      <w:r w:rsidRPr="009B4390">
        <w:rPr>
          <w:sz w:val="24"/>
          <w:szCs w:val="24"/>
        </w:rPr>
        <w:t xml:space="preserve"> Manuel Winograd (MW), Claudia Medellín (CM) y Claudia Bouroncle (CB)</w:t>
      </w:r>
    </w:p>
    <w:p w:rsidR="009B4390" w:rsidRDefault="009B4390" w:rsidP="002A25F6">
      <w:pPr>
        <w:jc w:val="both"/>
      </w:pPr>
    </w:p>
    <w:p w:rsidR="00093D83" w:rsidRPr="003E3FDD" w:rsidRDefault="00093D83" w:rsidP="002A25F6">
      <w:pPr>
        <w:pStyle w:val="ListParagraph"/>
        <w:numPr>
          <w:ilvl w:val="0"/>
          <w:numId w:val="11"/>
        </w:numPr>
        <w:jc w:val="both"/>
        <w:rPr>
          <w:b/>
        </w:rPr>
      </w:pPr>
      <w:r w:rsidRPr="003E3FDD">
        <w:rPr>
          <w:b/>
        </w:rPr>
        <w:t>Actividades</w:t>
      </w:r>
    </w:p>
    <w:p w:rsidR="00093D83" w:rsidRDefault="00093D83" w:rsidP="002A25F6">
      <w:pPr>
        <w:jc w:val="both"/>
      </w:pPr>
    </w:p>
    <w:p w:rsidR="00093D83" w:rsidRDefault="00093D83" w:rsidP="002A25F6">
      <w:pPr>
        <w:jc w:val="both"/>
      </w:pPr>
      <w:r w:rsidRPr="00022EB3">
        <w:t xml:space="preserve">El equipo a cargo de la asistencia técnica, en conjunto con personal del Ministerio de Ambiente y Recursos Naturales (MARN), desarrolló </w:t>
      </w:r>
      <w:r w:rsidR="00022EB3">
        <w:t>once</w:t>
      </w:r>
      <w:r w:rsidRPr="00022EB3">
        <w:t xml:space="preserve"> reuniones con </w:t>
      </w:r>
      <w:r w:rsidR="00022EB3" w:rsidRPr="00022EB3">
        <w:t>29</w:t>
      </w:r>
      <w:r w:rsidRPr="00022EB3">
        <w:t xml:space="preserve"> representantes de organizaciones gubernamentales</w:t>
      </w:r>
      <w:r w:rsidR="00320C8E">
        <w:t xml:space="preserve"> y de cooperación técnica</w:t>
      </w:r>
      <w:r w:rsidRPr="00022EB3">
        <w:t xml:space="preserve"> (ver </w:t>
      </w:r>
      <w:r w:rsidRPr="00320C8E">
        <w:rPr>
          <w:b/>
        </w:rPr>
        <w:t>Anexo</w:t>
      </w:r>
      <w:r w:rsidR="00F373E8" w:rsidRPr="00320C8E">
        <w:rPr>
          <w:b/>
        </w:rPr>
        <w:t xml:space="preserve"> 1</w:t>
      </w:r>
      <w:r w:rsidRPr="00022EB3">
        <w:t>). Las reuniones tuvieron estos puntos de agenda:</w:t>
      </w:r>
      <w:r w:rsidR="009B4390">
        <w:t xml:space="preserve"> </w:t>
      </w:r>
    </w:p>
    <w:p w:rsidR="00093D83" w:rsidRDefault="00093D83" w:rsidP="002A25F6">
      <w:pPr>
        <w:jc w:val="both"/>
      </w:pPr>
    </w:p>
    <w:p w:rsidR="00320C8E" w:rsidRDefault="00320C8E" w:rsidP="002A25F6">
      <w:pPr>
        <w:pStyle w:val="ListParagraph"/>
        <w:numPr>
          <w:ilvl w:val="0"/>
          <w:numId w:val="10"/>
        </w:numPr>
        <w:jc w:val="both"/>
      </w:pPr>
      <w:r>
        <w:t>Validación de índices/indicadores del SNICC</w:t>
      </w:r>
    </w:p>
    <w:p w:rsidR="003E3FDD" w:rsidRDefault="00320C8E" w:rsidP="002A25F6">
      <w:pPr>
        <w:pStyle w:val="ListParagraph"/>
        <w:numPr>
          <w:ilvl w:val="0"/>
          <w:numId w:val="10"/>
        </w:numPr>
        <w:jc w:val="both"/>
      </w:pPr>
      <w:r>
        <w:t xml:space="preserve">Sinergias </w:t>
      </w:r>
      <w:r w:rsidR="00EA6C0B">
        <w:t>y e</w:t>
      </w:r>
      <w:r w:rsidR="003E3FDD">
        <w:t>strategias para la</w:t>
      </w:r>
      <w:bookmarkStart w:id="0" w:name="_GoBack"/>
      <w:bookmarkEnd w:id="0"/>
      <w:r w:rsidR="003E3FDD">
        <w:t xml:space="preserve"> implementación del SNICC</w:t>
      </w:r>
      <w:r w:rsidR="00EA0FB0">
        <w:t>, incluyendo sinergias de recursos de diferentes iniciativas</w:t>
      </w:r>
    </w:p>
    <w:p w:rsidR="00A0491E" w:rsidRDefault="002A25F6" w:rsidP="002A25F6">
      <w:pPr>
        <w:pStyle w:val="ListParagraph"/>
        <w:numPr>
          <w:ilvl w:val="0"/>
          <w:numId w:val="10"/>
        </w:numPr>
        <w:jc w:val="both"/>
      </w:pPr>
      <w:r>
        <w:t>Objetivo, método y alcance del e</w:t>
      </w:r>
      <w:r w:rsidR="00A0491E">
        <w:t>vento de cierre de la asistencia técnica</w:t>
      </w:r>
    </w:p>
    <w:p w:rsidR="00093D83" w:rsidRDefault="00093D83" w:rsidP="002A25F6">
      <w:pPr>
        <w:jc w:val="both"/>
      </w:pPr>
    </w:p>
    <w:p w:rsidR="000E1ED8" w:rsidRDefault="000E1ED8" w:rsidP="002A25F6">
      <w:pPr>
        <w:jc w:val="both"/>
      </w:pPr>
      <w:r>
        <w:t xml:space="preserve">Cada reunión tuvo una presentación introductoria a cargo del equipo </w:t>
      </w:r>
      <w:r w:rsidR="000465FE">
        <w:t xml:space="preserve">explicando 1) los avances de la asistencia técnica, </w:t>
      </w:r>
      <w:r w:rsidR="00EA0FB0">
        <w:t xml:space="preserve">con especial énfasis en la revisión de competencias institucionales y obligaciones definidas en informes nacionales e internacionales para la definición de índices e indicadores y, 2) próximas etapas, con énfasis en la integración de información, coordinación entre iniciativas en curso y el evento de cierre de la asistencia técnica. </w:t>
      </w:r>
    </w:p>
    <w:p w:rsidR="00EA0FB0" w:rsidRDefault="00EA0FB0" w:rsidP="002A25F6">
      <w:pPr>
        <w:jc w:val="both"/>
      </w:pPr>
    </w:p>
    <w:p w:rsidR="003E3FDD" w:rsidRDefault="003E3FDD" w:rsidP="002A25F6">
      <w:pPr>
        <w:jc w:val="both"/>
      </w:pPr>
      <w:r>
        <w:t xml:space="preserve">Como en la visita pasada, el equipo sostuvo reuniones de introducción y cierre de la visita con personal del MARN relacionado a esta asistencia técnica (Kenset Rosales, José Gálvez y/o David Barrera). Se programó </w:t>
      </w:r>
      <w:r w:rsidR="00486930">
        <w:t xml:space="preserve">también </w:t>
      </w:r>
      <w:r>
        <w:t xml:space="preserve">una reunión con el </w:t>
      </w:r>
      <w:r w:rsidR="00486930">
        <w:t>Ing. Carlos Ramos</w:t>
      </w:r>
      <w:r>
        <w:t>, viceministro de Recursos Naturales y Cambio Climático</w:t>
      </w:r>
      <w:r w:rsidR="00486930">
        <w:t xml:space="preserve"> </w:t>
      </w:r>
      <w:r>
        <w:t xml:space="preserve">desde </w:t>
      </w:r>
      <w:r w:rsidR="00486930">
        <w:t>el 5 de julio,</w:t>
      </w:r>
      <w:r>
        <w:t xml:space="preserve"> la cual fue cancelada por su despacho.</w:t>
      </w:r>
    </w:p>
    <w:p w:rsidR="00022EB3" w:rsidRDefault="00022EB3" w:rsidP="002A25F6">
      <w:pPr>
        <w:jc w:val="both"/>
      </w:pPr>
    </w:p>
    <w:p w:rsidR="00486930" w:rsidRPr="00486930" w:rsidRDefault="00486930" w:rsidP="002A25F6">
      <w:pPr>
        <w:pStyle w:val="ListParagraph"/>
        <w:numPr>
          <w:ilvl w:val="0"/>
          <w:numId w:val="11"/>
        </w:numPr>
        <w:jc w:val="both"/>
        <w:rPr>
          <w:b/>
        </w:rPr>
      </w:pPr>
      <w:r w:rsidRPr="00486930">
        <w:rPr>
          <w:b/>
        </w:rPr>
        <w:t>Acuerdos</w:t>
      </w:r>
    </w:p>
    <w:p w:rsidR="00486930" w:rsidRDefault="00486930" w:rsidP="002A25F6">
      <w:pPr>
        <w:pStyle w:val="ListParagraph"/>
        <w:jc w:val="both"/>
      </w:pPr>
    </w:p>
    <w:p w:rsidR="00022EB3" w:rsidRPr="000E1ED8" w:rsidRDefault="00022EB3" w:rsidP="002A25F6">
      <w:pPr>
        <w:pStyle w:val="ListParagraph"/>
        <w:numPr>
          <w:ilvl w:val="0"/>
          <w:numId w:val="10"/>
        </w:numPr>
        <w:jc w:val="both"/>
        <w:rPr>
          <w:b/>
        </w:rPr>
      </w:pPr>
      <w:r w:rsidRPr="000E1ED8">
        <w:rPr>
          <w:b/>
        </w:rPr>
        <w:t>Estrategia para la implementación del SNICC</w:t>
      </w:r>
    </w:p>
    <w:p w:rsidR="00247412" w:rsidRPr="00247412" w:rsidRDefault="00247412" w:rsidP="00985C5A">
      <w:pPr>
        <w:pStyle w:val="ListParagraph"/>
        <w:numPr>
          <w:ilvl w:val="1"/>
          <w:numId w:val="10"/>
        </w:numPr>
        <w:jc w:val="both"/>
      </w:pPr>
      <w:r w:rsidRPr="00247412">
        <w:t>La implementación implica la conformación (en realidad reasignación de personal del MARN) de un e</w:t>
      </w:r>
      <w:r w:rsidR="006C6288" w:rsidRPr="00247412">
        <w:t>quipo equilibrado con experiencia en desarrollo y arquitectura de plataformas (IT y programación</w:t>
      </w:r>
      <w:r w:rsidRPr="00247412">
        <w:t>, 1 persona</w:t>
      </w:r>
      <w:r w:rsidR="006C6288" w:rsidRPr="00247412">
        <w:t>), en contenido y provisión de datos</w:t>
      </w:r>
      <w:r w:rsidRPr="00247412">
        <w:t xml:space="preserve"> (1 persona)</w:t>
      </w:r>
      <w:r w:rsidR="006C6288" w:rsidRPr="00247412">
        <w:t xml:space="preserve"> y producción de información para la toma de decisiones (cambio climático, reducción de desastres, sectores) y en procesos de MRV y toma de decisiones a diferentes niveles (sectorial, municipal, nacional, internacional)</w:t>
      </w:r>
      <w:r w:rsidRPr="00247412">
        <w:t xml:space="preserve"> (1 persona)</w:t>
      </w:r>
      <w:r w:rsidR="00335912">
        <w:t xml:space="preserve"> (MW, CB, CM, y personal de MARN)</w:t>
      </w:r>
      <w:r w:rsidRPr="00247412">
        <w:t xml:space="preserve">. </w:t>
      </w:r>
    </w:p>
    <w:p w:rsidR="00247412" w:rsidRPr="00247412" w:rsidRDefault="00247412" w:rsidP="00985C5A">
      <w:pPr>
        <w:pStyle w:val="ListParagraph"/>
        <w:numPr>
          <w:ilvl w:val="1"/>
          <w:numId w:val="10"/>
        </w:numPr>
        <w:jc w:val="both"/>
      </w:pPr>
      <w:r w:rsidRPr="00247412">
        <w:lastRenderedPageBreak/>
        <w:t xml:space="preserve">No es necesario el desarrollo y adquisición de SOFTWARE/HARDAWARE de última generación. Se debe asegurar, en función de lo disponible (en particular SOFTWARE de código abierto o licencias comerciales disponibles) un desarrollo de funcionalidades prácticas y en base a la información disponible. Se deben aprovechar las capacidades técnicas y de personal del MARN y las instituciones miembros de la plataforma. Esto facilita la </w:t>
      </w:r>
      <w:proofErr w:type="spellStart"/>
      <w:r w:rsidRPr="00247412">
        <w:t>mutualización</w:t>
      </w:r>
      <w:proofErr w:type="spellEnd"/>
      <w:r w:rsidRPr="00247412">
        <w:t xml:space="preserve"> en el desarrollo y mantenimiento de la plataforma, asegura la integración de otras iniciativas para alcanzar grupos más amplios de usuarios de información y proveedores de datos y así asegurar usos y sostenibilidad del sistema</w:t>
      </w:r>
      <w:r w:rsidR="00335912">
        <w:t xml:space="preserve"> (MW y PV reuniones virtuales con las otras iniciativas ya programadas en </w:t>
      </w:r>
      <w:proofErr w:type="gramStart"/>
      <w:r w:rsidR="00335912">
        <w:t>Agosto</w:t>
      </w:r>
      <w:proofErr w:type="gramEnd"/>
      <w:r w:rsidR="00335912">
        <w:t xml:space="preserve"> con equipo programación y diseño LEDS/USAI, GIZ/SEGEPLAN, INFORM/CONRED. SIINSAN)</w:t>
      </w:r>
    </w:p>
    <w:p w:rsidR="00F373E8" w:rsidRDefault="00F373E8" w:rsidP="008D5B3B">
      <w:pPr>
        <w:pStyle w:val="ListParagraph"/>
        <w:numPr>
          <w:ilvl w:val="1"/>
          <w:numId w:val="10"/>
        </w:numPr>
        <w:jc w:val="both"/>
      </w:pPr>
      <w:r>
        <w:t>Elaboración de hoja de ruta para la implementación del SNICC (Jenny Vásquez – Cooperación Internacional y Silvia Zúñiga - Directora de Cambio Climático, MARN)</w:t>
      </w:r>
    </w:p>
    <w:p w:rsidR="00A05142" w:rsidRDefault="00A05142" w:rsidP="002A25F6">
      <w:pPr>
        <w:pStyle w:val="ListParagraph"/>
        <w:numPr>
          <w:ilvl w:val="1"/>
          <w:numId w:val="10"/>
        </w:numPr>
        <w:jc w:val="both"/>
      </w:pPr>
      <w:r>
        <w:t>Formulación de documento descriptivo de la implementación del SNICC para explorar fuentes de financiamiento. Esto puede estar basado en los componentes 5 y 6 de la propuesta inicial de CTCN (eliminados de la asistencia técnica actual)</w:t>
      </w:r>
      <w:r w:rsidR="00F373E8">
        <w:t xml:space="preserve"> (Versión inicial: MW, envío a BID)</w:t>
      </w:r>
    </w:p>
    <w:p w:rsidR="00F373E8" w:rsidRDefault="00F373E8" w:rsidP="002A25F6">
      <w:pPr>
        <w:pStyle w:val="ListParagraph"/>
        <w:numPr>
          <w:ilvl w:val="1"/>
          <w:numId w:val="10"/>
        </w:numPr>
        <w:jc w:val="both"/>
      </w:pPr>
      <w:r>
        <w:t>Exploración de inclusión de implementación de</w:t>
      </w:r>
      <w:r w:rsidR="00D8444B">
        <w:t xml:space="preserve"> componentes de</w:t>
      </w:r>
      <w:r>
        <w:t xml:space="preserve">l SNICC en </w:t>
      </w:r>
      <w:r w:rsidR="00D8444B">
        <w:t xml:space="preserve">diferentes propuestas: </w:t>
      </w:r>
      <w:r>
        <w:t>CBIT (</w:t>
      </w:r>
      <w:proofErr w:type="spellStart"/>
      <w:r>
        <w:t>Capacity-building</w:t>
      </w:r>
      <w:proofErr w:type="spellEnd"/>
      <w:r>
        <w:t xml:space="preserve"> </w:t>
      </w:r>
      <w:proofErr w:type="spellStart"/>
      <w:r>
        <w:t>Initiaive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Transparency</w:t>
      </w:r>
      <w:proofErr w:type="spellEnd"/>
      <w:r>
        <w:t>, GEF</w:t>
      </w:r>
      <w:r w:rsidR="00D8444B">
        <w:t xml:space="preserve">, USD </w:t>
      </w:r>
      <w:r w:rsidR="003A7969">
        <w:t>125</w:t>
      </w:r>
      <w:r w:rsidR="00D8444B">
        <w:t>,000</w:t>
      </w:r>
      <w:r w:rsidR="00646CA5">
        <w:t xml:space="preserve"> fondos para implementación y creación de capacidades del SNICC</w:t>
      </w:r>
      <w:r w:rsidR="00D8444B">
        <w:t>), GIZ (USD 25,000</w:t>
      </w:r>
      <w:r w:rsidR="00646CA5">
        <w:t xml:space="preserve"> fondos puente para desarrollo e integración del SNICC</w:t>
      </w:r>
      <w:r w:rsidR="00D8444B">
        <w:t>), III Comunicación Nacional (USD 40,000</w:t>
      </w:r>
      <w:r w:rsidR="00646CA5">
        <w:t xml:space="preserve"> fondos para apoyo a datos del SNICC</w:t>
      </w:r>
      <w:r w:rsidR="00D8444B">
        <w:t>), BID</w:t>
      </w:r>
      <w:r w:rsidR="003A7969">
        <w:t xml:space="preserve"> (185.000 USD</w:t>
      </w:r>
      <w:r w:rsidR="00646CA5">
        <w:t xml:space="preserve"> fondos para programación</w:t>
      </w:r>
      <w:r w:rsidR="009B6658">
        <w:t xml:space="preserve"> y </w:t>
      </w:r>
      <w:r w:rsidR="00646CA5">
        <w:t>diseño</w:t>
      </w:r>
      <w:r w:rsidR="009B6658">
        <w:t xml:space="preserve"> del SNICC así como capacitación</w:t>
      </w:r>
      <w:r w:rsidR="00646CA5">
        <w:t xml:space="preserve"> </w:t>
      </w:r>
      <w:r w:rsidR="009B6658">
        <w:t>en desarrollo, mantenimiento y uso del SNICC</w:t>
      </w:r>
      <w:r w:rsidR="003A7969">
        <w:t>)</w:t>
      </w:r>
      <w:r w:rsidR="009B6658">
        <w:t>.</w:t>
      </w:r>
    </w:p>
    <w:p w:rsidR="00250D15" w:rsidRDefault="00250D15" w:rsidP="002A25F6">
      <w:pPr>
        <w:pStyle w:val="ListParagraph"/>
        <w:numPr>
          <w:ilvl w:val="1"/>
          <w:numId w:val="10"/>
        </w:numPr>
        <w:jc w:val="both"/>
      </w:pPr>
      <w:r>
        <w:t xml:space="preserve">Presentación de necesidad </w:t>
      </w:r>
      <w:r w:rsidR="002E488A">
        <w:t>y</w:t>
      </w:r>
      <w:r>
        <w:t xml:space="preserve"> apoyo para la implementación y sostenibilidad del SNICC en reunión entre donantes y gobierno, convocada por Banco Mundial (Luisa Nelle, Fernando García)</w:t>
      </w:r>
    </w:p>
    <w:p w:rsidR="00022EB3" w:rsidRDefault="00022EB3" w:rsidP="002A25F6">
      <w:pPr>
        <w:jc w:val="both"/>
      </w:pPr>
    </w:p>
    <w:p w:rsidR="00022EB3" w:rsidRDefault="00022EB3" w:rsidP="002A25F6">
      <w:pPr>
        <w:pStyle w:val="ListParagraph"/>
        <w:numPr>
          <w:ilvl w:val="0"/>
          <w:numId w:val="10"/>
        </w:numPr>
        <w:jc w:val="both"/>
        <w:rPr>
          <w:b/>
        </w:rPr>
      </w:pPr>
      <w:r w:rsidRPr="000E1ED8">
        <w:rPr>
          <w:b/>
        </w:rPr>
        <w:t>Evento de cierre de la asistencia técnica</w:t>
      </w:r>
    </w:p>
    <w:p w:rsidR="00291326" w:rsidRPr="00291326" w:rsidRDefault="00291326" w:rsidP="002A25F6">
      <w:pPr>
        <w:ind w:left="360"/>
        <w:jc w:val="both"/>
        <w:rPr>
          <w:b/>
        </w:rPr>
      </w:pPr>
    </w:p>
    <w:p w:rsidR="00022EB3" w:rsidRDefault="00022EB3" w:rsidP="002A25F6">
      <w:pPr>
        <w:pStyle w:val="ListParagraph"/>
        <w:numPr>
          <w:ilvl w:val="1"/>
          <w:numId w:val="10"/>
        </w:numPr>
        <w:jc w:val="both"/>
      </w:pPr>
      <w:proofErr w:type="gramStart"/>
      <w:r>
        <w:t>Fechas</w:t>
      </w:r>
      <w:r w:rsidR="00B52494">
        <w:t xml:space="preserve"> definida</w:t>
      </w:r>
      <w:proofErr w:type="gramEnd"/>
      <w:r>
        <w:t>: 18 y 19 de septiembre</w:t>
      </w:r>
      <w:r w:rsidR="00A05142">
        <w:t xml:space="preserve"> (MW envió correo posterior avisando de las fechas a posibles participantes</w:t>
      </w:r>
      <w:r w:rsidR="00B52494">
        <w:t xml:space="preserve"> y correo a todos los grupos de las iniciativas para asegurar participación determinada</w:t>
      </w:r>
      <w:r w:rsidR="00A05142">
        <w:t>)</w:t>
      </w:r>
      <w:r w:rsidR="00B52494">
        <w:t>.</w:t>
      </w:r>
    </w:p>
    <w:p w:rsidR="00022EB3" w:rsidRDefault="00022EB3" w:rsidP="002A25F6">
      <w:pPr>
        <w:pStyle w:val="ListParagraph"/>
        <w:numPr>
          <w:ilvl w:val="1"/>
          <w:numId w:val="10"/>
        </w:numPr>
        <w:jc w:val="both"/>
      </w:pPr>
      <w:r>
        <w:t>Definir y acotar las presentaciones para conseguir objetivo principal: definición de propuesta de implementación</w:t>
      </w:r>
      <w:r w:rsidR="005B2ADD">
        <w:t>, e</w:t>
      </w:r>
      <w:r>
        <w:t>stablecer grupos de trabajo con propuestas concretas</w:t>
      </w:r>
    </w:p>
    <w:p w:rsidR="00022EB3" w:rsidRDefault="00022EB3" w:rsidP="002A25F6">
      <w:pPr>
        <w:pStyle w:val="ListParagraph"/>
        <w:numPr>
          <w:ilvl w:val="1"/>
          <w:numId w:val="10"/>
        </w:numPr>
        <w:jc w:val="both"/>
      </w:pPr>
      <w:r>
        <w:t>Invitar a la prensa (editores de los principales medios/ periódicos) a un evento corto de cierre del taller.</w:t>
      </w:r>
    </w:p>
    <w:p w:rsidR="00022EB3" w:rsidRDefault="00022EB3" w:rsidP="002A25F6">
      <w:pPr>
        <w:pStyle w:val="ListParagraph"/>
        <w:numPr>
          <w:ilvl w:val="1"/>
          <w:numId w:val="10"/>
        </w:numPr>
        <w:jc w:val="both"/>
      </w:pPr>
      <w:r>
        <w:t xml:space="preserve">Hugo </w:t>
      </w:r>
      <w:r w:rsidR="00250D15">
        <w:t>González (SI</w:t>
      </w:r>
      <w:r w:rsidR="003E5EFE">
        <w:t>I</w:t>
      </w:r>
      <w:r w:rsidR="00250D15">
        <w:t xml:space="preserve">NSAN) </w:t>
      </w:r>
      <w:r>
        <w:t xml:space="preserve">recomienda contactar a personal de la </w:t>
      </w:r>
      <w:r w:rsidR="00F373E8">
        <w:t>P</w:t>
      </w:r>
      <w:r>
        <w:t xml:space="preserve">rocuraduría de Derechos Humanos sobre el informe anual de sistemas de información, considera oportuna su participación en el taller. </w:t>
      </w:r>
      <w:r w:rsidR="00F373E8">
        <w:t>C</w:t>
      </w:r>
      <w:r>
        <w:t>ontacto</w:t>
      </w:r>
      <w:r w:rsidR="00F373E8">
        <w:t>:</w:t>
      </w:r>
      <w:r>
        <w:t xml:space="preserve"> Andrea Aldana</w:t>
      </w:r>
      <w:r w:rsidR="00F373E8">
        <w:t>.</w:t>
      </w:r>
    </w:p>
    <w:p w:rsidR="005B2ADD" w:rsidRDefault="005B2ADD" w:rsidP="002A25F6">
      <w:pPr>
        <w:pStyle w:val="ListParagraph"/>
        <w:numPr>
          <w:ilvl w:val="1"/>
          <w:numId w:val="10"/>
        </w:numPr>
        <w:jc w:val="both"/>
      </w:pPr>
      <w:r>
        <w:t>Luisa Nelle y Fernando García pueden colaborar en la preparación de la agenda del taller</w:t>
      </w:r>
    </w:p>
    <w:p w:rsidR="005B2ADD" w:rsidRDefault="005B2ADD" w:rsidP="002A25F6">
      <w:pPr>
        <w:pStyle w:val="ListParagraph"/>
        <w:numPr>
          <w:ilvl w:val="1"/>
          <w:numId w:val="10"/>
        </w:numPr>
        <w:jc w:val="both"/>
      </w:pPr>
      <w:r>
        <w:t>Hugo González y Obdulio Fuentes pueden presentar sus respectivas experiencias de plataformas de información (S</w:t>
      </w:r>
      <w:r w:rsidR="003E5EFE">
        <w:t>I</w:t>
      </w:r>
      <w:r>
        <w:t>INSAN y CONRED) en el taller. Centrarse en lecciones aprendidas para concertación interinstitucional y puesta en marcha.</w:t>
      </w:r>
    </w:p>
    <w:p w:rsidR="003E5EFE" w:rsidRDefault="003E5EFE" w:rsidP="002A25F6">
      <w:pPr>
        <w:pStyle w:val="ListParagraph"/>
        <w:numPr>
          <w:ilvl w:val="1"/>
          <w:numId w:val="10"/>
        </w:numPr>
        <w:jc w:val="both"/>
      </w:pPr>
      <w:r>
        <w:lastRenderedPageBreak/>
        <w:t xml:space="preserve">Contacto previo entre programadores: Peter </w:t>
      </w:r>
      <w:proofErr w:type="spellStart"/>
      <w:r>
        <w:t>V</w:t>
      </w:r>
      <w:r w:rsidR="00320C8E">
        <w:t>erweij</w:t>
      </w:r>
      <w:proofErr w:type="spellEnd"/>
      <w:r>
        <w:t xml:space="preserve"> (Wageningen), programador</w:t>
      </w:r>
      <w:r w:rsidR="00186802">
        <w:t>es de LEDS/USAID,</w:t>
      </w:r>
      <w:r>
        <w:t xml:space="preserve"> </w:t>
      </w:r>
      <w:r w:rsidR="00186802">
        <w:t xml:space="preserve">GIZ/SEGEPLAN, </w:t>
      </w:r>
      <w:r>
        <w:t>SIINSAN,</w:t>
      </w:r>
      <w:r w:rsidR="00186802">
        <w:t xml:space="preserve"> INFORM</w:t>
      </w:r>
      <w:r>
        <w:t>.</w:t>
      </w:r>
    </w:p>
    <w:p w:rsidR="00C12807" w:rsidRDefault="00C12807" w:rsidP="002A25F6">
      <w:pPr>
        <w:pStyle w:val="ListParagraph"/>
        <w:numPr>
          <w:ilvl w:val="1"/>
          <w:numId w:val="10"/>
        </w:numPr>
        <w:jc w:val="both"/>
      </w:pPr>
      <w:r>
        <w:t xml:space="preserve">Asegurar participación CTCN (MW contacto Sandra Bry y Marta Moneo). </w:t>
      </w:r>
    </w:p>
    <w:p w:rsidR="00022EB3" w:rsidRDefault="00022EB3" w:rsidP="002A25F6">
      <w:pPr>
        <w:jc w:val="both"/>
      </w:pPr>
    </w:p>
    <w:p w:rsidR="00022EB3" w:rsidRPr="00EA6C0B" w:rsidRDefault="00B45B96" w:rsidP="002A25F6">
      <w:pPr>
        <w:pStyle w:val="ListParagraph"/>
        <w:numPr>
          <w:ilvl w:val="0"/>
          <w:numId w:val="10"/>
        </w:numPr>
        <w:jc w:val="both"/>
        <w:rPr>
          <w:b/>
        </w:rPr>
      </w:pPr>
      <w:r w:rsidRPr="00EA6C0B">
        <w:rPr>
          <w:b/>
        </w:rPr>
        <w:t xml:space="preserve">Contenido del </w:t>
      </w:r>
      <w:r w:rsidR="00022EB3" w:rsidRPr="00EA6C0B">
        <w:rPr>
          <w:b/>
        </w:rPr>
        <w:t>SNICC</w:t>
      </w:r>
    </w:p>
    <w:p w:rsidR="00296647" w:rsidRDefault="00296647" w:rsidP="002A25F6">
      <w:pPr>
        <w:ind w:left="720"/>
        <w:jc w:val="both"/>
      </w:pPr>
    </w:p>
    <w:p w:rsidR="006808BF" w:rsidRDefault="006808BF" w:rsidP="002A25F6">
      <w:pPr>
        <w:pStyle w:val="ListParagraph"/>
        <w:numPr>
          <w:ilvl w:val="1"/>
          <w:numId w:val="10"/>
        </w:numPr>
        <w:jc w:val="both"/>
      </w:pPr>
      <w:r>
        <w:t xml:space="preserve">El grupo de índices “Ciencias del clima” debe incluir </w:t>
      </w:r>
      <w:r w:rsidR="00516516" w:rsidRPr="00296647">
        <w:rPr>
          <w:b/>
        </w:rPr>
        <w:t>índices</w:t>
      </w:r>
      <w:r w:rsidR="00B82FDA" w:rsidRPr="00296647">
        <w:rPr>
          <w:b/>
        </w:rPr>
        <w:t xml:space="preserve"> a largo plazo</w:t>
      </w:r>
      <w:r w:rsidR="00516516">
        <w:t xml:space="preserve"> que resultan del uso </w:t>
      </w:r>
      <w:r>
        <w:t>de modelos de cambios en aspectos biofísicos como, por ejemplo, cambios en las zonas de vida de Holdridge</w:t>
      </w:r>
      <w:r w:rsidR="00516516">
        <w:t>,</w:t>
      </w:r>
      <w:r>
        <w:t xml:space="preserve"> cambios en la distribución de cultivos </w:t>
      </w:r>
      <w:r w:rsidR="00516516">
        <w:t>o especies forestales</w:t>
      </w:r>
      <w:r>
        <w:t>. Estos</w:t>
      </w:r>
      <w:r w:rsidR="00E86D5E">
        <w:t xml:space="preserve"> índices señalan tendencias a largo plazo</w:t>
      </w:r>
      <w:r w:rsidR="00516516">
        <w:t xml:space="preserve">, </w:t>
      </w:r>
      <w:r w:rsidR="001F20E9">
        <w:t>abordan el cambio climático gradu</w:t>
      </w:r>
      <w:r w:rsidR="00516516">
        <w:t>al (no la variabilidad climática), y por lo general tienen una escala espacial y temporal gruesa. Por lo anterior</w:t>
      </w:r>
      <w:r w:rsidR="00E41242">
        <w:t>,</w:t>
      </w:r>
      <w:r w:rsidR="00516516">
        <w:t xml:space="preserve"> son más apropiados </w:t>
      </w:r>
      <w:r w:rsidR="00320C8E">
        <w:t>para orientar</w:t>
      </w:r>
      <w:r w:rsidR="00E41242">
        <w:t xml:space="preserve"> </w:t>
      </w:r>
      <w:r w:rsidR="00516516">
        <w:t xml:space="preserve">ejercicios de </w:t>
      </w:r>
      <w:r w:rsidR="00516516" w:rsidRPr="00296647">
        <w:rPr>
          <w:b/>
        </w:rPr>
        <w:t>planificación estratégica</w:t>
      </w:r>
      <w:r w:rsidR="00516516">
        <w:t xml:space="preserve"> que para reportes o planes a mediano y corto plazo.</w:t>
      </w:r>
    </w:p>
    <w:p w:rsidR="00D265C1" w:rsidRDefault="00D265C1" w:rsidP="00D265C1">
      <w:pPr>
        <w:pStyle w:val="ListParagraph"/>
        <w:numPr>
          <w:ilvl w:val="1"/>
          <w:numId w:val="10"/>
        </w:numPr>
        <w:jc w:val="both"/>
      </w:pPr>
      <w:r>
        <w:t>E</w:t>
      </w:r>
      <w:r w:rsidRPr="00D265C1">
        <w:t>n términos de contenido, es necesario</w:t>
      </w:r>
      <w:r>
        <w:t xml:space="preserve"> que el SNICC lidere la definición y uso de u</w:t>
      </w:r>
      <w:r w:rsidRPr="00D265C1">
        <w:t>n marco robusto, abierto y flexible, basado en cálculos fáciles, repetibles y transparentes, que utiliza los datos disponibles. Se debe tener especial cuidado para asegurar que el conjunto de indicadores no se convierta en una lista interminable difícil de poner en práctica, mantener y actualizar.</w:t>
      </w:r>
    </w:p>
    <w:p w:rsidR="000E547C" w:rsidRDefault="000E547C" w:rsidP="000E547C">
      <w:pPr>
        <w:pStyle w:val="ListParagraph"/>
        <w:numPr>
          <w:ilvl w:val="1"/>
          <w:numId w:val="10"/>
        </w:numPr>
        <w:jc w:val="both"/>
      </w:pPr>
      <w:r w:rsidRPr="000E547C">
        <w:t>La definición</w:t>
      </w:r>
      <w:r>
        <w:t xml:space="preserve"> de un maro genérico</w:t>
      </w:r>
      <w:r w:rsidRPr="000E547C">
        <w:t xml:space="preserve"> y el uso de indicadores inevitablemente implican un difícil y en muchos casos arbitrario proceso de selección. No todo debe medirse y no todo se puede controlar. Por lo tanto, la definición </w:t>
      </w:r>
      <w:r>
        <w:t xml:space="preserve">del marco </w:t>
      </w:r>
      <w:r w:rsidRPr="000E547C">
        <w:t>y el uso correcto de un conjunto de indicadores dependerán de las métricas y criterios de selección claros</w:t>
      </w:r>
      <w:r>
        <w:t xml:space="preserve"> en relación con las obligaciones de MRV del MARN. </w:t>
      </w:r>
      <w:r w:rsidRPr="000E547C">
        <w:t xml:space="preserve">En general, estos criterios se pueden definir en relación con los </w:t>
      </w:r>
      <w:r w:rsidR="00F75550">
        <w:t xml:space="preserve">reportes a los cuales se debe responder, las obligaciones de RMV y los </w:t>
      </w:r>
      <w:r w:rsidRPr="000E547C">
        <w:t>datos que se deben usar para desarrollar indicadores, las características requeridas del indicador y la utilidad de los indicadores para los usuarios.</w:t>
      </w:r>
    </w:p>
    <w:p w:rsidR="00296647" w:rsidRDefault="00296647" w:rsidP="002A25F6">
      <w:pPr>
        <w:ind w:left="720"/>
        <w:jc w:val="both"/>
      </w:pPr>
    </w:p>
    <w:p w:rsidR="00B45B96" w:rsidRDefault="000D2544" w:rsidP="002A25F6">
      <w:pPr>
        <w:jc w:val="both"/>
      </w:pPr>
      <w:r>
        <w:t xml:space="preserve">El SNICC debería </w:t>
      </w:r>
      <w:r w:rsidR="00296647">
        <w:t>incluir indicadores</w:t>
      </w:r>
      <w:r w:rsidRPr="00B82FDA">
        <w:rPr>
          <w:b/>
        </w:rPr>
        <w:t xml:space="preserve"> de desempeño</w:t>
      </w:r>
      <w:r>
        <w:t xml:space="preserve"> y metas de </w:t>
      </w:r>
      <w:r w:rsidRPr="00B45B96">
        <w:rPr>
          <w:b/>
        </w:rPr>
        <w:t>planificación operativa</w:t>
      </w:r>
      <w:r>
        <w:t xml:space="preserve">. Se recomienda el uso del Clasificador de Cambio </w:t>
      </w:r>
      <w:r w:rsidRPr="00A4284B">
        <w:t>Climático</w:t>
      </w:r>
      <w:r>
        <w:t xml:space="preserve"> (Jenny Vásquez), una herramienta </w:t>
      </w:r>
      <w:r w:rsidR="00907F4D">
        <w:t>que permite clasificar las inversiones y acciones gubernamentales para estimar cuánto presupuesto se dedica a mitigación / adaptación</w:t>
      </w:r>
      <w:r w:rsidR="00B45B96">
        <w:t>.</w:t>
      </w:r>
      <w:r w:rsidR="00907F4D">
        <w:t xml:space="preserve"> </w:t>
      </w:r>
      <w:r w:rsidR="00B45B96">
        <w:t>Para desempeño ver también los ejemplos de indicadores de salvaguardas del Sistema de Información de la Estrategia Nacional REDD</w:t>
      </w:r>
      <w:r w:rsidR="00B45B96" w:rsidRPr="00B45B96">
        <w:t xml:space="preserve">+ </w:t>
      </w:r>
      <w:r w:rsidR="00B45B96">
        <w:t xml:space="preserve">(SIREDD+, en </w:t>
      </w:r>
      <w:hyperlink r:id="rId8" w:history="1">
        <w:r w:rsidR="00B45B96" w:rsidRPr="00A0755F">
          <w:rPr>
            <w:rStyle w:val="Hyperlink"/>
          </w:rPr>
          <w:t>https://siredd.marn.gob.gt/indicadores-sis</w:t>
        </w:r>
      </w:hyperlink>
      <w:r w:rsidR="00B45B96">
        <w:t>)</w:t>
      </w:r>
    </w:p>
    <w:p w:rsidR="00B45B96" w:rsidRDefault="00B45B96" w:rsidP="002A25F6">
      <w:pPr>
        <w:ind w:left="720"/>
        <w:jc w:val="both"/>
      </w:pPr>
    </w:p>
    <w:p w:rsidR="002E488A" w:rsidRDefault="002E488A" w:rsidP="002A25F6">
      <w:pPr>
        <w:spacing w:after="160"/>
        <w:jc w:val="both"/>
        <w:rPr>
          <w:b/>
        </w:rPr>
      </w:pPr>
      <w:r>
        <w:rPr>
          <w:b/>
        </w:rPr>
        <w:br w:type="page"/>
      </w:r>
    </w:p>
    <w:p w:rsidR="000E1ED8" w:rsidRDefault="006808BF" w:rsidP="002A25F6">
      <w:pPr>
        <w:pStyle w:val="ListParagraph"/>
        <w:numPr>
          <w:ilvl w:val="1"/>
          <w:numId w:val="10"/>
        </w:numPr>
        <w:jc w:val="both"/>
      </w:pPr>
      <w:r w:rsidRPr="00540920">
        <w:rPr>
          <w:b/>
        </w:rPr>
        <w:lastRenderedPageBreak/>
        <w:t>Sugerencias para los</w:t>
      </w:r>
      <w:r w:rsidR="00540920" w:rsidRPr="00540920">
        <w:rPr>
          <w:b/>
        </w:rPr>
        <w:t xml:space="preserve"> protocolos</w:t>
      </w:r>
      <w:r w:rsidR="0094364C">
        <w:rPr>
          <w:b/>
        </w:rPr>
        <w:t xml:space="preserve"> y conjunto</w:t>
      </w:r>
      <w:r w:rsidR="00540920">
        <w:t xml:space="preserve"> de los</w:t>
      </w:r>
      <w:r>
        <w:t xml:space="preserve"> índices</w:t>
      </w:r>
      <w:r w:rsidR="00653022">
        <w:t xml:space="preserve"> actuales:</w:t>
      </w:r>
    </w:p>
    <w:p w:rsidR="00653022" w:rsidRDefault="00653022" w:rsidP="002A25F6">
      <w:pPr>
        <w:pStyle w:val="ListParagraph"/>
        <w:jc w:val="both"/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2410"/>
        <w:gridCol w:w="5193"/>
      </w:tblGrid>
      <w:tr w:rsidR="0094364C" w:rsidRPr="0094364C" w:rsidTr="00325B78">
        <w:tc>
          <w:tcPr>
            <w:tcW w:w="7603" w:type="dxa"/>
            <w:gridSpan w:val="2"/>
          </w:tcPr>
          <w:p w:rsidR="0094364C" w:rsidRPr="0094364C" w:rsidRDefault="0094364C" w:rsidP="002A25F6">
            <w:pPr>
              <w:jc w:val="both"/>
              <w:rPr>
                <w:i/>
              </w:rPr>
            </w:pPr>
            <w:r w:rsidRPr="0094364C">
              <w:rPr>
                <w:i/>
              </w:rPr>
              <w:t>MITIGACIÓN</w:t>
            </w:r>
          </w:p>
        </w:tc>
      </w:tr>
      <w:tr w:rsidR="00653022" w:rsidTr="00653022">
        <w:tc>
          <w:tcPr>
            <w:tcW w:w="2410" w:type="dxa"/>
          </w:tcPr>
          <w:p w:rsidR="00653022" w:rsidRDefault="00653022" w:rsidP="002A25F6">
            <w:pPr>
              <w:jc w:val="both"/>
            </w:pPr>
            <w:r>
              <w:t>Índice de desacople</w:t>
            </w:r>
          </w:p>
        </w:tc>
        <w:tc>
          <w:tcPr>
            <w:tcW w:w="5193" w:type="dxa"/>
          </w:tcPr>
          <w:p w:rsidR="00653022" w:rsidRDefault="00653022" w:rsidP="002A25F6">
            <w:pPr>
              <w:pStyle w:val="ListParagraph"/>
              <w:numPr>
                <w:ilvl w:val="0"/>
                <w:numId w:val="16"/>
              </w:numPr>
              <w:jc w:val="both"/>
            </w:pPr>
            <w:r w:rsidRPr="00653022">
              <w:t>Desagregar</w:t>
            </w:r>
            <w:r>
              <w:t>lo</w:t>
            </w:r>
            <w:r w:rsidRPr="00653022">
              <w:t xml:space="preserve"> por sector</w:t>
            </w:r>
            <w:r>
              <w:t>, USAID LEDS ha generado los datos.</w:t>
            </w:r>
          </w:p>
        </w:tc>
      </w:tr>
      <w:tr w:rsidR="00653022" w:rsidTr="00653022">
        <w:tc>
          <w:tcPr>
            <w:tcW w:w="2410" w:type="dxa"/>
          </w:tcPr>
          <w:p w:rsidR="00653022" w:rsidRDefault="00653022" w:rsidP="002A25F6">
            <w:pPr>
              <w:jc w:val="both"/>
            </w:pPr>
            <w:r>
              <w:t>Emisiones de GEI por gas y sector</w:t>
            </w:r>
          </w:p>
        </w:tc>
        <w:tc>
          <w:tcPr>
            <w:tcW w:w="5193" w:type="dxa"/>
          </w:tcPr>
          <w:p w:rsidR="00653022" w:rsidRPr="00540920" w:rsidRDefault="00653022" w:rsidP="002A25F6">
            <w:pPr>
              <w:pStyle w:val="ListParagraph"/>
              <w:numPr>
                <w:ilvl w:val="0"/>
                <w:numId w:val="16"/>
              </w:numPr>
              <w:jc w:val="both"/>
            </w:pPr>
            <w:r w:rsidRPr="00540920">
              <w:t xml:space="preserve">Contiene elementos sensibles, como las emisiones por consumo de leña, que pueden ser dejados a un lado para el balance de emisiones. </w:t>
            </w:r>
            <w:r w:rsidR="00BE13E7" w:rsidRPr="00540920">
              <w:t>C</w:t>
            </w:r>
            <w:r w:rsidRPr="00540920">
              <w:t xml:space="preserve">on el proyecto NAMA Leña se generará información actualizada para socializar, ver: </w:t>
            </w:r>
            <w:hyperlink r:id="rId9" w:history="1">
              <w:r w:rsidRPr="00540920">
                <w:rPr>
                  <w:rStyle w:val="Hyperlink"/>
                </w:rPr>
                <w:t>https://www.pronacom.gt/proyectos/nama</w:t>
              </w:r>
            </w:hyperlink>
            <w:r w:rsidRPr="00540920">
              <w:t xml:space="preserve"> )</w:t>
            </w:r>
          </w:p>
          <w:p w:rsidR="00653022" w:rsidRPr="00540920" w:rsidRDefault="00540920" w:rsidP="002A25F6">
            <w:pPr>
              <w:pStyle w:val="ListParagraph"/>
              <w:numPr>
                <w:ilvl w:val="0"/>
                <w:numId w:val="16"/>
              </w:numPr>
              <w:spacing w:line="259" w:lineRule="auto"/>
              <w:jc w:val="both"/>
            </w:pPr>
            <w:r w:rsidRPr="00540920">
              <w:t xml:space="preserve">La actualización del inventario usa fuentes no oficiales, lo cual debe considerarse en los supuestos o limitaciones </w:t>
            </w:r>
          </w:p>
        </w:tc>
      </w:tr>
      <w:tr w:rsidR="00540920" w:rsidTr="00653022">
        <w:tc>
          <w:tcPr>
            <w:tcW w:w="2410" w:type="dxa"/>
          </w:tcPr>
          <w:p w:rsidR="00540920" w:rsidRDefault="00540920" w:rsidP="002A25F6">
            <w:pPr>
              <w:jc w:val="both"/>
            </w:pPr>
            <w:r>
              <w:t>Composición de la matriz energética</w:t>
            </w:r>
          </w:p>
        </w:tc>
        <w:tc>
          <w:tcPr>
            <w:tcW w:w="5193" w:type="dxa"/>
          </w:tcPr>
          <w:p w:rsidR="00540920" w:rsidRPr="00540920" w:rsidRDefault="00540920" w:rsidP="002A25F6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El uso de</w:t>
            </w:r>
            <w:r w:rsidRPr="00540920">
              <w:t xml:space="preserve"> leña no cambia mucho porque se calcula como un promedio por hogar</w:t>
            </w:r>
            <w:r>
              <w:t>.</w:t>
            </w:r>
          </w:p>
        </w:tc>
      </w:tr>
      <w:tr w:rsidR="00540920" w:rsidTr="00653022">
        <w:tc>
          <w:tcPr>
            <w:tcW w:w="2410" w:type="dxa"/>
          </w:tcPr>
          <w:p w:rsidR="00540920" w:rsidRDefault="00540920" w:rsidP="002A25F6">
            <w:pPr>
              <w:jc w:val="both"/>
            </w:pPr>
            <w:r>
              <w:t>Tasa de reciclaje</w:t>
            </w:r>
          </w:p>
        </w:tc>
        <w:tc>
          <w:tcPr>
            <w:tcW w:w="5193" w:type="dxa"/>
          </w:tcPr>
          <w:p w:rsidR="00540920" w:rsidRDefault="00540920" w:rsidP="002A25F6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Considerar datos para Ciudad de Guatemala</w:t>
            </w:r>
          </w:p>
        </w:tc>
      </w:tr>
      <w:tr w:rsidR="001D1DBF" w:rsidTr="00653022">
        <w:tc>
          <w:tcPr>
            <w:tcW w:w="2410" w:type="dxa"/>
          </w:tcPr>
          <w:p w:rsidR="001D1DBF" w:rsidRDefault="0094364C" w:rsidP="002A25F6">
            <w:pPr>
              <w:jc w:val="both"/>
            </w:pPr>
            <w:r>
              <w:t>Niveles de referencia de Emisiones GEI Forestales</w:t>
            </w:r>
          </w:p>
        </w:tc>
        <w:tc>
          <w:tcPr>
            <w:tcW w:w="5193" w:type="dxa"/>
          </w:tcPr>
          <w:p w:rsidR="001D1DBF" w:rsidRDefault="0094364C" w:rsidP="002A25F6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Incluirlos como indicadores para medición de desempeño, además están desagregados por regiones del país.</w:t>
            </w:r>
          </w:p>
        </w:tc>
      </w:tr>
      <w:tr w:rsidR="0094364C" w:rsidTr="000A2148">
        <w:tc>
          <w:tcPr>
            <w:tcW w:w="7603" w:type="dxa"/>
            <w:gridSpan w:val="2"/>
          </w:tcPr>
          <w:p w:rsidR="0094364C" w:rsidRPr="0094364C" w:rsidRDefault="0094364C" w:rsidP="002A25F6">
            <w:pPr>
              <w:jc w:val="both"/>
              <w:rPr>
                <w:i/>
              </w:rPr>
            </w:pPr>
            <w:r w:rsidRPr="0094364C">
              <w:rPr>
                <w:i/>
              </w:rPr>
              <w:t>VULNERABILIDAD</w:t>
            </w:r>
          </w:p>
        </w:tc>
      </w:tr>
      <w:tr w:rsidR="0094364C" w:rsidTr="00653022">
        <w:tc>
          <w:tcPr>
            <w:tcW w:w="2410" w:type="dxa"/>
          </w:tcPr>
          <w:p w:rsidR="0094364C" w:rsidRDefault="0094364C" w:rsidP="002A25F6">
            <w:pPr>
              <w:jc w:val="both"/>
            </w:pPr>
            <w:r>
              <w:t>Tasa anual de cambio neto de cobertura forestal</w:t>
            </w:r>
          </w:p>
        </w:tc>
        <w:tc>
          <w:tcPr>
            <w:tcW w:w="5193" w:type="dxa"/>
          </w:tcPr>
          <w:p w:rsidR="0094364C" w:rsidRDefault="0094364C" w:rsidP="002A25F6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El cambio de cobertura no es lo mismo que deforestación, se sugiere utilizar en la leyenda del mapa la palabra pérdida en lugar de deforestación.</w:t>
            </w:r>
          </w:p>
        </w:tc>
      </w:tr>
      <w:tr w:rsidR="0094364C" w:rsidTr="00653022">
        <w:tc>
          <w:tcPr>
            <w:tcW w:w="2410" w:type="dxa"/>
          </w:tcPr>
          <w:p w:rsidR="0094364C" w:rsidRDefault="00F10447" w:rsidP="002A25F6">
            <w:pPr>
              <w:jc w:val="both"/>
            </w:pPr>
            <w:r>
              <w:t>C</w:t>
            </w:r>
            <w:r w:rsidR="0094364C">
              <w:t>onflicto de uso</w:t>
            </w:r>
          </w:p>
        </w:tc>
        <w:tc>
          <w:tcPr>
            <w:tcW w:w="5193" w:type="dxa"/>
          </w:tcPr>
          <w:p w:rsidR="0094364C" w:rsidRDefault="0094364C" w:rsidP="002A25F6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Cambiar el término por índice de intensidad de uso de la tierra. El término conflicto en Guatemala se asocia al conflicto en la tenencia de la tierra.</w:t>
            </w:r>
          </w:p>
        </w:tc>
      </w:tr>
    </w:tbl>
    <w:p w:rsidR="0094364C" w:rsidRDefault="0094364C" w:rsidP="002A25F6">
      <w:pPr>
        <w:ind w:left="720"/>
        <w:jc w:val="both"/>
      </w:pPr>
    </w:p>
    <w:p w:rsidR="00A0491E" w:rsidRDefault="00250D15" w:rsidP="002A25F6">
      <w:pPr>
        <w:pStyle w:val="ListParagraph"/>
        <w:numPr>
          <w:ilvl w:val="1"/>
          <w:numId w:val="10"/>
        </w:numPr>
        <w:jc w:val="both"/>
      </w:pPr>
      <w:r>
        <w:t xml:space="preserve">La metodología de </w:t>
      </w:r>
      <w:r w:rsidRPr="00296647">
        <w:rPr>
          <w:b/>
        </w:rPr>
        <w:t>validación de índices del SNICC</w:t>
      </w:r>
      <w:r>
        <w:t xml:space="preserve"> es apropiada según los resultados de su aplicación con personal del CONAP. </w:t>
      </w:r>
      <w:r w:rsidR="00A0491E">
        <w:t xml:space="preserve">La validación del </w:t>
      </w:r>
      <w:r w:rsidR="00A0491E" w:rsidRPr="00AF3CBC">
        <w:t>conjunto propuesta de índices será desarrollada</w:t>
      </w:r>
      <w:r w:rsidR="008173A5" w:rsidRPr="00AF3CBC">
        <w:t xml:space="preserve"> con dicha metodología</w:t>
      </w:r>
      <w:r w:rsidR="00A0491E" w:rsidRPr="00AF3CBC">
        <w:t xml:space="preserve"> durante una visita específica de C</w:t>
      </w:r>
      <w:r w:rsidR="00022EB3" w:rsidRPr="00AF3CBC">
        <w:t>B</w:t>
      </w:r>
      <w:r w:rsidR="00A0491E" w:rsidRPr="00AF3CBC">
        <w:t xml:space="preserve"> entre el 20 y 24 agost</w:t>
      </w:r>
      <w:r w:rsidR="00F373E8" w:rsidRPr="00AF3CBC">
        <w:t>o. Ver formato de validación</w:t>
      </w:r>
      <w:r w:rsidR="005B2ADD" w:rsidRPr="00AF3CBC">
        <w:t xml:space="preserve"> y lista preliminar de participantes en la validación</w:t>
      </w:r>
      <w:r w:rsidR="00F373E8" w:rsidRPr="00AF3CBC">
        <w:t xml:space="preserve"> en </w:t>
      </w:r>
      <w:r w:rsidR="00AF3CBC" w:rsidRPr="00AF3CBC">
        <w:t>los a</w:t>
      </w:r>
      <w:r w:rsidR="00F373E8" w:rsidRPr="00AF3CBC">
        <w:t>nexo</w:t>
      </w:r>
      <w:r w:rsidR="00AF3CBC" w:rsidRPr="00AF3CBC">
        <w:t xml:space="preserve">s </w:t>
      </w:r>
      <w:r w:rsidR="00AF3CBC">
        <w:t xml:space="preserve">2 </w:t>
      </w:r>
      <w:r w:rsidR="00AF3CBC" w:rsidRPr="00AF3CBC">
        <w:t>y 3 respectivamente</w:t>
      </w:r>
      <w:r w:rsidR="00F373E8" w:rsidRPr="00AF3CBC">
        <w:t>.</w:t>
      </w:r>
      <w:r w:rsidR="008173A5">
        <w:t xml:space="preserve"> </w:t>
      </w:r>
    </w:p>
    <w:p w:rsidR="00A4284B" w:rsidRDefault="00A4284B" w:rsidP="002A25F6">
      <w:pPr>
        <w:jc w:val="both"/>
      </w:pPr>
    </w:p>
    <w:p w:rsidR="00EA6C0B" w:rsidRDefault="00EA6C0B" w:rsidP="002A25F6">
      <w:pPr>
        <w:pStyle w:val="ListParagraph"/>
        <w:numPr>
          <w:ilvl w:val="1"/>
          <w:numId w:val="10"/>
        </w:numPr>
        <w:jc w:val="both"/>
      </w:pPr>
      <w:r>
        <w:t xml:space="preserve">Según la experiencia del SIINSAN, </w:t>
      </w:r>
      <w:r w:rsidRPr="00EA6C0B">
        <w:rPr>
          <w:b/>
        </w:rPr>
        <w:t>los puntos más importantes para lograr la sostenibilidad del sistema</w:t>
      </w:r>
      <w:r>
        <w:t xml:space="preserve"> son:  </w:t>
      </w:r>
    </w:p>
    <w:p w:rsidR="00EA6C0B" w:rsidRDefault="00EA6C0B" w:rsidP="002A25F6">
      <w:pPr>
        <w:pStyle w:val="ListParagraph"/>
        <w:numPr>
          <w:ilvl w:val="0"/>
          <w:numId w:val="8"/>
        </w:numPr>
        <w:ind w:left="1776"/>
        <w:jc w:val="both"/>
      </w:pPr>
      <w:r>
        <w:t xml:space="preserve">Considerar fondos para mantenimiento </w:t>
      </w:r>
    </w:p>
    <w:p w:rsidR="00EA6C0B" w:rsidRDefault="00EA6C0B" w:rsidP="002A25F6">
      <w:pPr>
        <w:pStyle w:val="ListParagraph"/>
        <w:numPr>
          <w:ilvl w:val="0"/>
          <w:numId w:val="8"/>
        </w:numPr>
        <w:ind w:left="1776"/>
        <w:jc w:val="both"/>
      </w:pPr>
      <w:r>
        <w:t>Establecer un manejo adaptativo de la plataforma.</w:t>
      </w:r>
    </w:p>
    <w:p w:rsidR="00EA6C0B" w:rsidRDefault="00EA6C0B" w:rsidP="002A25F6">
      <w:pPr>
        <w:pStyle w:val="ListParagraph"/>
        <w:numPr>
          <w:ilvl w:val="0"/>
          <w:numId w:val="8"/>
        </w:numPr>
        <w:ind w:left="1776"/>
        <w:jc w:val="both"/>
      </w:pPr>
      <w:r>
        <w:t xml:space="preserve">Contar con diversidad de usuarios, incluyendo la población en general y la prensa </w:t>
      </w:r>
    </w:p>
    <w:p w:rsidR="00EA6C0B" w:rsidRPr="00A4284B" w:rsidRDefault="00EA6C0B" w:rsidP="002A25F6">
      <w:pPr>
        <w:jc w:val="both"/>
      </w:pPr>
    </w:p>
    <w:p w:rsidR="00A4284B" w:rsidRPr="00A4284B" w:rsidRDefault="00A4284B" w:rsidP="002A25F6">
      <w:pPr>
        <w:pStyle w:val="ListParagraph"/>
        <w:numPr>
          <w:ilvl w:val="0"/>
          <w:numId w:val="16"/>
        </w:numPr>
        <w:jc w:val="both"/>
        <w:rPr>
          <w:b/>
        </w:rPr>
      </w:pPr>
      <w:r w:rsidRPr="00A4284B">
        <w:rPr>
          <w:b/>
        </w:rPr>
        <w:t>Otros acuerdos</w:t>
      </w:r>
    </w:p>
    <w:p w:rsidR="00A4284B" w:rsidRPr="00A4284B" w:rsidRDefault="00A4284B" w:rsidP="002A25F6">
      <w:pPr>
        <w:jc w:val="both"/>
      </w:pPr>
    </w:p>
    <w:p w:rsidR="00A4284B" w:rsidRDefault="00A4284B" w:rsidP="002A25F6">
      <w:pPr>
        <w:pStyle w:val="ListParagraph"/>
        <w:numPr>
          <w:ilvl w:val="1"/>
          <w:numId w:val="16"/>
        </w:numPr>
        <w:jc w:val="both"/>
      </w:pPr>
      <w:r>
        <w:t>Compartir con diferentes iniciativas las fichas de los indicadores y productos previos de la asistencia técnica por Dropbox.</w:t>
      </w:r>
    </w:p>
    <w:p w:rsidR="00A4284B" w:rsidRDefault="00A4284B" w:rsidP="002A25F6">
      <w:pPr>
        <w:pStyle w:val="ListParagraph"/>
        <w:numPr>
          <w:ilvl w:val="1"/>
          <w:numId w:val="16"/>
        </w:numPr>
        <w:jc w:val="both"/>
      </w:pPr>
      <w:r>
        <w:t>Coordinar validación de los protocolos de los indicadores durante visita en agosto o Skype.</w:t>
      </w:r>
    </w:p>
    <w:p w:rsidR="00F373E8" w:rsidRPr="00A4284B" w:rsidRDefault="00F373E8" w:rsidP="002A25F6">
      <w:pPr>
        <w:jc w:val="both"/>
      </w:pPr>
      <w:r w:rsidRPr="00A4284B">
        <w:br w:type="page"/>
      </w:r>
    </w:p>
    <w:p w:rsidR="003E3FDD" w:rsidRPr="00486930" w:rsidRDefault="00486930" w:rsidP="002A25F6">
      <w:pPr>
        <w:jc w:val="both"/>
        <w:rPr>
          <w:b/>
        </w:rPr>
      </w:pPr>
      <w:r w:rsidRPr="00486930">
        <w:rPr>
          <w:b/>
        </w:rPr>
        <w:lastRenderedPageBreak/>
        <w:t>Anexo</w:t>
      </w:r>
      <w:r w:rsidR="00F373E8">
        <w:rPr>
          <w:b/>
        </w:rPr>
        <w:t xml:space="preserve"> 1</w:t>
      </w:r>
      <w:r w:rsidRPr="00486930">
        <w:rPr>
          <w:b/>
        </w:rPr>
        <w:t xml:space="preserve"> Agenda de la visita</w:t>
      </w:r>
      <w:r w:rsidR="002D2C86">
        <w:rPr>
          <w:b/>
        </w:rPr>
        <w:t xml:space="preserve"> 23-27 de Julio,2018</w:t>
      </w:r>
    </w:p>
    <w:p w:rsidR="00093D83" w:rsidRDefault="00093D83" w:rsidP="002A25F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56"/>
        <w:gridCol w:w="4156"/>
      </w:tblGrid>
      <w:tr w:rsidR="00EE18DF" w:rsidTr="00EE18DF">
        <w:tc>
          <w:tcPr>
            <w:tcW w:w="704" w:type="dxa"/>
          </w:tcPr>
          <w:p w:rsidR="00EE18DF" w:rsidRDefault="00EE18DF" w:rsidP="002A25F6">
            <w:pPr>
              <w:jc w:val="both"/>
            </w:pPr>
            <w:r>
              <w:t>Día</w:t>
            </w:r>
          </w:p>
        </w:tc>
        <w:tc>
          <w:tcPr>
            <w:tcW w:w="4156" w:type="dxa"/>
          </w:tcPr>
          <w:p w:rsidR="00EE18DF" w:rsidRPr="00EE18DF" w:rsidRDefault="00EE18DF" w:rsidP="002A25F6">
            <w:pPr>
              <w:jc w:val="both"/>
            </w:pPr>
            <w:r>
              <w:t>Participantes</w:t>
            </w:r>
            <w:r w:rsidR="00E77EEA">
              <w:t xml:space="preserve"> (organización)</w:t>
            </w:r>
          </w:p>
        </w:tc>
        <w:tc>
          <w:tcPr>
            <w:tcW w:w="4156" w:type="dxa"/>
          </w:tcPr>
          <w:p w:rsidR="00EE18DF" w:rsidRDefault="00EE18DF" w:rsidP="002A25F6">
            <w:pPr>
              <w:jc w:val="both"/>
            </w:pPr>
          </w:p>
        </w:tc>
      </w:tr>
      <w:tr w:rsidR="00EE18DF" w:rsidTr="00EE18DF">
        <w:tc>
          <w:tcPr>
            <w:tcW w:w="704" w:type="dxa"/>
          </w:tcPr>
          <w:p w:rsidR="00EE18DF" w:rsidRDefault="00EE18DF" w:rsidP="002A25F6">
            <w:pPr>
              <w:jc w:val="both"/>
            </w:pPr>
          </w:p>
        </w:tc>
        <w:tc>
          <w:tcPr>
            <w:tcW w:w="4156" w:type="dxa"/>
          </w:tcPr>
          <w:p w:rsidR="00EE18DF" w:rsidRDefault="00EE18DF" w:rsidP="002A25F6">
            <w:pPr>
              <w:jc w:val="both"/>
            </w:pPr>
            <w:r>
              <w:t>Mañana</w:t>
            </w:r>
          </w:p>
        </w:tc>
        <w:tc>
          <w:tcPr>
            <w:tcW w:w="4156" w:type="dxa"/>
          </w:tcPr>
          <w:p w:rsidR="00EE18DF" w:rsidRDefault="00EE18DF" w:rsidP="002A25F6">
            <w:pPr>
              <w:jc w:val="both"/>
            </w:pPr>
            <w:r>
              <w:t>Tarde</w:t>
            </w:r>
          </w:p>
        </w:tc>
      </w:tr>
      <w:tr w:rsidR="00BE6A59" w:rsidTr="00EE18DF">
        <w:tc>
          <w:tcPr>
            <w:tcW w:w="704" w:type="dxa"/>
          </w:tcPr>
          <w:p w:rsidR="00BE6A59" w:rsidRDefault="00BE6A59" w:rsidP="002A25F6">
            <w:pPr>
              <w:jc w:val="both"/>
            </w:pPr>
            <w:r>
              <w:t>23</w:t>
            </w:r>
          </w:p>
        </w:tc>
        <w:tc>
          <w:tcPr>
            <w:tcW w:w="4156" w:type="dxa"/>
          </w:tcPr>
          <w:p w:rsidR="00BE6A59" w:rsidRDefault="00BE6A59" w:rsidP="002A25F6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Luisa Nelle (GIZ), Edwin Cabnal, Moisés Aj, Raúl Calderón (SEGEPLAN – ADAPTATE)</w:t>
            </w:r>
          </w:p>
        </w:tc>
        <w:tc>
          <w:tcPr>
            <w:tcW w:w="4156" w:type="dxa"/>
          </w:tcPr>
          <w:p w:rsidR="00BE6A59" w:rsidRDefault="00BE6A59" w:rsidP="002A25F6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Luisa Nelle (GIZ), Felipe Solares (SOLUTEC)</w:t>
            </w:r>
          </w:p>
        </w:tc>
      </w:tr>
      <w:tr w:rsidR="00BE6A59" w:rsidTr="00EE18DF">
        <w:tc>
          <w:tcPr>
            <w:tcW w:w="704" w:type="dxa"/>
          </w:tcPr>
          <w:p w:rsidR="00BE6A59" w:rsidRDefault="00BE6A59" w:rsidP="002A25F6">
            <w:pPr>
              <w:jc w:val="both"/>
            </w:pPr>
            <w:r>
              <w:t>24</w:t>
            </w:r>
          </w:p>
        </w:tc>
        <w:tc>
          <w:tcPr>
            <w:tcW w:w="4156" w:type="dxa"/>
          </w:tcPr>
          <w:p w:rsidR="00BE6A59" w:rsidRDefault="00BE6A59" w:rsidP="002A25F6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Carlos Duarte, Ricardo Roca (USAID-LEDS), David Barrera, José Gálvez (MARN)</w:t>
            </w:r>
          </w:p>
          <w:p w:rsidR="00BE6A59" w:rsidRDefault="00BE6A59" w:rsidP="002A25F6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Juan Carlos Funes (MARN, III Comunicación Nacional)</w:t>
            </w:r>
          </w:p>
        </w:tc>
        <w:tc>
          <w:tcPr>
            <w:tcW w:w="4156" w:type="dxa"/>
          </w:tcPr>
          <w:p w:rsidR="00BE6A59" w:rsidRDefault="00BE6A59" w:rsidP="002A25F6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Jenny Vásquez, </w:t>
            </w:r>
            <w:proofErr w:type="spellStart"/>
            <w:r>
              <w:t>Genner</w:t>
            </w:r>
            <w:proofErr w:type="spellEnd"/>
            <w:r>
              <w:t xml:space="preserve"> Barrios, Juan Funes, Kenset Rosales (MARN)</w:t>
            </w:r>
          </w:p>
        </w:tc>
      </w:tr>
      <w:tr w:rsidR="00BE6A59" w:rsidTr="00EE18DF">
        <w:tc>
          <w:tcPr>
            <w:tcW w:w="704" w:type="dxa"/>
          </w:tcPr>
          <w:p w:rsidR="00BE6A59" w:rsidRDefault="00BE6A59" w:rsidP="002A25F6">
            <w:pPr>
              <w:jc w:val="both"/>
            </w:pPr>
            <w:r>
              <w:t>25</w:t>
            </w:r>
          </w:p>
        </w:tc>
        <w:tc>
          <w:tcPr>
            <w:tcW w:w="4156" w:type="dxa"/>
          </w:tcPr>
          <w:p w:rsidR="00BE6A59" w:rsidRDefault="00BE6A59" w:rsidP="002A25F6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Reginaldo Reyes, Fernando García (PNUD), Héctor Hernández, Héctor Godínez, Martín Leal (MAGA), Eliseo Gálvez (FAO), David Barrera (MARN)</w:t>
            </w:r>
          </w:p>
        </w:tc>
        <w:tc>
          <w:tcPr>
            <w:tcW w:w="4156" w:type="dxa"/>
          </w:tcPr>
          <w:p w:rsidR="00BE6A59" w:rsidRDefault="00BE6A59" w:rsidP="002A25F6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José </w:t>
            </w:r>
            <w:proofErr w:type="spellStart"/>
            <w:r>
              <w:t>Cojom</w:t>
            </w:r>
            <w:proofErr w:type="spellEnd"/>
            <w:r>
              <w:t>, Jorge del Cid, Flor Calderón, Saúl Pérez, Adolfo Macario, David Barrera (MARN)</w:t>
            </w:r>
          </w:p>
        </w:tc>
      </w:tr>
      <w:tr w:rsidR="00BE6A59" w:rsidTr="00EE18DF">
        <w:tc>
          <w:tcPr>
            <w:tcW w:w="704" w:type="dxa"/>
          </w:tcPr>
          <w:p w:rsidR="00BE6A59" w:rsidRDefault="00BE6A59" w:rsidP="002A25F6">
            <w:pPr>
              <w:jc w:val="both"/>
            </w:pPr>
            <w:r>
              <w:t>26</w:t>
            </w:r>
          </w:p>
        </w:tc>
        <w:tc>
          <w:tcPr>
            <w:tcW w:w="4156" w:type="dxa"/>
          </w:tcPr>
          <w:p w:rsidR="00BE6A59" w:rsidRDefault="00BE6A59" w:rsidP="002A25F6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Louisa Nelle (GIZ), Sergio Hugo González (SI</w:t>
            </w:r>
            <w:r w:rsidR="003E5EFE">
              <w:t>I</w:t>
            </w:r>
            <w:r>
              <w:t>NSAN), Obdulio Fuentes (CONRED), David Barrera (MARN)</w:t>
            </w:r>
          </w:p>
        </w:tc>
        <w:tc>
          <w:tcPr>
            <w:tcW w:w="4156" w:type="dxa"/>
          </w:tcPr>
          <w:p w:rsidR="00BE6A59" w:rsidRPr="00D35776" w:rsidRDefault="00BE6A59" w:rsidP="002A25F6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Kenset Rosales, José Gálvez, David Barrera, Jenny Vásquez, José </w:t>
            </w:r>
            <w:proofErr w:type="spellStart"/>
            <w:r>
              <w:t>Cojom</w:t>
            </w:r>
            <w:proofErr w:type="spellEnd"/>
            <w:r>
              <w:t xml:space="preserve"> (MARN)</w:t>
            </w:r>
          </w:p>
          <w:p w:rsidR="00BE6A59" w:rsidRDefault="00BE6A59" w:rsidP="002A25F6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Omar Samayoa, Ayme Sosa Villatoro (BID), David Barrera (MARN)</w:t>
            </w:r>
          </w:p>
        </w:tc>
      </w:tr>
      <w:tr w:rsidR="00BE6A59" w:rsidTr="00EE18DF">
        <w:tc>
          <w:tcPr>
            <w:tcW w:w="704" w:type="dxa"/>
          </w:tcPr>
          <w:p w:rsidR="00BE6A59" w:rsidRDefault="00BE6A59" w:rsidP="002A25F6">
            <w:pPr>
              <w:jc w:val="both"/>
            </w:pPr>
            <w:r>
              <w:t>27</w:t>
            </w:r>
          </w:p>
        </w:tc>
        <w:tc>
          <w:tcPr>
            <w:tcW w:w="4156" w:type="dxa"/>
          </w:tcPr>
          <w:p w:rsidR="00BE6A59" w:rsidRPr="00E77EEA" w:rsidRDefault="00BE6A59" w:rsidP="002A25F6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E77EEA">
              <w:t>José Luis Echeverría (CONAP)</w:t>
            </w:r>
          </w:p>
        </w:tc>
        <w:tc>
          <w:tcPr>
            <w:tcW w:w="4156" w:type="dxa"/>
          </w:tcPr>
          <w:p w:rsidR="00BE6A59" w:rsidRDefault="00BE6A59" w:rsidP="002A25F6">
            <w:pPr>
              <w:jc w:val="both"/>
            </w:pPr>
          </w:p>
        </w:tc>
      </w:tr>
    </w:tbl>
    <w:p w:rsidR="00EE18DF" w:rsidRPr="006808BF" w:rsidRDefault="00EE18DF" w:rsidP="002A25F6">
      <w:pPr>
        <w:jc w:val="both"/>
      </w:pPr>
    </w:p>
    <w:p w:rsidR="00705295" w:rsidRDefault="00705295" w:rsidP="002A25F6">
      <w:pPr>
        <w:spacing w:after="160"/>
        <w:jc w:val="both"/>
        <w:rPr>
          <w:b/>
        </w:rPr>
      </w:pPr>
      <w:r>
        <w:rPr>
          <w:b/>
        </w:rPr>
        <w:br w:type="page"/>
      </w:r>
    </w:p>
    <w:p w:rsidR="00A4284B" w:rsidRPr="00912A39" w:rsidRDefault="00320C8E" w:rsidP="002A25F6">
      <w:pPr>
        <w:jc w:val="both"/>
        <w:rPr>
          <w:b/>
        </w:rPr>
      </w:pPr>
      <w:r w:rsidRPr="005A2DDD">
        <w:rPr>
          <w:b/>
        </w:rPr>
        <w:lastRenderedPageBreak/>
        <w:t xml:space="preserve">Anexo 2 </w:t>
      </w:r>
      <w:r w:rsidR="00912A39">
        <w:rPr>
          <w:b/>
        </w:rPr>
        <w:t>Encuesta para validación de protocol</w:t>
      </w:r>
      <w:r w:rsidR="00705295">
        <w:rPr>
          <w:b/>
        </w:rPr>
        <w:t>o</w:t>
      </w:r>
      <w:r w:rsidR="00912A39">
        <w:rPr>
          <w:b/>
        </w:rPr>
        <w:t>s de índices e indicadores propuestos para el SNICC</w:t>
      </w:r>
    </w:p>
    <w:p w:rsidR="00A4284B" w:rsidRDefault="00A4284B" w:rsidP="002A25F6">
      <w:pPr>
        <w:jc w:val="both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2738"/>
        <w:gridCol w:w="515"/>
        <w:gridCol w:w="1590"/>
        <w:gridCol w:w="2238"/>
        <w:gridCol w:w="662"/>
      </w:tblGrid>
      <w:tr w:rsidR="00912A39" w:rsidTr="003309B5">
        <w:tc>
          <w:tcPr>
            <w:tcW w:w="6126" w:type="dxa"/>
            <w:gridSpan w:val="4"/>
          </w:tcPr>
          <w:p w:rsidR="00912A39" w:rsidRDefault="00912A39" w:rsidP="002A25F6">
            <w:pPr>
              <w:jc w:val="both"/>
            </w:pPr>
            <w:r>
              <w:t>Fecha: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</w:tcPr>
          <w:p w:rsidR="00912A39" w:rsidRDefault="00912A39" w:rsidP="002A25F6">
            <w:pPr>
              <w:jc w:val="both"/>
            </w:pPr>
          </w:p>
        </w:tc>
      </w:tr>
      <w:tr w:rsidR="00912A39" w:rsidTr="003309B5">
        <w:tc>
          <w:tcPr>
            <w:tcW w:w="1283" w:type="dxa"/>
          </w:tcPr>
          <w:p w:rsidR="003309B5" w:rsidRPr="003309B5" w:rsidRDefault="003309B5" w:rsidP="002A25F6">
            <w:pPr>
              <w:jc w:val="both"/>
            </w:pPr>
          </w:p>
          <w:p w:rsidR="00912A39" w:rsidRDefault="00912A39" w:rsidP="002A25F6">
            <w:pPr>
              <w:jc w:val="both"/>
            </w:pPr>
            <w:r>
              <w:t>Nombre:</w:t>
            </w:r>
          </w:p>
        </w:tc>
        <w:tc>
          <w:tcPr>
            <w:tcW w:w="7743" w:type="dxa"/>
            <w:gridSpan w:val="5"/>
            <w:tcBorders>
              <w:bottom w:val="single" w:sz="4" w:space="0" w:color="auto"/>
            </w:tcBorders>
          </w:tcPr>
          <w:p w:rsidR="00912A39" w:rsidRDefault="00912A39" w:rsidP="002A25F6">
            <w:pPr>
              <w:jc w:val="both"/>
            </w:pPr>
          </w:p>
        </w:tc>
      </w:tr>
      <w:tr w:rsidR="00912A39" w:rsidTr="003309B5">
        <w:tc>
          <w:tcPr>
            <w:tcW w:w="1283" w:type="dxa"/>
          </w:tcPr>
          <w:p w:rsidR="003309B5" w:rsidRDefault="003309B5" w:rsidP="002A25F6">
            <w:pPr>
              <w:jc w:val="both"/>
            </w:pPr>
          </w:p>
          <w:p w:rsidR="00912A39" w:rsidRDefault="00912A39" w:rsidP="002A25F6">
            <w:pPr>
              <w:jc w:val="both"/>
            </w:pPr>
            <w:r>
              <w:t>Institución: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12A39" w:rsidRDefault="00912A39" w:rsidP="002A25F6">
            <w:pPr>
              <w:jc w:val="both"/>
            </w:pPr>
          </w:p>
        </w:tc>
      </w:tr>
      <w:tr w:rsidR="003309B5" w:rsidRPr="003309B5" w:rsidTr="00705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09B5" w:rsidRDefault="003309B5" w:rsidP="002A25F6">
            <w:pPr>
              <w:jc w:val="both"/>
            </w:pPr>
          </w:p>
          <w:p w:rsidR="003309B5" w:rsidRPr="003309B5" w:rsidRDefault="003309B5" w:rsidP="002A25F6">
            <w:pPr>
              <w:jc w:val="both"/>
            </w:pPr>
            <w:r>
              <w:t>Del conjunto de indicares o índices para los cuales se ha desarrollado un protocolo de reporte, señale por favor cuáles conoce más o tiene más interés en revisar.</w:t>
            </w:r>
          </w:p>
        </w:tc>
        <w:tc>
          <w:tcPr>
            <w:tcW w:w="4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9B5" w:rsidRDefault="003309B5" w:rsidP="002A25F6">
            <w:pPr>
              <w:jc w:val="both"/>
            </w:pPr>
          </w:p>
          <w:p w:rsidR="003309B5" w:rsidRPr="003309B5" w:rsidRDefault="003309B5" w:rsidP="002A25F6">
            <w:pPr>
              <w:jc w:val="both"/>
            </w:pPr>
            <w:r>
              <w:t>(Enumeración de indicadores o índices a revisar)</w:t>
            </w:r>
          </w:p>
        </w:tc>
      </w:tr>
      <w:tr w:rsidR="00912A39" w:rsidTr="00705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2A39" w:rsidRPr="003309B5" w:rsidRDefault="00912A39" w:rsidP="002A25F6">
            <w:pPr>
              <w:jc w:val="both"/>
            </w:pPr>
          </w:p>
          <w:p w:rsidR="00912A39" w:rsidRPr="005C0CA1" w:rsidRDefault="00912A39" w:rsidP="002A25F6">
            <w:pPr>
              <w:jc w:val="both"/>
              <w:rPr>
                <w:b/>
              </w:rPr>
            </w:pPr>
            <w:r w:rsidRPr="005C0CA1">
              <w:rPr>
                <w:b/>
              </w:rPr>
              <w:t xml:space="preserve">Nombre del indicador </w:t>
            </w:r>
            <w:r>
              <w:rPr>
                <w:b/>
              </w:rPr>
              <w:t>o índice 1</w:t>
            </w:r>
          </w:p>
        </w:tc>
        <w:tc>
          <w:tcPr>
            <w:tcW w:w="4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A39" w:rsidRDefault="00912A39" w:rsidP="002A25F6">
            <w:pPr>
              <w:jc w:val="both"/>
            </w:pPr>
          </w:p>
        </w:tc>
      </w:tr>
      <w:tr w:rsidR="003309B5" w:rsidTr="00705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09B5" w:rsidRPr="006C1A49" w:rsidRDefault="003309B5" w:rsidP="002A25F6">
            <w:pPr>
              <w:jc w:val="both"/>
              <w:rPr>
                <w:b/>
                <w:sz w:val="6"/>
              </w:rPr>
            </w:pP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9B5" w:rsidRDefault="003309B5" w:rsidP="002A25F6">
            <w:pPr>
              <w:jc w:val="both"/>
            </w:pPr>
          </w:p>
        </w:tc>
      </w:tr>
      <w:tr w:rsidR="00912A39" w:rsidTr="00705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2A39" w:rsidRDefault="00912A39" w:rsidP="002A25F6">
            <w:pPr>
              <w:jc w:val="both"/>
            </w:pPr>
            <w:r>
              <w:t xml:space="preserve">Marcar si se identifica como: </w:t>
            </w:r>
          </w:p>
        </w:tc>
        <w:tc>
          <w:tcPr>
            <w:tcW w:w="4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2A39" w:rsidRDefault="00912A39" w:rsidP="002A25F6">
            <w:pPr>
              <w:jc w:val="both"/>
            </w:pPr>
          </w:p>
        </w:tc>
      </w:tr>
      <w:tr w:rsidR="00705295" w:rsidTr="00705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5295" w:rsidRPr="003309B5" w:rsidRDefault="00705295" w:rsidP="002A25F6">
            <w:pPr>
              <w:jc w:val="both"/>
            </w:pPr>
            <w:r w:rsidRPr="003309B5">
              <w:t>USUARIO DEL SISTEMA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95" w:rsidRDefault="00705295" w:rsidP="002A25F6">
            <w:pPr>
              <w:jc w:val="both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295" w:rsidRPr="003309B5" w:rsidRDefault="00705295" w:rsidP="002A25F6">
            <w:pPr>
              <w:jc w:val="both"/>
            </w:pPr>
            <w:r w:rsidRPr="003309B5">
              <w:t>PROVEEDOR DE INFORMACIÓN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95" w:rsidRDefault="00705295" w:rsidP="002A25F6">
            <w:pPr>
              <w:jc w:val="both"/>
            </w:pPr>
          </w:p>
        </w:tc>
      </w:tr>
      <w:tr w:rsidR="00705295" w:rsidRPr="003309B5" w:rsidTr="00626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5295" w:rsidRPr="003309B5" w:rsidRDefault="00705295" w:rsidP="002A25F6">
            <w:pPr>
              <w:jc w:val="both"/>
            </w:pPr>
          </w:p>
        </w:tc>
      </w:tr>
      <w:tr w:rsidR="00912A39" w:rsidTr="00330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2A39" w:rsidRDefault="00912A39" w:rsidP="002A25F6">
            <w:pPr>
              <w:jc w:val="both"/>
            </w:pPr>
            <w:r>
              <w:t xml:space="preserve">Responder lo siguiente en una escala de </w:t>
            </w:r>
            <w:r w:rsidRPr="009E078C">
              <w:rPr>
                <w:b/>
              </w:rPr>
              <w:t>1 al 4</w:t>
            </w:r>
            <w:r>
              <w:t xml:space="preserve"> (1 estoy en completo desacuerdo, 4, estoy </w:t>
            </w:r>
            <w:r w:rsidRPr="00705295">
              <w:t>completamente</w:t>
            </w:r>
            <w:r>
              <w:t xml:space="preserve"> de acuerdo).</w:t>
            </w:r>
          </w:p>
          <w:p w:rsidR="00912A39" w:rsidRPr="00705295" w:rsidRDefault="00912A39" w:rsidP="002A25F6">
            <w:pPr>
              <w:jc w:val="both"/>
            </w:pPr>
          </w:p>
        </w:tc>
      </w:tr>
      <w:tr w:rsidR="00912A39" w:rsidRPr="003309B5" w:rsidTr="00330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2A39" w:rsidRPr="003309B5" w:rsidRDefault="00912A39" w:rsidP="002A25F6">
            <w:pPr>
              <w:jc w:val="both"/>
            </w:pPr>
            <w:r w:rsidRPr="003309B5">
              <w:t>Pienso que:</w:t>
            </w:r>
          </w:p>
        </w:tc>
      </w:tr>
      <w:tr w:rsidR="003309B5" w:rsidTr="00330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09B5" w:rsidRDefault="003309B5" w:rsidP="002A25F6">
            <w:pPr>
              <w:jc w:val="both"/>
            </w:pPr>
          </w:p>
        </w:tc>
      </w:tr>
      <w:tr w:rsidR="003309B5" w:rsidTr="00330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  <w:r>
              <w:t xml:space="preserve">Este índice es fácil de </w:t>
            </w:r>
            <w:r w:rsidRPr="00165E73">
              <w:rPr>
                <w:b/>
              </w:rPr>
              <w:t>interpretar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</w:p>
        </w:tc>
      </w:tr>
      <w:tr w:rsidR="003309B5" w:rsidTr="00705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9B5" w:rsidRDefault="003309B5" w:rsidP="002A25F6">
            <w:pPr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9B5" w:rsidRDefault="003309B5" w:rsidP="002A25F6">
            <w:pPr>
              <w:jc w:val="both"/>
            </w:pPr>
          </w:p>
        </w:tc>
      </w:tr>
      <w:tr w:rsidR="003309B5" w:rsidTr="00705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  <w:r>
              <w:t xml:space="preserve">Estoy de acuerdo con el </w:t>
            </w:r>
            <w:r w:rsidRPr="00165E73">
              <w:rPr>
                <w:b/>
              </w:rPr>
              <w:t>cálculo</w:t>
            </w:r>
            <w:r>
              <w:t xml:space="preserve"> propuesto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</w:p>
        </w:tc>
      </w:tr>
      <w:tr w:rsidR="003309B5" w:rsidTr="00705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9B5" w:rsidRDefault="003309B5" w:rsidP="002A25F6">
            <w:pPr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9B5" w:rsidRDefault="003309B5" w:rsidP="002A25F6">
            <w:pPr>
              <w:jc w:val="both"/>
            </w:pPr>
          </w:p>
        </w:tc>
      </w:tr>
      <w:tr w:rsidR="003309B5" w:rsidTr="00705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  <w:r>
              <w:t xml:space="preserve">Estoy de acuerdo con la </w:t>
            </w:r>
            <w:r w:rsidRPr="00165E73">
              <w:rPr>
                <w:b/>
              </w:rPr>
              <w:t>categoría propuesta para la interpretación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</w:p>
        </w:tc>
      </w:tr>
      <w:tr w:rsidR="003309B5" w:rsidTr="00705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9B5" w:rsidRDefault="003309B5" w:rsidP="002A25F6">
            <w:pPr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9B5" w:rsidRDefault="003309B5" w:rsidP="002A25F6">
            <w:pPr>
              <w:jc w:val="both"/>
            </w:pPr>
          </w:p>
        </w:tc>
      </w:tr>
      <w:tr w:rsidR="003309B5" w:rsidTr="00705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  <w:r>
              <w:t xml:space="preserve">Este índice es </w:t>
            </w:r>
            <w:r w:rsidRPr="00165E73">
              <w:rPr>
                <w:b/>
              </w:rPr>
              <w:t>útil</w:t>
            </w:r>
            <w:r w:rsidRPr="00165E73">
              <w:t xml:space="preserve"> para</w:t>
            </w:r>
            <w:r>
              <w:t xml:space="preserve"> mi trabajo en la elaboración de informes, reportes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</w:p>
        </w:tc>
      </w:tr>
      <w:tr w:rsidR="003309B5" w:rsidTr="00705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9B5" w:rsidRDefault="003309B5" w:rsidP="002A25F6">
            <w:pPr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9B5" w:rsidRDefault="003309B5" w:rsidP="002A25F6">
            <w:pPr>
              <w:jc w:val="both"/>
            </w:pPr>
          </w:p>
        </w:tc>
      </w:tr>
      <w:tr w:rsidR="003309B5" w:rsidTr="00705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  <w:r>
              <w:t xml:space="preserve">Me siento seguro usando este índice por el </w:t>
            </w:r>
            <w:r w:rsidRPr="009E078C">
              <w:rPr>
                <w:b/>
              </w:rPr>
              <w:t>origen de los datos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</w:p>
        </w:tc>
      </w:tr>
      <w:tr w:rsidR="003309B5" w:rsidTr="00330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9B5" w:rsidRDefault="003309B5" w:rsidP="002A25F6">
            <w:pPr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9B5" w:rsidRDefault="003309B5" w:rsidP="002A25F6">
            <w:pPr>
              <w:jc w:val="both"/>
            </w:pPr>
          </w:p>
        </w:tc>
      </w:tr>
      <w:tr w:rsidR="003309B5" w:rsidTr="00330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  <w:r>
              <w:t xml:space="preserve">Los datos o información para su cálculo son de acceso </w:t>
            </w:r>
            <w:r w:rsidRPr="004133BA">
              <w:rPr>
                <w:b/>
              </w:rPr>
              <w:t>público</w:t>
            </w:r>
            <w:r>
              <w:t xml:space="preserve"> y </w:t>
            </w:r>
            <w:r w:rsidR="00705295">
              <w:t>están</w:t>
            </w:r>
            <w:r>
              <w:t xml:space="preserve"> disponibles en </w:t>
            </w:r>
            <w:r w:rsidRPr="006C1A49">
              <w:rPr>
                <w:b/>
              </w:rPr>
              <w:t>la web</w:t>
            </w:r>
            <w:r>
              <w:t>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</w:p>
        </w:tc>
      </w:tr>
      <w:tr w:rsidR="003309B5" w:rsidTr="00330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9B5" w:rsidRDefault="003309B5" w:rsidP="002A25F6">
            <w:pPr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9B5" w:rsidRDefault="003309B5" w:rsidP="002A25F6">
            <w:pPr>
              <w:jc w:val="both"/>
            </w:pPr>
          </w:p>
        </w:tc>
      </w:tr>
      <w:tr w:rsidR="003309B5" w:rsidTr="00330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  <w:r>
              <w:t xml:space="preserve">La información disponible en la web </w:t>
            </w:r>
            <w:r w:rsidR="00705295">
              <w:t>está</w:t>
            </w:r>
            <w:r>
              <w:t xml:space="preserve"> en un </w:t>
            </w:r>
            <w:r w:rsidRPr="006C1A49">
              <w:rPr>
                <w:b/>
              </w:rPr>
              <w:t>formato</w:t>
            </w:r>
            <w:r>
              <w:t xml:space="preserve"> adecuado para su uso en el SNICC (</w:t>
            </w:r>
            <w:proofErr w:type="spellStart"/>
            <w:r>
              <w:t>shapes</w:t>
            </w:r>
            <w:proofErr w:type="spellEnd"/>
            <w:r>
              <w:t>, tablas) y es actualizada</w:t>
            </w:r>
            <w:r w:rsidR="00705295">
              <w:t xml:space="preserve"> periódicamente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</w:p>
        </w:tc>
      </w:tr>
      <w:tr w:rsidR="003309B5" w:rsidTr="00330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9B5" w:rsidRDefault="003309B5" w:rsidP="002A25F6">
            <w:pPr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9B5" w:rsidRDefault="003309B5" w:rsidP="002A25F6">
            <w:pPr>
              <w:jc w:val="both"/>
            </w:pPr>
          </w:p>
        </w:tc>
      </w:tr>
      <w:tr w:rsidR="00705295" w:rsidTr="00154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5295" w:rsidRPr="003309B5" w:rsidRDefault="00705295" w:rsidP="002A25F6">
            <w:pPr>
              <w:jc w:val="both"/>
            </w:pPr>
          </w:p>
          <w:p w:rsidR="00705295" w:rsidRPr="005C0CA1" w:rsidRDefault="00705295" w:rsidP="002A25F6">
            <w:pPr>
              <w:jc w:val="both"/>
              <w:rPr>
                <w:b/>
              </w:rPr>
            </w:pPr>
            <w:r w:rsidRPr="005C0CA1">
              <w:rPr>
                <w:b/>
              </w:rPr>
              <w:t xml:space="preserve">Nombre del indicador </w:t>
            </w:r>
            <w:r>
              <w:rPr>
                <w:b/>
              </w:rPr>
              <w:t>o índice 2</w:t>
            </w:r>
          </w:p>
        </w:tc>
        <w:tc>
          <w:tcPr>
            <w:tcW w:w="4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295" w:rsidRDefault="00705295" w:rsidP="002A25F6">
            <w:pPr>
              <w:jc w:val="both"/>
            </w:pPr>
          </w:p>
        </w:tc>
      </w:tr>
      <w:tr w:rsidR="00705295" w:rsidTr="00AD0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5295" w:rsidRDefault="00705295" w:rsidP="002A25F6">
            <w:pPr>
              <w:jc w:val="both"/>
            </w:pPr>
          </w:p>
          <w:p w:rsidR="00705295" w:rsidRDefault="00705295" w:rsidP="002A25F6">
            <w:pPr>
              <w:jc w:val="both"/>
            </w:pPr>
            <w:r>
              <w:t>(continua hasta terminar con índices seleccionados)</w:t>
            </w:r>
          </w:p>
        </w:tc>
      </w:tr>
      <w:tr w:rsidR="00705295" w:rsidTr="00A078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5295" w:rsidRDefault="00705295" w:rsidP="002A25F6">
            <w:pPr>
              <w:jc w:val="both"/>
            </w:pPr>
          </w:p>
        </w:tc>
      </w:tr>
    </w:tbl>
    <w:p w:rsidR="00705295" w:rsidRDefault="00705295" w:rsidP="002A25F6">
      <w:pPr>
        <w:jc w:val="both"/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7"/>
        <w:gridCol w:w="2410"/>
        <w:gridCol w:w="3639"/>
      </w:tblGrid>
      <w:tr w:rsidR="003309B5" w:rsidTr="003309B5"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09B5" w:rsidRDefault="00705295" w:rsidP="002A25F6">
            <w:pPr>
              <w:jc w:val="both"/>
            </w:pPr>
            <w:r>
              <w:lastRenderedPageBreak/>
              <w:t xml:space="preserve">Cierre de la encuesta. </w:t>
            </w:r>
            <w:r w:rsidR="003309B5">
              <w:t>Si su institución es proveedor de datos o información utilizados para la elaboración de este índice, por favor indi</w:t>
            </w:r>
            <w:r>
              <w:t>que el</w:t>
            </w:r>
            <w:r w:rsidR="003309B5">
              <w:t xml:space="preserve"> nombre de la unidad encargada de distribuirla, persona de contacto y número telefónico o correo</w:t>
            </w:r>
            <w:r>
              <w:t>.</w:t>
            </w:r>
          </w:p>
        </w:tc>
      </w:tr>
      <w:tr w:rsidR="003309B5" w:rsidTr="003309B5">
        <w:tc>
          <w:tcPr>
            <w:tcW w:w="9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9B5" w:rsidRDefault="003309B5" w:rsidP="002A25F6">
            <w:pPr>
              <w:jc w:val="both"/>
            </w:pPr>
          </w:p>
        </w:tc>
      </w:tr>
      <w:tr w:rsidR="003309B5" w:rsidTr="003309B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  <w:r>
              <w:t>Oficina o unidad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  <w:r>
              <w:t>Persona de contacto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  <w:r>
              <w:t>Datos de contacto (tel. o correo)</w:t>
            </w:r>
          </w:p>
        </w:tc>
      </w:tr>
      <w:tr w:rsidR="003309B5" w:rsidTr="003309B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</w:p>
          <w:p w:rsidR="003309B5" w:rsidRDefault="003309B5" w:rsidP="002A25F6">
            <w:pPr>
              <w:jc w:val="both"/>
            </w:pPr>
          </w:p>
          <w:p w:rsidR="003309B5" w:rsidRDefault="003309B5" w:rsidP="002A25F6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</w:p>
        </w:tc>
      </w:tr>
      <w:tr w:rsidR="003309B5" w:rsidTr="003309B5">
        <w:tc>
          <w:tcPr>
            <w:tcW w:w="9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9B5" w:rsidRDefault="003309B5" w:rsidP="002A25F6">
            <w:pPr>
              <w:jc w:val="both"/>
            </w:pPr>
          </w:p>
          <w:p w:rsidR="003309B5" w:rsidRPr="00307AD6" w:rsidRDefault="003309B5" w:rsidP="002A25F6">
            <w:pPr>
              <w:jc w:val="both"/>
            </w:pPr>
            <w:r>
              <w:t>¿Conocen otro índice que sea de interés para el SNICC? ¿Cuál es y cuáles son las posibles fuentes de información?</w:t>
            </w:r>
          </w:p>
        </w:tc>
      </w:tr>
      <w:tr w:rsidR="003309B5" w:rsidTr="003309B5"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</w:p>
          <w:p w:rsidR="003309B5" w:rsidRDefault="003309B5" w:rsidP="002A25F6">
            <w:pPr>
              <w:jc w:val="both"/>
            </w:pPr>
          </w:p>
          <w:p w:rsidR="003309B5" w:rsidRDefault="003309B5" w:rsidP="002A25F6">
            <w:pPr>
              <w:jc w:val="both"/>
            </w:pPr>
          </w:p>
        </w:tc>
      </w:tr>
      <w:tr w:rsidR="003309B5" w:rsidTr="003309B5">
        <w:tc>
          <w:tcPr>
            <w:tcW w:w="9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9B5" w:rsidRDefault="003309B5" w:rsidP="002A25F6">
            <w:pPr>
              <w:jc w:val="both"/>
            </w:pPr>
          </w:p>
          <w:p w:rsidR="003309B5" w:rsidRDefault="003309B5" w:rsidP="002A25F6">
            <w:pPr>
              <w:jc w:val="both"/>
            </w:pPr>
            <w:r>
              <w:t xml:space="preserve">Comentarios adicionales </w:t>
            </w:r>
          </w:p>
        </w:tc>
      </w:tr>
      <w:tr w:rsidR="003309B5" w:rsidTr="003309B5"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B5" w:rsidRDefault="003309B5" w:rsidP="002A25F6">
            <w:pPr>
              <w:jc w:val="both"/>
            </w:pPr>
          </w:p>
          <w:p w:rsidR="003309B5" w:rsidRDefault="003309B5" w:rsidP="002A25F6">
            <w:pPr>
              <w:jc w:val="both"/>
            </w:pPr>
          </w:p>
          <w:p w:rsidR="003309B5" w:rsidRDefault="003309B5" w:rsidP="002A25F6">
            <w:pPr>
              <w:jc w:val="both"/>
            </w:pPr>
          </w:p>
          <w:p w:rsidR="003309B5" w:rsidRDefault="003309B5" w:rsidP="002A25F6">
            <w:pPr>
              <w:jc w:val="both"/>
            </w:pPr>
          </w:p>
        </w:tc>
      </w:tr>
    </w:tbl>
    <w:p w:rsidR="00912A39" w:rsidRPr="003309B5" w:rsidRDefault="00912A39" w:rsidP="002A25F6">
      <w:pPr>
        <w:jc w:val="both"/>
      </w:pPr>
    </w:p>
    <w:p w:rsidR="00A51E98" w:rsidRDefault="00A51E98" w:rsidP="002A25F6">
      <w:pPr>
        <w:jc w:val="both"/>
        <w:sectPr w:rsidR="00A51E98" w:rsidSect="00EA0FB0">
          <w:footerReference w:type="default" r:id="rId10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912A39" w:rsidRDefault="00AF3CBC" w:rsidP="002A25F6">
      <w:pPr>
        <w:jc w:val="both"/>
      </w:pPr>
      <w:r w:rsidRPr="00F2015D">
        <w:rPr>
          <w:b/>
        </w:rPr>
        <w:lastRenderedPageBreak/>
        <w:t>Anexo 3</w:t>
      </w:r>
      <w:r>
        <w:t xml:space="preserve"> </w:t>
      </w:r>
      <w:r w:rsidR="00F2015D">
        <w:t>Lista propuesta de participantes en la validación de protocolos de índices o indicadores del SNICC</w:t>
      </w:r>
    </w:p>
    <w:p w:rsidR="00AF3CBC" w:rsidRDefault="00AF3CBC" w:rsidP="002A25F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1591"/>
        <w:gridCol w:w="4088"/>
        <w:gridCol w:w="3745"/>
        <w:gridCol w:w="1541"/>
        <w:gridCol w:w="1605"/>
      </w:tblGrid>
      <w:tr w:rsidR="00F2015D" w:rsidRPr="00F2015D" w:rsidTr="00F2015D">
        <w:tc>
          <w:tcPr>
            <w:tcW w:w="1414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 xml:space="preserve">Nombre </w:t>
            </w:r>
          </w:p>
        </w:tc>
        <w:tc>
          <w:tcPr>
            <w:tcW w:w="162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 xml:space="preserve">Institución </w:t>
            </w:r>
          </w:p>
        </w:tc>
        <w:tc>
          <w:tcPr>
            <w:tcW w:w="348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Correo</w:t>
            </w:r>
          </w:p>
        </w:tc>
        <w:tc>
          <w:tcPr>
            <w:tcW w:w="4120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F2015D">
              <w:rPr>
                <w:rFonts w:cs="Arial"/>
                <w:sz w:val="20"/>
                <w:szCs w:val="20"/>
              </w:rPr>
              <w:t>Indicadores a validar</w:t>
            </w:r>
            <w:proofErr w:type="gramEnd"/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Reunión -fecha y hora</w:t>
            </w: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Comentarios</w:t>
            </w:r>
          </w:p>
        </w:tc>
      </w:tr>
      <w:tr w:rsidR="00F2015D" w:rsidRPr="00F2015D" w:rsidTr="00F2015D">
        <w:tc>
          <w:tcPr>
            <w:tcW w:w="1414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Carlos Duarte</w:t>
            </w:r>
          </w:p>
        </w:tc>
        <w:tc>
          <w:tcPr>
            <w:tcW w:w="162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Consultor LEDS- USAID</w:t>
            </w:r>
          </w:p>
        </w:tc>
        <w:tc>
          <w:tcPr>
            <w:tcW w:w="348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carlos.duarte@geotecnologica.com.gt</w:t>
            </w:r>
          </w:p>
        </w:tc>
        <w:tc>
          <w:tcPr>
            <w:tcW w:w="4120" w:type="dxa"/>
            <w:vMerge w:val="restart"/>
          </w:tcPr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Emisiones de Gases de Efecto Invernadero (GEI) por gas y sector</w:t>
            </w:r>
          </w:p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Índice de desacople (CO2 y Nitrógeno /PBI)</w:t>
            </w:r>
          </w:p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Índice de producción energética</w:t>
            </w:r>
          </w:p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Composición de la matriz energética</w:t>
            </w:r>
          </w:p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Tasa de reciclaje</w:t>
            </w: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2015D" w:rsidRPr="00F2015D" w:rsidTr="00F2015D">
        <w:tc>
          <w:tcPr>
            <w:tcW w:w="1414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Ricardo Roca</w:t>
            </w:r>
          </w:p>
        </w:tc>
        <w:tc>
          <w:tcPr>
            <w:tcW w:w="162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LESD-USAID</w:t>
            </w:r>
          </w:p>
        </w:tc>
        <w:tc>
          <w:tcPr>
            <w:tcW w:w="348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Ricardo.Roca@dbegt.org</w:t>
            </w:r>
          </w:p>
        </w:tc>
        <w:tc>
          <w:tcPr>
            <w:tcW w:w="4120" w:type="dxa"/>
            <w:vMerge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2015D" w:rsidRPr="00F2015D" w:rsidTr="00F2015D">
        <w:tc>
          <w:tcPr>
            <w:tcW w:w="1414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Flor Calderón</w:t>
            </w:r>
          </w:p>
        </w:tc>
        <w:tc>
          <w:tcPr>
            <w:tcW w:w="162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MARN-DCC Mitigación</w:t>
            </w:r>
          </w:p>
        </w:tc>
        <w:tc>
          <w:tcPr>
            <w:tcW w:w="348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fmcalderon@marn.gob.gt</w:t>
            </w:r>
          </w:p>
        </w:tc>
        <w:tc>
          <w:tcPr>
            <w:tcW w:w="4120" w:type="dxa"/>
          </w:tcPr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Emisiones de Gases de Efecto Invernadero (GEI) por gas y sector</w:t>
            </w:r>
          </w:p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Índice de desacople (CO2 y Nitrógeno /PBI)</w:t>
            </w:r>
          </w:p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Índice de producción energética</w:t>
            </w:r>
          </w:p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Composición de la matriz energética</w:t>
            </w: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2015D" w:rsidRPr="00F2015D" w:rsidTr="00F2015D">
        <w:tc>
          <w:tcPr>
            <w:tcW w:w="1414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Héctor Hernández</w:t>
            </w:r>
          </w:p>
        </w:tc>
        <w:tc>
          <w:tcPr>
            <w:tcW w:w="162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MAGA- UCC técnico</w:t>
            </w:r>
          </w:p>
        </w:tc>
        <w:tc>
          <w:tcPr>
            <w:tcW w:w="348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hernandezvela25@gmail.com</w:t>
            </w:r>
          </w:p>
        </w:tc>
        <w:tc>
          <w:tcPr>
            <w:tcW w:w="4120" w:type="dxa"/>
            <w:vMerge w:val="restart"/>
          </w:tcPr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Incidencia de puntos de calor</w:t>
            </w:r>
          </w:p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 xml:space="preserve">Cambio de aptitud climática para principales cultivos </w:t>
            </w:r>
          </w:p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Índice integrado de amenazas climáticos</w:t>
            </w:r>
          </w:p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Pérdida por evento climáticos- agricultura</w:t>
            </w:r>
          </w:p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after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 xml:space="preserve">Acceso a seguros </w:t>
            </w: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2015D" w:rsidRPr="00F2015D" w:rsidTr="00F2015D">
        <w:tc>
          <w:tcPr>
            <w:tcW w:w="1414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 xml:space="preserve">Héctor Godínez </w:t>
            </w:r>
          </w:p>
        </w:tc>
        <w:tc>
          <w:tcPr>
            <w:tcW w:w="162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MAGA- UCC</w:t>
            </w:r>
          </w:p>
        </w:tc>
        <w:tc>
          <w:tcPr>
            <w:tcW w:w="3481" w:type="dxa"/>
          </w:tcPr>
          <w:p w:rsidR="00F2015D" w:rsidRPr="00F2015D" w:rsidRDefault="00F2015D" w:rsidP="002A25F6">
            <w:pPr>
              <w:tabs>
                <w:tab w:val="left" w:pos="2380"/>
              </w:tabs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hgodinez54@gmail.com</w:t>
            </w:r>
          </w:p>
        </w:tc>
        <w:tc>
          <w:tcPr>
            <w:tcW w:w="4120" w:type="dxa"/>
            <w:vMerge/>
          </w:tcPr>
          <w:p w:rsidR="00F2015D" w:rsidRPr="00F2015D" w:rsidRDefault="00F2015D" w:rsidP="002A25F6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61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2015D" w:rsidRPr="00F2015D" w:rsidTr="00F2015D">
        <w:tc>
          <w:tcPr>
            <w:tcW w:w="1414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Martín Leal Navas</w:t>
            </w:r>
          </w:p>
        </w:tc>
        <w:tc>
          <w:tcPr>
            <w:tcW w:w="162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MAGA UCC- coordinador</w:t>
            </w:r>
          </w:p>
        </w:tc>
        <w:tc>
          <w:tcPr>
            <w:tcW w:w="348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mluccmaga@gmail.com</w:t>
            </w:r>
          </w:p>
        </w:tc>
        <w:tc>
          <w:tcPr>
            <w:tcW w:w="4120" w:type="dxa"/>
            <w:vMerge/>
          </w:tcPr>
          <w:p w:rsidR="00F2015D" w:rsidRPr="00F2015D" w:rsidRDefault="00F2015D" w:rsidP="002A25F6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61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2015D" w:rsidRPr="00F2015D" w:rsidTr="00F2015D">
        <w:tc>
          <w:tcPr>
            <w:tcW w:w="1414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Claudia Cordero</w:t>
            </w:r>
          </w:p>
        </w:tc>
        <w:tc>
          <w:tcPr>
            <w:tcW w:w="162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F2015D">
              <w:rPr>
                <w:rFonts w:cs="Arial"/>
                <w:sz w:val="20"/>
                <w:szCs w:val="20"/>
              </w:rPr>
              <w:t>Insivumeh</w:t>
            </w:r>
            <w:proofErr w:type="spellEnd"/>
            <w:r w:rsidRPr="00F2015D">
              <w:rPr>
                <w:rFonts w:cs="Arial"/>
                <w:sz w:val="20"/>
                <w:szCs w:val="20"/>
              </w:rPr>
              <w:t xml:space="preserve">- Unidad de </w:t>
            </w:r>
            <w:proofErr w:type="spellStart"/>
            <w:r w:rsidRPr="00F2015D">
              <w:rPr>
                <w:rFonts w:cs="Arial"/>
                <w:sz w:val="20"/>
                <w:szCs w:val="20"/>
              </w:rPr>
              <w:t>Hidroquímica</w:t>
            </w:r>
            <w:proofErr w:type="spellEnd"/>
          </w:p>
        </w:tc>
        <w:tc>
          <w:tcPr>
            <w:tcW w:w="348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Teléfono: 502 23105049 23105050</w:t>
            </w:r>
          </w:p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120" w:type="dxa"/>
          </w:tcPr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after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Índice de Calidad de Agua. (qué se puede hacer con la información disponible de INSIVUMEH)</w:t>
            </w:r>
          </w:p>
          <w:p w:rsidR="00F2015D" w:rsidRPr="00F2015D" w:rsidRDefault="00F2015D" w:rsidP="002A25F6">
            <w:pPr>
              <w:pStyle w:val="NormalWeb"/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C. Medellín hablo con ella para consultar sobre variables que ellos generan</w:t>
            </w:r>
          </w:p>
        </w:tc>
      </w:tr>
      <w:tr w:rsidR="00F2015D" w:rsidRPr="00F2015D" w:rsidTr="00F2015D">
        <w:tc>
          <w:tcPr>
            <w:tcW w:w="1414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 xml:space="preserve">José </w:t>
            </w:r>
            <w:proofErr w:type="spellStart"/>
            <w:r w:rsidRPr="00F2015D">
              <w:rPr>
                <w:rFonts w:cs="Arial"/>
                <w:sz w:val="20"/>
                <w:szCs w:val="20"/>
              </w:rPr>
              <w:t>Cojom</w:t>
            </w:r>
            <w:proofErr w:type="spellEnd"/>
          </w:p>
        </w:tc>
        <w:tc>
          <w:tcPr>
            <w:tcW w:w="162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8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120" w:type="dxa"/>
          </w:tcPr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Tasa anual de cambio neto de cobertura forestal</w:t>
            </w:r>
          </w:p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Niveles de referencia REDD</w:t>
            </w: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2015D" w:rsidRPr="00F2015D" w:rsidTr="00F2015D">
        <w:tc>
          <w:tcPr>
            <w:tcW w:w="1414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lastRenderedPageBreak/>
              <w:t xml:space="preserve">Obdulio Fuentes </w:t>
            </w:r>
          </w:p>
        </w:tc>
        <w:tc>
          <w:tcPr>
            <w:tcW w:w="162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CONRED</w:t>
            </w:r>
          </w:p>
        </w:tc>
        <w:tc>
          <w:tcPr>
            <w:tcW w:w="3481" w:type="dxa"/>
          </w:tcPr>
          <w:p w:rsidR="00F2015D" w:rsidRPr="00F2015D" w:rsidRDefault="00972B03" w:rsidP="002A25F6">
            <w:pPr>
              <w:jc w:val="both"/>
              <w:rPr>
                <w:rFonts w:cs="Arial"/>
                <w:sz w:val="20"/>
                <w:szCs w:val="20"/>
              </w:rPr>
            </w:pPr>
            <w:hyperlink r:id="rId11" w:history="1">
              <w:r w:rsidR="00F2015D" w:rsidRPr="00F2015D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ofuentes@conred.org.gt</w:t>
              </w:r>
            </w:hyperlink>
          </w:p>
        </w:tc>
        <w:tc>
          <w:tcPr>
            <w:tcW w:w="4120" w:type="dxa"/>
          </w:tcPr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Pérdida por eventos climáticos (qué se puede hacer con la información disponible de CONRED)</w:t>
            </w:r>
          </w:p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Riesgo de infraestructura</w:t>
            </w:r>
          </w:p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 xml:space="preserve">Riesgo de población </w:t>
            </w:r>
          </w:p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Índice de riesgo climático</w:t>
            </w:r>
          </w:p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 xml:space="preserve">Índice de accesibilidad </w:t>
            </w: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eastAsia="DejaVu Sans" w:cs="Arial"/>
                <w:bCs/>
                <w:kern w:val="24"/>
                <w:sz w:val="20"/>
                <w:szCs w:val="20"/>
                <w:lang w:val="es-GT"/>
              </w:rPr>
              <w:t>Evaluar la posibilidad de utilizar información sobre incendios que genera el CONRED</w:t>
            </w:r>
          </w:p>
        </w:tc>
      </w:tr>
      <w:tr w:rsidR="00F2015D" w:rsidRPr="00F2015D" w:rsidTr="00F2015D">
        <w:tc>
          <w:tcPr>
            <w:tcW w:w="1414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 xml:space="preserve">Sergio Hugo González </w:t>
            </w:r>
          </w:p>
        </w:tc>
        <w:tc>
          <w:tcPr>
            <w:tcW w:w="162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SESAN</w:t>
            </w:r>
          </w:p>
        </w:tc>
        <w:tc>
          <w:tcPr>
            <w:tcW w:w="3481" w:type="dxa"/>
          </w:tcPr>
          <w:p w:rsidR="00F2015D" w:rsidRPr="009B4390" w:rsidRDefault="00972B03" w:rsidP="002A25F6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  <w:hyperlink r:id="rId12" w:history="1">
              <w:r w:rsidR="00F2015D" w:rsidRPr="009B4390">
                <w:rPr>
                  <w:rStyle w:val="Hyperlink"/>
                  <w:rFonts w:cs="Arial"/>
                  <w:color w:val="auto"/>
                  <w:sz w:val="20"/>
                  <w:szCs w:val="20"/>
                  <w:lang w:val="en-GB"/>
                </w:rPr>
                <w:t>hugo.gonzalez@sesan.gob.gt</w:t>
              </w:r>
            </w:hyperlink>
          </w:p>
          <w:p w:rsidR="00F2015D" w:rsidRPr="009B4390" w:rsidRDefault="00F2015D" w:rsidP="002A25F6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  <w:p w:rsidR="00F2015D" w:rsidRPr="009B4390" w:rsidRDefault="00F2015D" w:rsidP="002A25F6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  <w:proofErr w:type="spellStart"/>
            <w:r w:rsidRPr="009B4390">
              <w:rPr>
                <w:rFonts w:cs="Arial"/>
                <w:sz w:val="20"/>
                <w:szCs w:val="20"/>
                <w:lang w:val="en-GB"/>
              </w:rPr>
              <w:t>Contactarlo</w:t>
            </w:r>
            <w:proofErr w:type="spellEnd"/>
            <w:r w:rsidRPr="009B4390">
              <w:rPr>
                <w:rFonts w:cs="Arial"/>
                <w:sz w:val="20"/>
                <w:szCs w:val="20"/>
                <w:lang w:val="en-GB"/>
              </w:rPr>
              <w:t xml:space="preserve"> con WhatsApp, 502 30661796</w:t>
            </w:r>
          </w:p>
        </w:tc>
        <w:tc>
          <w:tcPr>
            <w:tcW w:w="4120" w:type="dxa"/>
          </w:tcPr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 xml:space="preserve">Riesgo integrado de amenazas climáticas </w:t>
            </w:r>
          </w:p>
          <w:p w:rsidR="00F2015D" w:rsidRPr="00F2015D" w:rsidRDefault="00F2015D" w:rsidP="002A25F6">
            <w:pPr>
              <w:pStyle w:val="NormalWeb"/>
              <w:tabs>
                <w:tab w:val="left" w:pos="737"/>
              </w:tabs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eastAsia="DejaVu Sans" w:cs="Arial"/>
                <w:bCs/>
                <w:kern w:val="24"/>
                <w:sz w:val="20"/>
                <w:szCs w:val="20"/>
                <w:lang w:val="es-GT"/>
              </w:rPr>
              <w:t>Evaluar posible indicador de seguridad alimentaria con información del SIINSAN</w:t>
            </w:r>
          </w:p>
        </w:tc>
      </w:tr>
      <w:tr w:rsidR="00F2015D" w:rsidRPr="00F2015D" w:rsidTr="00F2015D">
        <w:tc>
          <w:tcPr>
            <w:tcW w:w="1414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 xml:space="preserve">Luis Lima </w:t>
            </w:r>
          </w:p>
        </w:tc>
        <w:tc>
          <w:tcPr>
            <w:tcW w:w="162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CONAP- SIG</w:t>
            </w:r>
          </w:p>
        </w:tc>
        <w:tc>
          <w:tcPr>
            <w:tcW w:w="3481" w:type="dxa"/>
          </w:tcPr>
          <w:p w:rsidR="00F2015D" w:rsidRPr="00F2015D" w:rsidRDefault="00F2015D" w:rsidP="002A25F6">
            <w:pPr>
              <w:pStyle w:val="NormalWeb"/>
              <w:spacing w:before="0" w:beforeAutospacing="0" w:after="0" w:afterAutospacing="0"/>
              <w:ind w:left="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015D">
              <w:rPr>
                <w:rFonts w:ascii="Arial" w:hAnsi="Arial" w:cs="Arial"/>
                <w:sz w:val="20"/>
                <w:szCs w:val="20"/>
              </w:rPr>
              <w:t>luis.lima@conap.gob.gt, móvil: 5700-0109</w:t>
            </w:r>
          </w:p>
          <w:p w:rsidR="00F2015D" w:rsidRPr="00F2015D" w:rsidRDefault="00F2015D" w:rsidP="002A25F6">
            <w:pPr>
              <w:pStyle w:val="NormalWeb"/>
              <w:spacing w:before="0" w:beforeAutospacing="0" w:after="0" w:afterAutospacing="0"/>
              <w:ind w:left="17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 xml:space="preserve"> </w:t>
            </w:r>
          </w:p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120" w:type="dxa"/>
          </w:tcPr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Tasa anual de cambio neto de cobertura forestal</w:t>
            </w:r>
          </w:p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Índice de accesibilidad</w:t>
            </w:r>
          </w:p>
          <w:p w:rsidR="00F2015D" w:rsidRPr="00F2015D" w:rsidRDefault="00F2015D" w:rsidP="002A25F6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Incidencia de puntos de calor</w:t>
            </w: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eastAsia="DejaVu Sans" w:cs="Arial"/>
                <w:bCs/>
                <w:kern w:val="24"/>
                <w:sz w:val="20"/>
                <w:szCs w:val="20"/>
                <w:lang w:val="es-GT"/>
              </w:rPr>
              <w:t xml:space="preserve">Participó en la primera ronda de reuniones en mayo </w:t>
            </w:r>
          </w:p>
        </w:tc>
      </w:tr>
      <w:tr w:rsidR="00F2015D" w:rsidRPr="00F2015D" w:rsidTr="00F2015D">
        <w:tc>
          <w:tcPr>
            <w:tcW w:w="1414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 xml:space="preserve">Juan Carlos Funes </w:t>
            </w:r>
          </w:p>
        </w:tc>
        <w:tc>
          <w:tcPr>
            <w:tcW w:w="162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MARN Consultor III comunicación de CC</w:t>
            </w:r>
          </w:p>
        </w:tc>
        <w:tc>
          <w:tcPr>
            <w:tcW w:w="3481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  <w:r w:rsidRPr="00F2015D">
              <w:rPr>
                <w:rFonts w:cs="Arial"/>
                <w:sz w:val="20"/>
                <w:szCs w:val="20"/>
              </w:rPr>
              <w:t>juankfunes@gmail.com, terceracomunicacionnacionalgt@gmail.com</w:t>
            </w:r>
          </w:p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120" w:type="dxa"/>
          </w:tcPr>
          <w:p w:rsidR="00F2015D" w:rsidRPr="00F2015D" w:rsidRDefault="00F2015D" w:rsidP="002A25F6">
            <w:pPr>
              <w:pStyle w:val="NormalWeb"/>
              <w:spacing w:before="0" w:beforeAutospacing="0" w:after="0" w:afterAutospacing="0"/>
              <w:jc w:val="both"/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</w:pPr>
            <w:r w:rsidRPr="00F2015D">
              <w:rPr>
                <w:rFonts w:ascii="Arial" w:eastAsia="DejaVu Sans" w:hAnsi="Arial" w:cs="Arial"/>
                <w:bCs/>
                <w:kern w:val="24"/>
                <w:sz w:val="20"/>
                <w:szCs w:val="20"/>
                <w:lang w:val="es-GT"/>
              </w:rPr>
              <w:t>Se le presenta la lista completa y que el evalúe cuales indicadores puede evaluar</w:t>
            </w: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56" w:type="dxa"/>
          </w:tcPr>
          <w:p w:rsidR="00F2015D" w:rsidRPr="00F2015D" w:rsidRDefault="00F2015D" w:rsidP="002A25F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A51E98" w:rsidRDefault="00A51E98" w:rsidP="002A25F6">
      <w:pPr>
        <w:jc w:val="both"/>
      </w:pPr>
    </w:p>
    <w:sectPr w:rsidR="00A51E98" w:rsidSect="00A51E98">
      <w:pgSz w:w="16838" w:h="11906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0BC" w:rsidRDefault="004930BC" w:rsidP="00D80E3E">
      <w:pPr>
        <w:spacing w:line="240" w:lineRule="auto"/>
      </w:pPr>
      <w:r>
        <w:separator/>
      </w:r>
    </w:p>
  </w:endnote>
  <w:endnote w:type="continuationSeparator" w:id="0">
    <w:p w:rsidR="004930BC" w:rsidRDefault="004930BC" w:rsidP="00D80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421977"/>
      <w:docPartObj>
        <w:docPartGallery w:val="Page Numbers (Bottom of Page)"/>
        <w:docPartUnique/>
      </w:docPartObj>
    </w:sdtPr>
    <w:sdtEndPr/>
    <w:sdtContent>
      <w:p w:rsidR="00EA0FB0" w:rsidRDefault="00EA0F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C86" w:rsidRPr="002D2C86">
          <w:rPr>
            <w:noProof/>
            <w:lang w:val="es-ES"/>
          </w:rPr>
          <w:t>9</w:t>
        </w:r>
        <w:r>
          <w:fldChar w:fldCharType="end"/>
        </w:r>
      </w:p>
    </w:sdtContent>
  </w:sdt>
  <w:p w:rsidR="00EA0FB0" w:rsidRDefault="00EA0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0BC" w:rsidRDefault="004930BC" w:rsidP="00D80E3E">
      <w:pPr>
        <w:spacing w:line="240" w:lineRule="auto"/>
      </w:pPr>
      <w:r>
        <w:separator/>
      </w:r>
    </w:p>
  </w:footnote>
  <w:footnote w:type="continuationSeparator" w:id="0">
    <w:p w:rsidR="004930BC" w:rsidRDefault="004930BC" w:rsidP="00D80E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1249"/>
    <w:multiLevelType w:val="hybridMultilevel"/>
    <w:tmpl w:val="A3FA542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22034"/>
    <w:multiLevelType w:val="hybridMultilevel"/>
    <w:tmpl w:val="4AAACF2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2008"/>
    <w:multiLevelType w:val="hybridMultilevel"/>
    <w:tmpl w:val="4AAACF2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328B"/>
    <w:multiLevelType w:val="hybridMultilevel"/>
    <w:tmpl w:val="9DC0688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52221"/>
    <w:multiLevelType w:val="hybridMultilevel"/>
    <w:tmpl w:val="284C4864"/>
    <w:lvl w:ilvl="0" w:tplc="E17E3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90FE3"/>
    <w:multiLevelType w:val="hybridMultilevel"/>
    <w:tmpl w:val="F4201966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41431F"/>
    <w:multiLevelType w:val="hybridMultilevel"/>
    <w:tmpl w:val="794CCD3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F683A"/>
    <w:multiLevelType w:val="hybridMultilevel"/>
    <w:tmpl w:val="79F2A198"/>
    <w:lvl w:ilvl="0" w:tplc="011CFEE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057AE"/>
    <w:multiLevelType w:val="hybridMultilevel"/>
    <w:tmpl w:val="4AAACF2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A36C3"/>
    <w:multiLevelType w:val="hybridMultilevel"/>
    <w:tmpl w:val="4746A6A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07FF6"/>
    <w:multiLevelType w:val="hybridMultilevel"/>
    <w:tmpl w:val="097C49D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C65FC"/>
    <w:multiLevelType w:val="hybridMultilevel"/>
    <w:tmpl w:val="1618F0E0"/>
    <w:lvl w:ilvl="0" w:tplc="32FA2CE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C33514"/>
    <w:multiLevelType w:val="hybridMultilevel"/>
    <w:tmpl w:val="1D06F2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D54CE"/>
    <w:multiLevelType w:val="hybridMultilevel"/>
    <w:tmpl w:val="4AAACF2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A172C"/>
    <w:multiLevelType w:val="hybridMultilevel"/>
    <w:tmpl w:val="4AAACF2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B67DE"/>
    <w:multiLevelType w:val="hybridMultilevel"/>
    <w:tmpl w:val="E8FA52F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66723"/>
    <w:multiLevelType w:val="hybridMultilevel"/>
    <w:tmpl w:val="4AAACF2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46E97"/>
    <w:multiLevelType w:val="hybridMultilevel"/>
    <w:tmpl w:val="B632184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A4A5C"/>
    <w:multiLevelType w:val="hybridMultilevel"/>
    <w:tmpl w:val="10C8042A"/>
    <w:lvl w:ilvl="0" w:tplc="3BDA815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51B39"/>
    <w:multiLevelType w:val="hybridMultilevel"/>
    <w:tmpl w:val="BF800380"/>
    <w:lvl w:ilvl="0" w:tplc="AB20608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C1566"/>
    <w:multiLevelType w:val="hybridMultilevel"/>
    <w:tmpl w:val="4AAACF2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82D20"/>
    <w:multiLevelType w:val="hybridMultilevel"/>
    <w:tmpl w:val="C8F4CE0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37EDD"/>
    <w:multiLevelType w:val="hybridMultilevel"/>
    <w:tmpl w:val="4AAACF2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E75F9"/>
    <w:multiLevelType w:val="hybridMultilevel"/>
    <w:tmpl w:val="4AAACF2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23A12"/>
    <w:multiLevelType w:val="hybridMultilevel"/>
    <w:tmpl w:val="ED3479B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4"/>
  </w:num>
  <w:num w:numId="4">
    <w:abstractNumId w:val="9"/>
  </w:num>
  <w:num w:numId="5">
    <w:abstractNumId w:val="17"/>
  </w:num>
  <w:num w:numId="6">
    <w:abstractNumId w:val="15"/>
  </w:num>
  <w:num w:numId="7">
    <w:abstractNumId w:val="12"/>
  </w:num>
  <w:num w:numId="8">
    <w:abstractNumId w:val="0"/>
  </w:num>
  <w:num w:numId="9">
    <w:abstractNumId w:val="10"/>
  </w:num>
  <w:num w:numId="10">
    <w:abstractNumId w:val="21"/>
  </w:num>
  <w:num w:numId="11">
    <w:abstractNumId w:val="4"/>
  </w:num>
  <w:num w:numId="12">
    <w:abstractNumId w:val="11"/>
  </w:num>
  <w:num w:numId="13">
    <w:abstractNumId w:val="19"/>
  </w:num>
  <w:num w:numId="14">
    <w:abstractNumId w:val="18"/>
  </w:num>
  <w:num w:numId="15">
    <w:abstractNumId w:val="7"/>
  </w:num>
  <w:num w:numId="16">
    <w:abstractNumId w:val="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"/>
  </w:num>
  <w:num w:numId="20">
    <w:abstractNumId w:val="23"/>
  </w:num>
  <w:num w:numId="21">
    <w:abstractNumId w:val="8"/>
  </w:num>
  <w:num w:numId="22">
    <w:abstractNumId w:val="22"/>
  </w:num>
  <w:num w:numId="23">
    <w:abstractNumId w:val="14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52"/>
    <w:rsid w:val="000013CA"/>
    <w:rsid w:val="00022EB3"/>
    <w:rsid w:val="0003717E"/>
    <w:rsid w:val="000465FE"/>
    <w:rsid w:val="00093D83"/>
    <w:rsid w:val="000A45B5"/>
    <w:rsid w:val="000B704F"/>
    <w:rsid w:val="000D2544"/>
    <w:rsid w:val="000E1ED8"/>
    <w:rsid w:val="000E547C"/>
    <w:rsid w:val="000F5954"/>
    <w:rsid w:val="00167F51"/>
    <w:rsid w:val="00186802"/>
    <w:rsid w:val="001D1DBF"/>
    <w:rsid w:val="001F20E9"/>
    <w:rsid w:val="00220651"/>
    <w:rsid w:val="00247412"/>
    <w:rsid w:val="00250D15"/>
    <w:rsid w:val="00291326"/>
    <w:rsid w:val="00296647"/>
    <w:rsid w:val="002A25F6"/>
    <w:rsid w:val="002B208F"/>
    <w:rsid w:val="002D2C86"/>
    <w:rsid w:val="002E488A"/>
    <w:rsid w:val="00316C70"/>
    <w:rsid w:val="00320C8E"/>
    <w:rsid w:val="003309B5"/>
    <w:rsid w:val="00335912"/>
    <w:rsid w:val="0035042C"/>
    <w:rsid w:val="003A7969"/>
    <w:rsid w:val="003E3FDD"/>
    <w:rsid w:val="003E5EFE"/>
    <w:rsid w:val="003F5812"/>
    <w:rsid w:val="004066A1"/>
    <w:rsid w:val="00486930"/>
    <w:rsid w:val="004930BC"/>
    <w:rsid w:val="004A0263"/>
    <w:rsid w:val="004B7C82"/>
    <w:rsid w:val="004E0A2F"/>
    <w:rsid w:val="005007A0"/>
    <w:rsid w:val="00516516"/>
    <w:rsid w:val="00540920"/>
    <w:rsid w:val="005A2DDD"/>
    <w:rsid w:val="005B2ADD"/>
    <w:rsid w:val="00614B2D"/>
    <w:rsid w:val="006327A9"/>
    <w:rsid w:val="00646CA5"/>
    <w:rsid w:val="00653022"/>
    <w:rsid w:val="006808BF"/>
    <w:rsid w:val="006A3917"/>
    <w:rsid w:val="006C6288"/>
    <w:rsid w:val="006F5786"/>
    <w:rsid w:val="00705295"/>
    <w:rsid w:val="007D7936"/>
    <w:rsid w:val="007F65FE"/>
    <w:rsid w:val="008173A5"/>
    <w:rsid w:val="00907F4D"/>
    <w:rsid w:val="00912A39"/>
    <w:rsid w:val="00914861"/>
    <w:rsid w:val="0094364C"/>
    <w:rsid w:val="00972B03"/>
    <w:rsid w:val="009A31AB"/>
    <w:rsid w:val="009B380C"/>
    <w:rsid w:val="009B4390"/>
    <w:rsid w:val="009B6658"/>
    <w:rsid w:val="009F4A54"/>
    <w:rsid w:val="009F6F4F"/>
    <w:rsid w:val="00A0491E"/>
    <w:rsid w:val="00A05142"/>
    <w:rsid w:val="00A4284B"/>
    <w:rsid w:val="00A51E98"/>
    <w:rsid w:val="00A7704A"/>
    <w:rsid w:val="00AE5352"/>
    <w:rsid w:val="00AF3CBC"/>
    <w:rsid w:val="00B45B96"/>
    <w:rsid w:val="00B52494"/>
    <w:rsid w:val="00B82FDA"/>
    <w:rsid w:val="00BE13E7"/>
    <w:rsid w:val="00BE6A59"/>
    <w:rsid w:val="00C12807"/>
    <w:rsid w:val="00D265C1"/>
    <w:rsid w:val="00D35776"/>
    <w:rsid w:val="00D41428"/>
    <w:rsid w:val="00D60957"/>
    <w:rsid w:val="00D80E3E"/>
    <w:rsid w:val="00D82ABF"/>
    <w:rsid w:val="00D8444B"/>
    <w:rsid w:val="00DA53CF"/>
    <w:rsid w:val="00E14030"/>
    <w:rsid w:val="00E41242"/>
    <w:rsid w:val="00E77EEA"/>
    <w:rsid w:val="00E86D5E"/>
    <w:rsid w:val="00EA0FB0"/>
    <w:rsid w:val="00EA6C0B"/>
    <w:rsid w:val="00ED1AA9"/>
    <w:rsid w:val="00EE18DF"/>
    <w:rsid w:val="00F075CC"/>
    <w:rsid w:val="00F10447"/>
    <w:rsid w:val="00F2015D"/>
    <w:rsid w:val="00F373E8"/>
    <w:rsid w:val="00F7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FEF622-38BD-45B5-94D1-BB5630E1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9B5"/>
    <w:pPr>
      <w:spacing w:after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0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5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5B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80E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E3E"/>
  </w:style>
  <w:style w:type="paragraph" w:styleId="Footer">
    <w:name w:val="footer"/>
    <w:basedOn w:val="Normal"/>
    <w:link w:val="FooterChar"/>
    <w:uiPriority w:val="99"/>
    <w:unhideWhenUsed/>
    <w:rsid w:val="00D80E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E3E"/>
  </w:style>
  <w:style w:type="paragraph" w:styleId="NormalWeb">
    <w:name w:val="Normal (Web)"/>
    <w:basedOn w:val="Normal"/>
    <w:uiPriority w:val="99"/>
    <w:unhideWhenUsed/>
    <w:rsid w:val="00A51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edd.marn.gob.gt/indicadores-si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go.gonzalez@sesan.gob.g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uentes@conred.org.g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onacom.gt/proyectos/nam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59A4E-64D0-43D0-8BE9-FE13107A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2283</Words>
  <Characters>13015</Characters>
  <Application>Microsoft Office Word</Application>
  <DocSecurity>4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Medellin M (CATIE)</dc:creator>
  <cp:keywords/>
  <dc:description/>
  <cp:lastModifiedBy>Sandra Bry</cp:lastModifiedBy>
  <cp:revision>2</cp:revision>
  <dcterms:created xsi:type="dcterms:W3CDTF">2018-09-14T08:22:00Z</dcterms:created>
  <dcterms:modified xsi:type="dcterms:W3CDTF">2018-09-14T08:22:00Z</dcterms:modified>
</cp:coreProperties>
</file>