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C6" w:rsidRPr="009E0A50" w:rsidRDefault="0074654C" w:rsidP="00AA7B9F">
      <w:pPr>
        <w:jc w:val="center"/>
        <w:rPr>
          <w:b/>
          <w:sz w:val="32"/>
          <w:szCs w:val="32"/>
        </w:rPr>
      </w:pPr>
      <w:r w:rsidRPr="009E0A50">
        <w:rPr>
          <w:b/>
          <w:sz w:val="32"/>
          <w:szCs w:val="32"/>
        </w:rPr>
        <w:t>TECHNOLOGY FACT SHEET</w:t>
      </w:r>
    </w:p>
    <w:p w:rsidR="00BB2143" w:rsidRDefault="00BB2143" w:rsidP="009E0A50">
      <w:pPr>
        <w:jc w:val="left"/>
        <w:rPr>
          <w:b/>
        </w:rPr>
      </w:pPr>
    </w:p>
    <w:p w:rsidR="00BB2143" w:rsidRDefault="00AA7B9F" w:rsidP="00AA7B9F">
      <w:pPr>
        <w:pStyle w:val="NoSpacing"/>
        <w:jc w:val="center"/>
        <w:rPr>
          <w:b/>
          <w:sz w:val="32"/>
          <w:szCs w:val="32"/>
        </w:rPr>
      </w:pPr>
      <w:proofErr w:type="spellStart"/>
      <w:r>
        <w:rPr>
          <w:b/>
          <w:sz w:val="32"/>
          <w:szCs w:val="32"/>
        </w:rPr>
        <w:t>Tubewells</w:t>
      </w:r>
      <w:proofErr w:type="spellEnd"/>
      <w:r>
        <w:rPr>
          <w:b/>
          <w:sz w:val="32"/>
          <w:szCs w:val="32"/>
        </w:rPr>
        <w:t xml:space="preserve"> and Boreholes</w:t>
      </w:r>
    </w:p>
    <w:p w:rsidR="00AA7B9F" w:rsidRPr="00AA7B9F" w:rsidRDefault="00AA7B9F" w:rsidP="00AA7B9F">
      <w:pPr>
        <w:pStyle w:val="NoSpacing"/>
        <w:jc w:val="center"/>
        <w:rPr>
          <w:b/>
          <w:sz w:val="32"/>
          <w:szCs w:val="32"/>
        </w:rPr>
      </w:pPr>
    </w:p>
    <w:p w:rsidR="00BB2143" w:rsidRDefault="00BB2143" w:rsidP="009E0A50">
      <w:pPr>
        <w:jc w:val="left"/>
        <w:rPr>
          <w:b/>
        </w:rPr>
      </w:pPr>
    </w:p>
    <w:p w:rsidR="00BB2143" w:rsidRDefault="00BB2143" w:rsidP="00AA7B9F">
      <w:pPr>
        <w:pStyle w:val="Heading1"/>
      </w:pPr>
      <w:r>
        <w:t>Technology description</w:t>
      </w:r>
    </w:p>
    <w:p w:rsidR="00BB2143" w:rsidRDefault="00BB2143" w:rsidP="009E0A50">
      <w:pPr>
        <w:jc w:val="left"/>
        <w:rPr>
          <w:b/>
        </w:rPr>
      </w:pPr>
    </w:p>
    <w:p w:rsidR="00BB2143" w:rsidRDefault="00BB2143" w:rsidP="00B326FF">
      <w:r w:rsidRPr="00BB2143">
        <w:t>Increasing access to ground water is a key coping strategy for households during dry periods/droughts.</w:t>
      </w:r>
      <w:r>
        <w:t xml:space="preserve"> </w:t>
      </w:r>
      <w:r w:rsidRPr="00BB2143">
        <w:t>Tube wells can be defined as narrowly screened tubes or casings driven into a water bearing strata on the subsurface. The name tube well is often used alternatively with borehole even though there is some difference. The main aim of this technology is to increase resilience to drought conditions under climate change which are projected to be prolonged and more frequent.</w:t>
      </w:r>
      <w:r>
        <w:t xml:space="preserve"> </w:t>
      </w:r>
      <w:r w:rsidRPr="00BB2143">
        <w:t xml:space="preserve"> This option can increase access to potable water more especially to rural communities, however, it can also be used to supplement urban water supply.</w:t>
      </w:r>
    </w:p>
    <w:p w:rsidR="00BB2143" w:rsidRDefault="00BB2143" w:rsidP="009E0A50">
      <w:pPr>
        <w:jc w:val="left"/>
      </w:pPr>
    </w:p>
    <w:tbl>
      <w:tblPr>
        <w:tblStyle w:val="TableGrid"/>
        <w:tblW w:w="0" w:type="auto"/>
        <w:tblInd w:w="108" w:type="dxa"/>
        <w:tblLook w:val="04A0" w:firstRow="1" w:lastRow="0" w:firstColumn="1" w:lastColumn="0" w:noHBand="0" w:noVBand="1"/>
      </w:tblPr>
      <w:tblGrid>
        <w:gridCol w:w="2694"/>
        <w:gridCol w:w="6378"/>
      </w:tblGrid>
      <w:tr w:rsidR="0074654C" w:rsidTr="0074654C">
        <w:tc>
          <w:tcPr>
            <w:tcW w:w="2694" w:type="dxa"/>
            <w:shd w:val="clear" w:color="auto" w:fill="C4BC96" w:themeFill="background2" w:themeFillShade="BF"/>
          </w:tcPr>
          <w:p w:rsidR="0074654C" w:rsidRDefault="0074654C" w:rsidP="009E0A50">
            <w:pPr>
              <w:jc w:val="left"/>
            </w:pPr>
            <w:r>
              <w:t>Technology option</w:t>
            </w:r>
            <w:r w:rsidR="00B326FF">
              <w:t>s</w:t>
            </w:r>
          </w:p>
        </w:tc>
        <w:tc>
          <w:tcPr>
            <w:tcW w:w="6378" w:type="dxa"/>
            <w:shd w:val="clear" w:color="auto" w:fill="C4BC96" w:themeFill="background2" w:themeFillShade="BF"/>
          </w:tcPr>
          <w:p w:rsidR="0074654C" w:rsidRDefault="0074654C" w:rsidP="009E0A50">
            <w:pPr>
              <w:jc w:val="left"/>
            </w:pPr>
            <w:r>
              <w:t>Option description</w:t>
            </w:r>
          </w:p>
        </w:tc>
      </w:tr>
      <w:tr w:rsidR="0074654C" w:rsidTr="0074654C">
        <w:tc>
          <w:tcPr>
            <w:tcW w:w="2694" w:type="dxa"/>
          </w:tcPr>
          <w:p w:rsidR="0074654C" w:rsidRPr="0074654C" w:rsidRDefault="0074654C" w:rsidP="009E0A50">
            <w:pPr>
              <w:jc w:val="left"/>
            </w:pPr>
            <w:r w:rsidRPr="0074654C">
              <w:t>Drilling new boreholes/deepening existing boreholes</w:t>
            </w:r>
          </w:p>
        </w:tc>
        <w:tc>
          <w:tcPr>
            <w:tcW w:w="6378" w:type="dxa"/>
          </w:tcPr>
          <w:p w:rsidR="0074654C" w:rsidRDefault="0074654C" w:rsidP="009E0A50">
            <w:pPr>
              <w:jc w:val="left"/>
            </w:pPr>
            <w:r w:rsidRPr="0074654C">
              <w:t>These strategies form the basis of conventional approaches to improving groundwater access in rural areas during drought</w:t>
            </w:r>
          </w:p>
        </w:tc>
      </w:tr>
      <w:tr w:rsidR="0074654C" w:rsidTr="0074654C">
        <w:tc>
          <w:tcPr>
            <w:tcW w:w="2694" w:type="dxa"/>
          </w:tcPr>
          <w:p w:rsidR="0074654C" w:rsidRPr="0074654C" w:rsidRDefault="0074654C" w:rsidP="009E0A50">
            <w:pPr>
              <w:jc w:val="left"/>
            </w:pPr>
            <w:r w:rsidRPr="0074654C">
              <w:t>Repairing damaged boreholes</w:t>
            </w:r>
          </w:p>
        </w:tc>
        <w:tc>
          <w:tcPr>
            <w:tcW w:w="6378" w:type="dxa"/>
          </w:tcPr>
          <w:p w:rsidR="0074654C" w:rsidRDefault="0074654C" w:rsidP="009E0A50">
            <w:pPr>
              <w:jc w:val="left"/>
            </w:pPr>
            <w:r w:rsidRPr="0074654C">
              <w:t>In many droughts, regional groundwater depletion is not the main factor affecting domestic access to water. When individual boreholes fail during drought, the cause is often local drawdown or mechanical failure.</w:t>
            </w:r>
          </w:p>
        </w:tc>
      </w:tr>
      <w:tr w:rsidR="0074654C" w:rsidRPr="0074654C" w:rsidTr="0074654C">
        <w:tc>
          <w:tcPr>
            <w:tcW w:w="2694" w:type="dxa"/>
          </w:tcPr>
          <w:p w:rsidR="0074654C" w:rsidRPr="0074654C" w:rsidRDefault="0074654C" w:rsidP="009E0A50">
            <w:pPr>
              <w:jc w:val="left"/>
            </w:pPr>
            <w:r w:rsidRPr="0074654C">
              <w:t>Relief boreholes with use restricted to drought periods</w:t>
            </w:r>
          </w:p>
        </w:tc>
        <w:tc>
          <w:tcPr>
            <w:tcW w:w="6378" w:type="dxa"/>
          </w:tcPr>
          <w:p w:rsidR="0074654C" w:rsidRPr="0074654C" w:rsidRDefault="0074654C" w:rsidP="009E0A50">
            <w:pPr>
              <w:jc w:val="left"/>
            </w:pPr>
            <w:r w:rsidRPr="0074654C">
              <w:t>Many authors have proposed developing deep “relief boreholes” that remain capped when water supplies are adequate and are uncapped for use during drought.</w:t>
            </w:r>
          </w:p>
        </w:tc>
      </w:tr>
    </w:tbl>
    <w:p w:rsidR="0074654C" w:rsidRPr="0074654C" w:rsidRDefault="0074654C" w:rsidP="009E0A50">
      <w:pPr>
        <w:jc w:val="left"/>
      </w:pPr>
    </w:p>
    <w:p w:rsidR="0074654C" w:rsidRDefault="0074654C" w:rsidP="009E0A50">
      <w:pPr>
        <w:jc w:val="left"/>
      </w:pPr>
    </w:p>
    <w:p w:rsidR="00BB2143" w:rsidRPr="00BB2143" w:rsidRDefault="00BB2143" w:rsidP="009E0A50">
      <w:pPr>
        <w:jc w:val="left"/>
        <w:rPr>
          <w:b/>
        </w:rPr>
      </w:pPr>
    </w:p>
    <w:p w:rsidR="00F264E7" w:rsidRDefault="00F264E7" w:rsidP="00AA7B9F">
      <w:pPr>
        <w:pStyle w:val="Heading1"/>
      </w:pPr>
      <w:r>
        <w:t xml:space="preserve">Contribution </w:t>
      </w:r>
      <w:r w:rsidR="00CB5261">
        <w:t>to climate change adaptation</w:t>
      </w:r>
    </w:p>
    <w:p w:rsidR="00F264E7" w:rsidRDefault="00F264E7" w:rsidP="00F264E7"/>
    <w:p w:rsidR="00F264E7" w:rsidRDefault="00F264E7" w:rsidP="00F264E7">
      <w:r w:rsidRPr="00F264E7">
        <w:t xml:space="preserve">A warmer climate is highly likely to result in more frequent drought. Deep </w:t>
      </w:r>
      <w:proofErr w:type="spellStart"/>
      <w:r w:rsidRPr="00F264E7">
        <w:t>tubewells</w:t>
      </w:r>
      <w:proofErr w:type="spellEnd"/>
      <w:r w:rsidRPr="00F264E7">
        <w:t>, usually defined by</w:t>
      </w:r>
      <w:r>
        <w:t xml:space="preserve"> </w:t>
      </w:r>
      <w:r w:rsidRPr="00F264E7">
        <w:t>engineers as those that penetrate at least one impermeable layer, generally have much greater resilience</w:t>
      </w:r>
      <w:r>
        <w:t xml:space="preserve"> </w:t>
      </w:r>
      <w:r w:rsidRPr="00F264E7">
        <w:t>to drought than traditional water supplies including springs, hand dug wells and surface water sources.</w:t>
      </w:r>
      <w:r>
        <w:t xml:space="preserve"> </w:t>
      </w:r>
      <w:r w:rsidRPr="00F264E7">
        <w:t>In many regions, groundwater is the only perennial source of water supply. However, a more nuanced</w:t>
      </w:r>
      <w:r>
        <w:t xml:space="preserve"> </w:t>
      </w:r>
      <w:r w:rsidRPr="00F264E7">
        <w:t>understanding of drought is needed to formulate a proper response.</w:t>
      </w:r>
      <w:r>
        <w:t xml:space="preserve"> </w:t>
      </w:r>
      <w:r w:rsidRPr="00F264E7">
        <w:t>Drought is defined as “a temporary aberration” in a climate pattern and is driven by variability in precipitation</w:t>
      </w:r>
      <w:r>
        <w:t xml:space="preserve"> </w:t>
      </w:r>
      <w:r w:rsidRPr="00F264E7">
        <w:t>and evapotranspiration. This is in contrast to aridity, which is the “ordinary” climatic condition for a given</w:t>
      </w:r>
      <w:r>
        <w:t xml:space="preserve"> </w:t>
      </w:r>
      <w:r w:rsidRPr="00F264E7">
        <w:t>area, and water stress/scarcity, which reflects renew</w:t>
      </w:r>
      <w:r>
        <w:t>able water resources per capita.</w:t>
      </w:r>
    </w:p>
    <w:p w:rsidR="00F264E7" w:rsidRDefault="00F264E7" w:rsidP="00F264E7"/>
    <w:p w:rsidR="00F264E7" w:rsidRDefault="00F264E7" w:rsidP="00F264E7">
      <w:r w:rsidRPr="00F264E7">
        <w:t>Drought is further</w:t>
      </w:r>
      <w:r>
        <w:t xml:space="preserve"> </w:t>
      </w:r>
      <w:r w:rsidRPr="00F264E7">
        <w:t>divided into three categories: meteorological drought, agricultural drought, and hydrological drought. The</w:t>
      </w:r>
      <w:r>
        <w:t xml:space="preserve"> </w:t>
      </w:r>
      <w:r w:rsidRPr="00F264E7">
        <w:t>former two are experienced earliest, but hydrological drought is the drought-type associated with shortfalls</w:t>
      </w:r>
      <w:r>
        <w:t xml:space="preserve"> </w:t>
      </w:r>
      <w:r w:rsidRPr="00F264E7">
        <w:t>in surface water and groundwater supply. Groundwater drought is sometimes used to further distinguish</w:t>
      </w:r>
      <w:r>
        <w:t xml:space="preserve"> </w:t>
      </w:r>
      <w:r w:rsidRPr="00F264E7">
        <w:t>cases in which the water table declines and some wells dry up.</w:t>
      </w:r>
      <w:r>
        <w:t xml:space="preserve"> </w:t>
      </w:r>
      <w:r w:rsidRPr="00F264E7">
        <w:t>Many situations commonly described as</w:t>
      </w:r>
      <w:r>
        <w:t xml:space="preserve"> </w:t>
      </w:r>
      <w:r w:rsidRPr="00F264E7">
        <w:t xml:space="preserve">drought can strongly </w:t>
      </w:r>
      <w:r w:rsidRPr="00F264E7">
        <w:lastRenderedPageBreak/>
        <w:t>impact rain-fed agriculture and other activities without having a direct impact on the</w:t>
      </w:r>
      <w:r>
        <w:t xml:space="preserve"> </w:t>
      </w:r>
      <w:r w:rsidRPr="00F264E7">
        <w:t xml:space="preserve">availability of safe drinking water. </w:t>
      </w:r>
    </w:p>
    <w:p w:rsidR="00CB5261" w:rsidRDefault="00CB5261" w:rsidP="00F264E7"/>
    <w:p w:rsidR="00CB5261" w:rsidRDefault="00CB5261" w:rsidP="00CB5261">
      <w:pPr>
        <w:pStyle w:val="Heading1"/>
      </w:pPr>
      <w:r>
        <w:t xml:space="preserve">Contributions to development and </w:t>
      </w:r>
      <w:r w:rsidR="00C67E70">
        <w:t>potential beneficiaries</w:t>
      </w:r>
    </w:p>
    <w:p w:rsidR="00CB5261" w:rsidRDefault="00CB5261" w:rsidP="00CB5261"/>
    <w:p w:rsidR="00CB5261" w:rsidRDefault="00CB5261" w:rsidP="00CB5261">
      <w:r>
        <w:t>Discontinuity of water supply due to drought does affect the economy, human health and well-being and the agricultural sector. This technology provides resilience for communities to rely on poor water quality alternatives.</w:t>
      </w:r>
      <w:r w:rsidR="005140C4">
        <w:t xml:space="preserve"> </w:t>
      </w:r>
    </w:p>
    <w:p w:rsidR="00F264E7" w:rsidRPr="00F264E7" w:rsidRDefault="00F264E7" w:rsidP="00F264E7"/>
    <w:p w:rsidR="00BB2143" w:rsidRDefault="00BB2143" w:rsidP="00AA7B9F">
      <w:pPr>
        <w:pStyle w:val="Heading1"/>
      </w:pPr>
      <w:r>
        <w:t xml:space="preserve">Knowledge/capacity building </w:t>
      </w:r>
      <w:r w:rsidRPr="00BB2143">
        <w:t>requirements</w:t>
      </w:r>
    </w:p>
    <w:p w:rsidR="0074654C" w:rsidRDefault="0074654C" w:rsidP="009E0A50">
      <w:pPr>
        <w:jc w:val="left"/>
      </w:pPr>
    </w:p>
    <w:p w:rsidR="009E0A50" w:rsidRDefault="00B326FF" w:rsidP="00505ED8">
      <w:r w:rsidRPr="00B326FF">
        <w:t>Determining the best strategy for improving groundwater access during drought requires knowledge of</w:t>
      </w:r>
      <w:r>
        <w:t xml:space="preserve"> </w:t>
      </w:r>
      <w:r w:rsidRPr="00B326FF">
        <w:t>population distribution, groundwater resources, and water point locations/status. Sometimes expensive</w:t>
      </w:r>
      <w:r>
        <w:t xml:space="preserve"> </w:t>
      </w:r>
      <w:r w:rsidRPr="00B326FF">
        <w:t>geophysical techniques are necessary, but the success of a method will vary widely depending on the</w:t>
      </w:r>
      <w:r>
        <w:t xml:space="preserve"> </w:t>
      </w:r>
      <w:r w:rsidRPr="00B326FF">
        <w:t xml:space="preserve">geological environment. </w:t>
      </w:r>
    </w:p>
    <w:p w:rsidR="00B326FF" w:rsidRPr="0074654C" w:rsidRDefault="00B326FF" w:rsidP="00B326FF">
      <w:pPr>
        <w:jc w:val="left"/>
      </w:pPr>
    </w:p>
    <w:p w:rsidR="009E0A50" w:rsidRDefault="009E0A50" w:rsidP="00AA7B9F">
      <w:pPr>
        <w:pStyle w:val="Heading1"/>
      </w:pPr>
      <w:r>
        <w:t>Institutional arrangements</w:t>
      </w:r>
    </w:p>
    <w:p w:rsidR="009E0A50" w:rsidRDefault="009E0A50" w:rsidP="009E0A50"/>
    <w:p w:rsidR="00505ED8" w:rsidRPr="00505ED8" w:rsidRDefault="00505ED8" w:rsidP="00505ED8">
      <w:r w:rsidRPr="00505ED8">
        <w:t>A central groundwater database is essential to making informed decisions for groundwater access</w:t>
      </w:r>
      <w:r>
        <w:t xml:space="preserve"> </w:t>
      </w:r>
      <w:r w:rsidRPr="00505ED8">
        <w:t>during drought.</w:t>
      </w:r>
      <w:r>
        <w:t xml:space="preserve"> </w:t>
      </w:r>
      <w:r w:rsidRPr="00505ED8">
        <w:t>These data can be gathered through a central governmental initiative at great expense.</w:t>
      </w:r>
    </w:p>
    <w:p w:rsidR="00505ED8" w:rsidRDefault="00505ED8" w:rsidP="00505ED8"/>
    <w:p w:rsidR="00505ED8" w:rsidRDefault="00505ED8" w:rsidP="00505ED8">
      <w:r w:rsidRPr="00505ED8">
        <w:t>Alternatively, governments can help to ensure that data from all major well-drilling entities (e.g. contractors,</w:t>
      </w:r>
      <w:r>
        <w:t xml:space="preserve"> </w:t>
      </w:r>
      <w:r w:rsidRPr="00505ED8">
        <w:t>donors, NGOs, state enterprises) contribute to the database. Borehole logs, completion reports, test</w:t>
      </w:r>
      <w:r>
        <w:t xml:space="preserve"> p</w:t>
      </w:r>
      <w:r w:rsidRPr="00505ED8">
        <w:t>umping data, and other useful information should be collected in a central repository for mutual benefit.</w:t>
      </w:r>
      <w:r>
        <w:t xml:space="preserve"> </w:t>
      </w:r>
      <w:r w:rsidRPr="00505ED8">
        <w:t>In addition to data on groundwater resources, having a map of existing water points and population can</w:t>
      </w:r>
      <w:r>
        <w:t xml:space="preserve"> </w:t>
      </w:r>
      <w:r w:rsidRPr="00505ED8">
        <w:t xml:space="preserve">greatly increase drought-alleviation program efficiency. </w:t>
      </w:r>
    </w:p>
    <w:p w:rsidR="009E0A50" w:rsidRPr="009E0A50" w:rsidRDefault="009E0A50" w:rsidP="009E0A50"/>
    <w:p w:rsidR="00BB2143" w:rsidRDefault="00BB2143" w:rsidP="00AA7B9F">
      <w:pPr>
        <w:pStyle w:val="Heading1"/>
      </w:pPr>
      <w:r w:rsidRPr="00BB2143">
        <w:t>Cost of implementation</w:t>
      </w:r>
    </w:p>
    <w:p w:rsidR="0074654C" w:rsidRDefault="0074654C" w:rsidP="009E0A50">
      <w:pPr>
        <w:jc w:val="left"/>
      </w:pPr>
    </w:p>
    <w:p w:rsidR="00441F6E" w:rsidRDefault="00441F6E" w:rsidP="00636D70">
      <w:r w:rsidRPr="00441F6E">
        <w:t xml:space="preserve">The costs of drilling new boreholes vary widely </w:t>
      </w:r>
      <w:proofErr w:type="gramStart"/>
      <w:r w:rsidRPr="00441F6E">
        <w:t>depending</w:t>
      </w:r>
      <w:proofErr w:type="gramEnd"/>
      <w:r w:rsidRPr="00441F6E">
        <w:t xml:space="preserve"> many factors, so quoting ‘typical’ costs can be</w:t>
      </w:r>
      <w:r>
        <w:t xml:space="preserve"> </w:t>
      </w:r>
      <w:r w:rsidRPr="00441F6E">
        <w:t>misleading. However, the average cost in much of Africa is $10,000-15,000; in contrast, the average cost</w:t>
      </w:r>
      <w:r w:rsidR="00636D70">
        <w:t xml:space="preserve"> </w:t>
      </w:r>
      <w:r w:rsidRPr="00441F6E">
        <w:t>in India is less than one-tenth as much. A detailed methodology for costing borehole drilling operations</w:t>
      </w:r>
      <w:r w:rsidR="00636D70">
        <w:t xml:space="preserve"> </w:t>
      </w:r>
    </w:p>
    <w:p w:rsidR="00441F6E" w:rsidRDefault="00441F6E" w:rsidP="009E0A50">
      <w:pPr>
        <w:jc w:val="left"/>
      </w:pPr>
    </w:p>
    <w:p w:rsidR="008D1A1D" w:rsidRPr="002A0390" w:rsidRDefault="00076B97" w:rsidP="00441F6E">
      <w:pPr>
        <w:numPr>
          <w:ilvl w:val="0"/>
          <w:numId w:val="7"/>
        </w:numPr>
        <w:ind w:left="284" w:hanging="284"/>
      </w:pPr>
      <w:r w:rsidRPr="002A0390">
        <w:t xml:space="preserve">The </w:t>
      </w:r>
      <w:r w:rsidRPr="002A0390">
        <w:rPr>
          <w:b/>
          <w:bCs/>
          <w:i/>
          <w:iCs/>
        </w:rPr>
        <w:t xml:space="preserve">basic costs to the driller </w:t>
      </w:r>
      <w:r w:rsidRPr="002A0390">
        <w:t>comprise costs of</w:t>
      </w:r>
    </w:p>
    <w:p w:rsidR="008D1A1D" w:rsidRPr="002A0390" w:rsidRDefault="00076B97" w:rsidP="00441F6E">
      <w:pPr>
        <w:numPr>
          <w:ilvl w:val="0"/>
          <w:numId w:val="8"/>
        </w:numPr>
      </w:pPr>
      <w:r w:rsidRPr="002A0390">
        <w:rPr>
          <w:b/>
          <w:bCs/>
          <w:i/>
          <w:iCs/>
        </w:rPr>
        <w:t xml:space="preserve">Mobilisation </w:t>
      </w:r>
      <w:r w:rsidRPr="002A0390">
        <w:t>– all costs involved in transporting equipment to site and back to base.</w:t>
      </w:r>
    </w:p>
    <w:p w:rsidR="008D1A1D" w:rsidRPr="002A0390" w:rsidRDefault="00076B97" w:rsidP="00441F6E">
      <w:pPr>
        <w:numPr>
          <w:ilvl w:val="0"/>
          <w:numId w:val="8"/>
        </w:numPr>
      </w:pPr>
      <w:r w:rsidRPr="002A0390">
        <w:rPr>
          <w:b/>
          <w:bCs/>
          <w:i/>
          <w:iCs/>
        </w:rPr>
        <w:t xml:space="preserve">Drilling </w:t>
      </w:r>
      <w:r w:rsidRPr="002A0390">
        <w:t>– allows for the per-hour (converted to per-meter) costs of equipment depreciation, labour consumption of fuel, lubricants and drill fluids and replacement of drilling tools. Affected by depth; diameter; drilling and standby time.</w:t>
      </w:r>
    </w:p>
    <w:p w:rsidR="002A0390" w:rsidRPr="002A0390" w:rsidRDefault="00076B97" w:rsidP="00441F6E">
      <w:pPr>
        <w:numPr>
          <w:ilvl w:val="0"/>
          <w:numId w:val="8"/>
        </w:numPr>
      </w:pPr>
      <w:r w:rsidRPr="002A0390">
        <w:rPr>
          <w:b/>
          <w:bCs/>
          <w:i/>
          <w:iCs/>
        </w:rPr>
        <w:t xml:space="preserve">Casing </w:t>
      </w:r>
      <w:r w:rsidRPr="002A0390">
        <w:t>– includes the supply and installation of plain casing and screen, gravel pack, sanitary seal and well-head construction</w:t>
      </w:r>
    </w:p>
    <w:p w:rsidR="008D1A1D" w:rsidRPr="002A0390" w:rsidRDefault="00076B97" w:rsidP="00441F6E">
      <w:pPr>
        <w:numPr>
          <w:ilvl w:val="0"/>
          <w:numId w:val="8"/>
        </w:numPr>
      </w:pPr>
      <w:r w:rsidRPr="002A0390">
        <w:rPr>
          <w:b/>
          <w:bCs/>
          <w:i/>
          <w:iCs/>
        </w:rPr>
        <w:t xml:space="preserve">Well development </w:t>
      </w:r>
      <w:r w:rsidRPr="002A0390">
        <w:t xml:space="preserve">refers to the cleaning of the borehole after construction and </w:t>
      </w:r>
      <w:r w:rsidRPr="002A0390">
        <w:rPr>
          <w:b/>
          <w:bCs/>
          <w:i/>
          <w:iCs/>
        </w:rPr>
        <w:t xml:space="preserve">test pumping </w:t>
      </w:r>
      <w:r w:rsidRPr="002A0390">
        <w:t xml:space="preserve">is the post-construction assessment of borehole and aquifer performance </w:t>
      </w:r>
      <w:proofErr w:type="gramStart"/>
      <w:r w:rsidRPr="002A0390">
        <w:t>The</w:t>
      </w:r>
      <w:proofErr w:type="gramEnd"/>
      <w:r w:rsidRPr="002A0390">
        <w:t xml:space="preserve"> time taken to undertake these activities affects the basic drilling costs. </w:t>
      </w:r>
    </w:p>
    <w:p w:rsidR="008D1A1D" w:rsidRPr="002A0390" w:rsidRDefault="00076B97" w:rsidP="00441F6E">
      <w:pPr>
        <w:numPr>
          <w:ilvl w:val="0"/>
          <w:numId w:val="7"/>
        </w:numPr>
        <w:ind w:left="284" w:hanging="284"/>
      </w:pPr>
      <w:r w:rsidRPr="002A0390">
        <w:rPr>
          <w:b/>
          <w:bCs/>
          <w:i/>
          <w:iCs/>
        </w:rPr>
        <w:lastRenderedPageBreak/>
        <w:t xml:space="preserve">Additional costs to the driller </w:t>
      </w:r>
      <w:r w:rsidR="002A0390" w:rsidRPr="002A0390">
        <w:t>include VAT, tax and</w:t>
      </w:r>
      <w:r w:rsidRPr="002A0390">
        <w:t xml:space="preserve"> overheads </w:t>
      </w:r>
    </w:p>
    <w:p w:rsidR="008D1A1D" w:rsidRPr="002A0390" w:rsidRDefault="00076B97" w:rsidP="00441F6E">
      <w:pPr>
        <w:numPr>
          <w:ilvl w:val="0"/>
          <w:numId w:val="7"/>
        </w:numPr>
        <w:ind w:left="284" w:hanging="284"/>
      </w:pPr>
      <w:r w:rsidRPr="002A0390">
        <w:rPr>
          <w:b/>
          <w:bCs/>
          <w:i/>
          <w:iCs/>
        </w:rPr>
        <w:t xml:space="preserve">Pump costs </w:t>
      </w:r>
      <w:r w:rsidRPr="002A0390">
        <w:t>vary considerably and are in some cases included in quoted borehole prices.</w:t>
      </w:r>
    </w:p>
    <w:p w:rsidR="008D1A1D" w:rsidRPr="002A0390" w:rsidRDefault="00076B97" w:rsidP="00441F6E">
      <w:pPr>
        <w:numPr>
          <w:ilvl w:val="0"/>
          <w:numId w:val="7"/>
        </w:numPr>
        <w:ind w:left="284" w:hanging="284"/>
      </w:pPr>
      <w:r w:rsidRPr="002A0390">
        <w:rPr>
          <w:b/>
          <w:bCs/>
          <w:i/>
          <w:iCs/>
        </w:rPr>
        <w:t xml:space="preserve">Siting costs </w:t>
      </w:r>
      <w:r w:rsidRPr="002A0390">
        <w:t>can be borne by the Government /programme, driller or consultant. Where consultants undertake this, the costs are clear and visible. In cases where supervision is undertaken by programme or Government staff, the costs are often concealed within programme expenditure. This may also be the case for costs of supervision and social infrastructure.</w:t>
      </w:r>
    </w:p>
    <w:p w:rsidR="008D1A1D" w:rsidRPr="002A0390" w:rsidRDefault="00076B97" w:rsidP="00441F6E">
      <w:pPr>
        <w:numPr>
          <w:ilvl w:val="0"/>
          <w:numId w:val="7"/>
        </w:numPr>
        <w:ind w:left="284" w:hanging="284"/>
      </w:pPr>
      <w:r w:rsidRPr="002A0390">
        <w:rPr>
          <w:b/>
          <w:bCs/>
          <w:i/>
          <w:iCs/>
        </w:rPr>
        <w:t xml:space="preserve">Supervision costs </w:t>
      </w:r>
      <w:r w:rsidRPr="002A0390">
        <w:t>are generally borne by the Government or programme, or consultants.</w:t>
      </w:r>
    </w:p>
    <w:p w:rsidR="008D1A1D" w:rsidRPr="002A0390" w:rsidRDefault="00076B97" w:rsidP="00441F6E">
      <w:pPr>
        <w:numPr>
          <w:ilvl w:val="0"/>
          <w:numId w:val="7"/>
        </w:numPr>
        <w:ind w:left="284" w:hanging="284"/>
      </w:pPr>
      <w:r w:rsidRPr="002A0390">
        <w:rPr>
          <w:b/>
          <w:bCs/>
          <w:i/>
          <w:iCs/>
        </w:rPr>
        <w:t>Costs of Social Infrastructure</w:t>
      </w:r>
      <w:r w:rsidRPr="002A0390">
        <w:t>, i</w:t>
      </w:r>
      <w:r w:rsidR="002A0390" w:rsidRPr="002A0390">
        <w:t>.</w:t>
      </w:r>
      <w:r w:rsidRPr="002A0390">
        <w:t>e</w:t>
      </w:r>
      <w:r w:rsidR="002A0390" w:rsidRPr="002A0390">
        <w:t>.</w:t>
      </w:r>
      <w:r w:rsidRPr="002A0390">
        <w:t xml:space="preserve"> mobilising and training communities and forming management groups. These costs are also sometimes hidden within programme expenditure.</w:t>
      </w:r>
    </w:p>
    <w:p w:rsidR="00223DC6" w:rsidRPr="002A0390" w:rsidRDefault="00076B97" w:rsidP="00441F6E">
      <w:pPr>
        <w:numPr>
          <w:ilvl w:val="0"/>
          <w:numId w:val="7"/>
        </w:numPr>
        <w:ind w:left="284" w:hanging="284"/>
      </w:pPr>
      <w:r w:rsidRPr="002A0390">
        <w:rPr>
          <w:b/>
          <w:bCs/>
          <w:i/>
          <w:iCs/>
        </w:rPr>
        <w:t xml:space="preserve">Construction quality </w:t>
      </w:r>
      <w:r w:rsidRPr="002A0390">
        <w:t>refers to the degree to which the borehole is straight; the quality of well</w:t>
      </w:r>
      <w:r w:rsidR="002A0390" w:rsidRPr="002A0390">
        <w:t xml:space="preserve"> </w:t>
      </w:r>
      <w:r w:rsidRPr="002A0390">
        <w:t>development and gravel packing; the casing/screen quality including its installation; the permeable backfill material and placement; the quality of the sanitary seal and headworks. From the user perspective, turbid later, low flow rates, seasonal functionality all represent compromises on quality of service.</w:t>
      </w:r>
    </w:p>
    <w:p w:rsidR="004F2E47" w:rsidRDefault="004F2E47" w:rsidP="002A0390">
      <w:pPr>
        <w:ind w:left="284" w:hanging="284"/>
        <w:jc w:val="left"/>
      </w:pPr>
    </w:p>
    <w:p w:rsidR="004F2E47" w:rsidRDefault="004F2E47" w:rsidP="00AA7B9F">
      <w:pPr>
        <w:pStyle w:val="Heading1"/>
      </w:pPr>
      <w:r>
        <w:t xml:space="preserve">Current status of </w:t>
      </w:r>
      <w:r w:rsidR="005140C4">
        <w:t xml:space="preserve">the diffusion of the </w:t>
      </w:r>
      <w:r>
        <w:t>technology in Namibia</w:t>
      </w:r>
    </w:p>
    <w:p w:rsidR="004F2E47" w:rsidRDefault="004F2E47" w:rsidP="004F2E47"/>
    <w:p w:rsidR="00636D70" w:rsidRDefault="00636D70" w:rsidP="00636D70">
      <w:pPr>
        <w:rPr>
          <w:lang w:val="en"/>
        </w:rPr>
      </w:pPr>
      <w:r>
        <w:rPr>
          <w:lang w:val="en"/>
        </w:rPr>
        <w:t>It was reported in 2013 that at</w:t>
      </w:r>
      <w:r w:rsidRPr="00636D70">
        <w:rPr>
          <w:lang w:val="en"/>
        </w:rPr>
        <w:t xml:space="preserve"> least four bore</w:t>
      </w:r>
      <w:r>
        <w:rPr>
          <w:lang w:val="en"/>
        </w:rPr>
        <w:t>holes out of the 44 drilled that</w:t>
      </w:r>
      <w:r w:rsidRPr="00636D70">
        <w:rPr>
          <w:lang w:val="en"/>
        </w:rPr>
        <w:t xml:space="preserve"> year for drought relief purposes in the Kunene Region have been fully installed, and have started supplying water to local communities and their livestock.</w:t>
      </w:r>
      <w:r>
        <w:rPr>
          <w:lang w:val="en"/>
        </w:rPr>
        <w:t xml:space="preserve"> </w:t>
      </w:r>
      <w:r w:rsidRPr="00636D70">
        <w:rPr>
          <w:lang w:val="en"/>
        </w:rPr>
        <w:t xml:space="preserve">The four villages where the boreholes were installed are </w:t>
      </w:r>
      <w:proofErr w:type="spellStart"/>
      <w:r w:rsidRPr="00636D70">
        <w:rPr>
          <w:lang w:val="en"/>
        </w:rPr>
        <w:t>Otjandawe</w:t>
      </w:r>
      <w:proofErr w:type="spellEnd"/>
      <w:r w:rsidRPr="00636D70">
        <w:rPr>
          <w:lang w:val="en"/>
        </w:rPr>
        <w:t xml:space="preserve"> in the </w:t>
      </w:r>
      <w:proofErr w:type="spellStart"/>
      <w:r w:rsidRPr="00636D70">
        <w:rPr>
          <w:lang w:val="en"/>
        </w:rPr>
        <w:t>Sesfontein</w:t>
      </w:r>
      <w:proofErr w:type="spellEnd"/>
      <w:r w:rsidRPr="00636D70">
        <w:rPr>
          <w:lang w:val="en"/>
        </w:rPr>
        <w:t xml:space="preserve"> area, the villages of </w:t>
      </w:r>
      <w:proofErr w:type="spellStart"/>
      <w:r w:rsidRPr="00636D70">
        <w:rPr>
          <w:lang w:val="en"/>
        </w:rPr>
        <w:t>Okahororua</w:t>
      </w:r>
      <w:proofErr w:type="spellEnd"/>
      <w:r w:rsidRPr="00636D70">
        <w:rPr>
          <w:lang w:val="en"/>
        </w:rPr>
        <w:t xml:space="preserve"> and </w:t>
      </w:r>
      <w:proofErr w:type="spellStart"/>
      <w:r w:rsidRPr="00636D70">
        <w:rPr>
          <w:lang w:val="en"/>
        </w:rPr>
        <w:t>Orutjandja-ruandao</w:t>
      </w:r>
      <w:proofErr w:type="spellEnd"/>
      <w:r w:rsidRPr="00636D70">
        <w:rPr>
          <w:lang w:val="en"/>
        </w:rPr>
        <w:t xml:space="preserve"> in the </w:t>
      </w:r>
      <w:proofErr w:type="spellStart"/>
      <w:r w:rsidRPr="00636D70">
        <w:rPr>
          <w:lang w:val="en"/>
        </w:rPr>
        <w:t>Epupa</w:t>
      </w:r>
      <w:proofErr w:type="spellEnd"/>
      <w:r w:rsidRPr="00636D70">
        <w:rPr>
          <w:lang w:val="en"/>
        </w:rPr>
        <w:t xml:space="preserve"> Constituency, and </w:t>
      </w:r>
      <w:proofErr w:type="spellStart"/>
      <w:r w:rsidRPr="00636D70">
        <w:rPr>
          <w:lang w:val="en"/>
        </w:rPr>
        <w:t>Ovimbandwangoma</w:t>
      </w:r>
      <w:proofErr w:type="spellEnd"/>
      <w:r w:rsidRPr="00636D70">
        <w:rPr>
          <w:lang w:val="en"/>
        </w:rPr>
        <w:t xml:space="preserve"> in the </w:t>
      </w:r>
      <w:proofErr w:type="spellStart"/>
      <w:r w:rsidRPr="00636D70">
        <w:rPr>
          <w:lang w:val="en"/>
        </w:rPr>
        <w:t>Sesfontein</w:t>
      </w:r>
      <w:proofErr w:type="spellEnd"/>
      <w:r w:rsidRPr="00636D70">
        <w:rPr>
          <w:lang w:val="en"/>
        </w:rPr>
        <w:t xml:space="preserve"> Constituency</w:t>
      </w:r>
      <w:r>
        <w:rPr>
          <w:lang w:val="en"/>
        </w:rPr>
        <w:t>.</w:t>
      </w:r>
    </w:p>
    <w:p w:rsidR="00636D70" w:rsidRDefault="00636D70" w:rsidP="00636D70">
      <w:pPr>
        <w:rPr>
          <w:lang w:val="en"/>
        </w:rPr>
      </w:pPr>
    </w:p>
    <w:p w:rsidR="00441F6E" w:rsidRDefault="00BF6F5E" w:rsidP="004F2E47">
      <w:r>
        <w:rPr>
          <w:lang w:val="en"/>
        </w:rPr>
        <w:t>This indicates that t</w:t>
      </w:r>
      <w:r w:rsidR="00636D70">
        <w:rPr>
          <w:lang w:val="en"/>
        </w:rPr>
        <w:t>he technology is at the deployment stage in Namibia but might require scaling up.</w:t>
      </w:r>
    </w:p>
    <w:p w:rsidR="004F2E47" w:rsidRPr="004F2E47" w:rsidRDefault="004F2E47" w:rsidP="004F2E47"/>
    <w:p w:rsidR="00BB2143" w:rsidRDefault="00BB2143" w:rsidP="00AA7B9F">
      <w:pPr>
        <w:pStyle w:val="Heading1"/>
      </w:pPr>
      <w:r w:rsidRPr="00BB2143">
        <w:t>Opportunities and barriers</w:t>
      </w:r>
    </w:p>
    <w:p w:rsidR="00BF6F5E" w:rsidRDefault="00BF6F5E" w:rsidP="00BF6F5E"/>
    <w:p w:rsidR="00BF6F5E" w:rsidRDefault="00BF6F5E" w:rsidP="00BF6F5E">
      <w:r w:rsidRPr="00BF6F5E">
        <w:t>Proper pre-drought management can greatly increase the efficiency of these interventions and prevent</w:t>
      </w:r>
      <w:r>
        <w:t xml:space="preserve"> </w:t>
      </w:r>
      <w:r w:rsidRPr="00BF6F5E">
        <w:t>costly and inefficient emergency activities. Broadly, these have been suggested to include groundwater</w:t>
      </w:r>
      <w:r>
        <w:t xml:space="preserve"> </w:t>
      </w:r>
      <w:r w:rsidRPr="00BF6F5E">
        <w:t>resource assessment, groundwater drought vulnerability analysis, and building drought resistance into</w:t>
      </w:r>
      <w:r>
        <w:t xml:space="preserve"> </w:t>
      </w:r>
      <w:r w:rsidRPr="00BF6F5E">
        <w:t>water supply programs. However, many of the critical functions that can improve their efficiency are not</w:t>
      </w:r>
      <w:r>
        <w:t xml:space="preserve"> </w:t>
      </w:r>
      <w:r w:rsidRPr="00BF6F5E">
        <w:t>valued by key stakeholders. For example, attracting donor and government support for development of</w:t>
      </w:r>
      <w:r>
        <w:t xml:space="preserve"> </w:t>
      </w:r>
      <w:r w:rsidRPr="00BF6F5E">
        <w:t>databases for mapping groundwater and water point access/status is generally difficult.</w:t>
      </w:r>
      <w:r>
        <w:t xml:space="preserve"> </w:t>
      </w:r>
    </w:p>
    <w:p w:rsidR="00BF6F5E" w:rsidRPr="00BF6F5E" w:rsidRDefault="00BF6F5E" w:rsidP="00BF6F5E"/>
    <w:p w:rsidR="00BF6F5E" w:rsidRDefault="00BF6F5E" w:rsidP="00BF6F5E">
      <w:r w:rsidRPr="00BF6F5E">
        <w:t>Barriers for ‘relief boreholes’ include reported difficulties stopping access following the drought. UN FAO</w:t>
      </w:r>
      <w:r>
        <w:t xml:space="preserve"> </w:t>
      </w:r>
      <w:r w:rsidRPr="00BF6F5E">
        <w:t>reports that informal settlements tend to spring up around relief boreholes and there are reports of threats</w:t>
      </w:r>
      <w:r>
        <w:t xml:space="preserve"> </w:t>
      </w:r>
      <w:r w:rsidRPr="00BF6F5E">
        <w:t>of violence when the time comes to cap the borehole.</w:t>
      </w:r>
    </w:p>
    <w:p w:rsidR="00BE7C11" w:rsidRDefault="00BE7C11" w:rsidP="00BF6F5E"/>
    <w:p w:rsidR="00BE7C11" w:rsidRDefault="00BE7C11" w:rsidP="00BE7C11">
      <w:pPr>
        <w:pStyle w:val="Heading1"/>
      </w:pPr>
      <w:r>
        <w:t>References</w:t>
      </w:r>
    </w:p>
    <w:p w:rsidR="00BE7C11" w:rsidRDefault="00BE7C11" w:rsidP="00BE7C11"/>
    <w:p w:rsidR="00BE7C11" w:rsidRPr="00BF6F5E" w:rsidRDefault="00BE7C11" w:rsidP="00BF6F5E">
      <w:r w:rsidRPr="00BE7C11">
        <w:t xml:space="preserve">Elliott, M., Armstrong, A., </w:t>
      </w:r>
      <w:proofErr w:type="spellStart"/>
      <w:r w:rsidRPr="00BE7C11">
        <w:t>Lobuglio</w:t>
      </w:r>
      <w:proofErr w:type="spellEnd"/>
      <w:r w:rsidRPr="00BE7C11">
        <w:t xml:space="preserve">, J. and Bartram J. (2011) Technologies for climate change adaptation – The water sector. </w:t>
      </w:r>
      <w:proofErr w:type="gramStart"/>
      <w:r w:rsidRPr="00BE7C11">
        <w:t>United Nations Environmental Programme (UNEP).</w:t>
      </w:r>
      <w:proofErr w:type="gramEnd"/>
      <w:r w:rsidRPr="00BE7C11">
        <w:t xml:space="preserve"> [Available from </w:t>
      </w:r>
      <w:hyperlink r:id="rId8" w:history="1">
        <w:r w:rsidRPr="00BE7C11">
          <w:rPr>
            <w:rStyle w:val="Hyperlink"/>
          </w:rPr>
          <w:t>http://www.tech-action.org/Publications/TNA-Guidebooks</w:t>
        </w:r>
      </w:hyperlink>
      <w:r w:rsidRPr="00BE7C11">
        <w:t xml:space="preserve">] </w:t>
      </w:r>
      <w:bookmarkStart w:id="0" w:name="_GoBack"/>
      <w:bookmarkEnd w:id="0"/>
    </w:p>
    <w:sectPr w:rsidR="00BE7C11" w:rsidRPr="00BF6F5E" w:rsidSect="0074654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20B" w:rsidRDefault="0035020B" w:rsidP="002A0390">
      <w:pPr>
        <w:spacing w:line="240" w:lineRule="auto"/>
      </w:pPr>
      <w:r>
        <w:separator/>
      </w:r>
    </w:p>
  </w:endnote>
  <w:endnote w:type="continuationSeparator" w:id="0">
    <w:p w:rsidR="0035020B" w:rsidRDefault="0035020B" w:rsidP="002A0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17099"/>
      <w:docPartObj>
        <w:docPartGallery w:val="Page Numbers (Bottom of Page)"/>
        <w:docPartUnique/>
      </w:docPartObj>
    </w:sdtPr>
    <w:sdtEndPr>
      <w:rPr>
        <w:noProof/>
      </w:rPr>
    </w:sdtEndPr>
    <w:sdtContent>
      <w:p w:rsidR="002A0390" w:rsidRDefault="002A0390">
        <w:pPr>
          <w:pStyle w:val="Footer"/>
          <w:jc w:val="center"/>
        </w:pPr>
        <w:r>
          <w:fldChar w:fldCharType="begin"/>
        </w:r>
        <w:r>
          <w:instrText xml:space="preserve"> PAGE   \* MERGEFORMAT </w:instrText>
        </w:r>
        <w:r>
          <w:fldChar w:fldCharType="separate"/>
        </w:r>
        <w:r w:rsidR="00BE7C11">
          <w:rPr>
            <w:noProof/>
          </w:rPr>
          <w:t>1</w:t>
        </w:r>
        <w:r>
          <w:rPr>
            <w:noProof/>
          </w:rPr>
          <w:fldChar w:fldCharType="end"/>
        </w:r>
      </w:p>
    </w:sdtContent>
  </w:sdt>
  <w:p w:rsidR="002A0390" w:rsidRDefault="002A0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20B" w:rsidRDefault="0035020B" w:rsidP="002A0390">
      <w:pPr>
        <w:spacing w:line="240" w:lineRule="auto"/>
      </w:pPr>
      <w:r>
        <w:separator/>
      </w:r>
    </w:p>
  </w:footnote>
  <w:footnote w:type="continuationSeparator" w:id="0">
    <w:p w:rsidR="0035020B" w:rsidRDefault="0035020B" w:rsidP="002A03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1C6"/>
    <w:multiLevelType w:val="hybridMultilevel"/>
    <w:tmpl w:val="697C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30733"/>
    <w:multiLevelType w:val="hybridMultilevel"/>
    <w:tmpl w:val="41CA5284"/>
    <w:lvl w:ilvl="0" w:tplc="0A98D364">
      <w:start w:val="1"/>
      <w:numFmt w:val="decimal"/>
      <w:lvlText w:val="2.4.%1"/>
      <w:lvlJc w:val="center"/>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7270C"/>
    <w:multiLevelType w:val="hybridMultilevel"/>
    <w:tmpl w:val="70BC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C33682"/>
    <w:multiLevelType w:val="hybridMultilevel"/>
    <w:tmpl w:val="A1EC5ABE"/>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D50279"/>
    <w:multiLevelType w:val="multilevel"/>
    <w:tmpl w:val="743206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4"/>
        <w:szCs w:val="24"/>
      </w:rPr>
    </w:lvl>
    <w:lvl w:ilvl="2">
      <w:start w:val="1"/>
      <w:numFmt w:val="decimal"/>
      <w:lvlText w:val="%1.%2.%3"/>
      <w:lvlJc w:val="left"/>
      <w:pPr>
        <w:ind w:left="720" w:hanging="720"/>
      </w:pPr>
      <w:rPr>
        <w:rFonts w:hint="default"/>
        <w:b/>
        <w:i/>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8FF008E"/>
    <w:multiLevelType w:val="hybridMultilevel"/>
    <w:tmpl w:val="8A30CB5A"/>
    <w:lvl w:ilvl="0" w:tplc="BE88F65C">
      <w:start w:val="1"/>
      <w:numFmt w:val="decimal"/>
      <w:lvlText w:val="3.2.%1."/>
      <w:lvlJc w:val="center"/>
      <w:pPr>
        <w:ind w:left="1004" w:hanging="360"/>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2E0A6D06"/>
    <w:multiLevelType w:val="hybridMultilevel"/>
    <w:tmpl w:val="8BF0E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1"/>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F3"/>
    <w:rsid w:val="000401D7"/>
    <w:rsid w:val="00076B97"/>
    <w:rsid w:val="00100BB5"/>
    <w:rsid w:val="00163434"/>
    <w:rsid w:val="00184980"/>
    <w:rsid w:val="001A4486"/>
    <w:rsid w:val="00223DC6"/>
    <w:rsid w:val="00230906"/>
    <w:rsid w:val="00250C17"/>
    <w:rsid w:val="002511A5"/>
    <w:rsid w:val="002A0390"/>
    <w:rsid w:val="002A7C54"/>
    <w:rsid w:val="00314104"/>
    <w:rsid w:val="0035020B"/>
    <w:rsid w:val="00441F6E"/>
    <w:rsid w:val="004F2E47"/>
    <w:rsid w:val="00505ED8"/>
    <w:rsid w:val="005140C4"/>
    <w:rsid w:val="00636D70"/>
    <w:rsid w:val="006F3FF3"/>
    <w:rsid w:val="0074654C"/>
    <w:rsid w:val="007475B0"/>
    <w:rsid w:val="008764D9"/>
    <w:rsid w:val="008F65AC"/>
    <w:rsid w:val="00910138"/>
    <w:rsid w:val="0092331A"/>
    <w:rsid w:val="009A348C"/>
    <w:rsid w:val="009E0A50"/>
    <w:rsid w:val="009E363F"/>
    <w:rsid w:val="00AA7B9F"/>
    <w:rsid w:val="00B326FF"/>
    <w:rsid w:val="00BB2143"/>
    <w:rsid w:val="00BE7C11"/>
    <w:rsid w:val="00BF6F5E"/>
    <w:rsid w:val="00C67E70"/>
    <w:rsid w:val="00C80F95"/>
    <w:rsid w:val="00C90E74"/>
    <w:rsid w:val="00CB5261"/>
    <w:rsid w:val="00D739F9"/>
    <w:rsid w:val="00DC1E24"/>
    <w:rsid w:val="00F264E7"/>
    <w:rsid w:val="00F368A8"/>
    <w:rsid w:val="00F8221A"/>
    <w:rsid w:val="00F9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BE7C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17"/>
    <w:pPr>
      <w:spacing w:after="0"/>
      <w:jc w:val="both"/>
    </w:pPr>
    <w:rPr>
      <w:rFonts w:asciiTheme="majorHAnsi" w:hAnsiTheme="majorHAnsi" w:cs="Times New Roman"/>
      <w:lang w:eastAsia="en-GB"/>
    </w:rPr>
  </w:style>
  <w:style w:type="paragraph" w:styleId="Heading1">
    <w:name w:val="heading 1"/>
    <w:basedOn w:val="Normal"/>
    <w:next w:val="Normal"/>
    <w:link w:val="Heading1Char"/>
    <w:autoRedefine/>
    <w:uiPriority w:val="9"/>
    <w:qFormat/>
    <w:rsid w:val="009E0A50"/>
    <w:pPr>
      <w:keepNext/>
      <w:keepLines/>
      <w:numPr>
        <w:numId w:val="2"/>
      </w:numPr>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9E0A50"/>
    <w:pPr>
      <w:keepNext/>
      <w:keepLines/>
      <w:numPr>
        <w:ilvl w:val="1"/>
        <w:numId w:val="2"/>
      </w:numPr>
      <w:outlineLvl w:val="1"/>
    </w:pPr>
    <w:rPr>
      <w:rFonts w:eastAsiaTheme="majorEastAsia" w:cstheme="majorBidi"/>
      <w:b/>
      <w:bCs/>
    </w:rPr>
  </w:style>
  <w:style w:type="paragraph" w:styleId="Heading3">
    <w:name w:val="heading 3"/>
    <w:basedOn w:val="Normal"/>
    <w:next w:val="Normal"/>
    <w:link w:val="Heading3Char"/>
    <w:uiPriority w:val="9"/>
    <w:unhideWhenUsed/>
    <w:rsid w:val="000401D7"/>
    <w:pPr>
      <w:spacing w:line="240" w:lineRule="auto"/>
      <w:ind w:left="709" w:hanging="425"/>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0A50"/>
    <w:rPr>
      <w:rFonts w:asciiTheme="majorHAnsi" w:eastAsiaTheme="majorEastAsia" w:hAnsiTheme="majorHAnsi" w:cstheme="majorBidi"/>
      <w:b/>
      <w:bCs/>
      <w:lang w:eastAsia="en-GB"/>
    </w:rPr>
  </w:style>
  <w:style w:type="character" w:customStyle="1" w:styleId="Heading1Char">
    <w:name w:val="Heading 1 Char"/>
    <w:basedOn w:val="DefaultParagraphFont"/>
    <w:link w:val="Heading1"/>
    <w:uiPriority w:val="9"/>
    <w:rsid w:val="009E0A50"/>
    <w:rPr>
      <w:rFonts w:asciiTheme="majorHAnsi" w:eastAsiaTheme="majorEastAsia" w:hAnsiTheme="majorHAnsi" w:cstheme="majorBidi"/>
      <w:b/>
      <w:bCs/>
      <w:sz w:val="28"/>
      <w:szCs w:val="28"/>
      <w:lang w:eastAsia="en-GB"/>
    </w:rPr>
  </w:style>
  <w:style w:type="character" w:customStyle="1" w:styleId="Heading3Char">
    <w:name w:val="Heading 3 Char"/>
    <w:basedOn w:val="DefaultParagraphFont"/>
    <w:link w:val="Heading3"/>
    <w:uiPriority w:val="9"/>
    <w:rsid w:val="000401D7"/>
    <w:rPr>
      <w:rFonts w:asciiTheme="majorHAnsi" w:hAnsiTheme="majorHAnsi" w:cs="Times New Roman"/>
      <w:b/>
      <w:i/>
      <w:lang w:eastAsia="en-GB"/>
    </w:rPr>
  </w:style>
  <w:style w:type="paragraph" w:styleId="ListParagraph">
    <w:name w:val="List Paragraph"/>
    <w:basedOn w:val="Normal"/>
    <w:uiPriority w:val="34"/>
    <w:qFormat/>
    <w:rsid w:val="00BB2143"/>
    <w:pPr>
      <w:ind w:left="720"/>
      <w:contextualSpacing/>
    </w:pPr>
  </w:style>
  <w:style w:type="table" w:styleId="TableGrid">
    <w:name w:val="Table Grid"/>
    <w:basedOn w:val="TableNormal"/>
    <w:uiPriority w:val="59"/>
    <w:rsid w:val="007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390"/>
    <w:pPr>
      <w:tabs>
        <w:tab w:val="center" w:pos="4513"/>
        <w:tab w:val="right" w:pos="9026"/>
      </w:tabs>
      <w:spacing w:line="240" w:lineRule="auto"/>
    </w:pPr>
  </w:style>
  <w:style w:type="character" w:customStyle="1" w:styleId="HeaderChar">
    <w:name w:val="Header Char"/>
    <w:basedOn w:val="DefaultParagraphFont"/>
    <w:link w:val="Header"/>
    <w:uiPriority w:val="99"/>
    <w:rsid w:val="002A0390"/>
    <w:rPr>
      <w:rFonts w:asciiTheme="majorHAnsi" w:hAnsiTheme="majorHAnsi" w:cs="Times New Roman"/>
      <w:lang w:eastAsia="en-GB"/>
    </w:rPr>
  </w:style>
  <w:style w:type="paragraph" w:styleId="Footer">
    <w:name w:val="footer"/>
    <w:basedOn w:val="Normal"/>
    <w:link w:val="FooterChar"/>
    <w:uiPriority w:val="99"/>
    <w:unhideWhenUsed/>
    <w:rsid w:val="002A0390"/>
    <w:pPr>
      <w:tabs>
        <w:tab w:val="center" w:pos="4513"/>
        <w:tab w:val="right" w:pos="9026"/>
      </w:tabs>
      <w:spacing w:line="240" w:lineRule="auto"/>
    </w:pPr>
  </w:style>
  <w:style w:type="character" w:customStyle="1" w:styleId="FooterChar">
    <w:name w:val="Footer Char"/>
    <w:basedOn w:val="DefaultParagraphFont"/>
    <w:link w:val="Footer"/>
    <w:uiPriority w:val="99"/>
    <w:rsid w:val="002A0390"/>
    <w:rPr>
      <w:rFonts w:asciiTheme="majorHAnsi" w:hAnsiTheme="majorHAnsi" w:cs="Times New Roman"/>
      <w:lang w:eastAsia="en-GB"/>
    </w:rPr>
  </w:style>
  <w:style w:type="paragraph" w:styleId="NoSpacing">
    <w:name w:val="No Spacing"/>
    <w:uiPriority w:val="1"/>
    <w:qFormat/>
    <w:rsid w:val="00AA7B9F"/>
    <w:pPr>
      <w:spacing w:after="0" w:line="240" w:lineRule="auto"/>
      <w:jc w:val="both"/>
    </w:pPr>
    <w:rPr>
      <w:rFonts w:asciiTheme="majorHAnsi" w:hAnsiTheme="majorHAnsi" w:cs="Times New Roman"/>
      <w:lang w:eastAsia="en-GB"/>
    </w:rPr>
  </w:style>
  <w:style w:type="character" w:styleId="Hyperlink">
    <w:name w:val="Hyperlink"/>
    <w:basedOn w:val="DefaultParagraphFont"/>
    <w:uiPriority w:val="99"/>
    <w:unhideWhenUsed/>
    <w:rsid w:val="00BE7C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3546">
      <w:bodyDiv w:val="1"/>
      <w:marLeft w:val="0"/>
      <w:marRight w:val="0"/>
      <w:marTop w:val="0"/>
      <w:marBottom w:val="0"/>
      <w:divBdr>
        <w:top w:val="none" w:sz="0" w:space="0" w:color="auto"/>
        <w:left w:val="none" w:sz="0" w:space="0" w:color="auto"/>
        <w:bottom w:val="none" w:sz="0" w:space="0" w:color="auto"/>
        <w:right w:val="none" w:sz="0" w:space="0" w:color="auto"/>
      </w:divBdr>
      <w:divsChild>
        <w:div w:id="1323461439">
          <w:marLeft w:val="0"/>
          <w:marRight w:val="0"/>
          <w:marTop w:val="0"/>
          <w:marBottom w:val="0"/>
          <w:divBdr>
            <w:top w:val="none" w:sz="0" w:space="0" w:color="auto"/>
            <w:left w:val="none" w:sz="0" w:space="0" w:color="auto"/>
            <w:bottom w:val="none" w:sz="0" w:space="0" w:color="auto"/>
            <w:right w:val="none" w:sz="0" w:space="0" w:color="auto"/>
          </w:divBdr>
          <w:divsChild>
            <w:div w:id="1893883682">
              <w:marLeft w:val="0"/>
              <w:marRight w:val="0"/>
              <w:marTop w:val="0"/>
              <w:marBottom w:val="0"/>
              <w:divBdr>
                <w:top w:val="none" w:sz="0" w:space="0" w:color="auto"/>
                <w:left w:val="none" w:sz="0" w:space="0" w:color="auto"/>
                <w:bottom w:val="none" w:sz="0" w:space="0" w:color="auto"/>
                <w:right w:val="none" w:sz="0" w:space="0" w:color="auto"/>
              </w:divBdr>
              <w:divsChild>
                <w:div w:id="1330519061">
                  <w:marLeft w:val="0"/>
                  <w:marRight w:val="0"/>
                  <w:marTop w:val="0"/>
                  <w:marBottom w:val="0"/>
                  <w:divBdr>
                    <w:top w:val="none" w:sz="0" w:space="0" w:color="auto"/>
                    <w:left w:val="none" w:sz="0" w:space="0" w:color="auto"/>
                    <w:bottom w:val="none" w:sz="0" w:space="0" w:color="auto"/>
                    <w:right w:val="none" w:sz="0" w:space="0" w:color="auto"/>
                  </w:divBdr>
                  <w:divsChild>
                    <w:div w:id="571047570">
                      <w:marLeft w:val="0"/>
                      <w:marRight w:val="0"/>
                      <w:marTop w:val="0"/>
                      <w:marBottom w:val="0"/>
                      <w:divBdr>
                        <w:top w:val="none" w:sz="0" w:space="0" w:color="auto"/>
                        <w:left w:val="none" w:sz="0" w:space="0" w:color="auto"/>
                        <w:bottom w:val="none" w:sz="0" w:space="0" w:color="auto"/>
                        <w:right w:val="none" w:sz="0" w:space="0" w:color="auto"/>
                      </w:divBdr>
                      <w:divsChild>
                        <w:div w:id="1614552834">
                          <w:marLeft w:val="0"/>
                          <w:marRight w:val="0"/>
                          <w:marTop w:val="0"/>
                          <w:marBottom w:val="0"/>
                          <w:divBdr>
                            <w:top w:val="none" w:sz="0" w:space="0" w:color="auto"/>
                            <w:left w:val="none" w:sz="0" w:space="0" w:color="auto"/>
                            <w:bottom w:val="none" w:sz="0" w:space="0" w:color="auto"/>
                            <w:right w:val="none" w:sz="0" w:space="0" w:color="auto"/>
                          </w:divBdr>
                          <w:divsChild>
                            <w:div w:id="149712816">
                              <w:marLeft w:val="0"/>
                              <w:marRight w:val="0"/>
                              <w:marTop w:val="0"/>
                              <w:marBottom w:val="0"/>
                              <w:divBdr>
                                <w:top w:val="none" w:sz="0" w:space="0" w:color="auto"/>
                                <w:left w:val="none" w:sz="0" w:space="0" w:color="auto"/>
                                <w:bottom w:val="none" w:sz="0" w:space="0" w:color="auto"/>
                                <w:right w:val="none" w:sz="0" w:space="0" w:color="auto"/>
                              </w:divBdr>
                              <w:divsChild>
                                <w:div w:id="1121993062">
                                  <w:marLeft w:val="0"/>
                                  <w:marRight w:val="0"/>
                                  <w:marTop w:val="0"/>
                                  <w:marBottom w:val="0"/>
                                  <w:divBdr>
                                    <w:top w:val="none" w:sz="0" w:space="0" w:color="auto"/>
                                    <w:left w:val="none" w:sz="0" w:space="0" w:color="auto"/>
                                    <w:bottom w:val="none" w:sz="0" w:space="0" w:color="auto"/>
                                    <w:right w:val="none" w:sz="0" w:space="0" w:color="auto"/>
                                  </w:divBdr>
                                  <w:divsChild>
                                    <w:div w:id="3048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action.org/Publications/TNA-Guidebook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TNdarana</dc:creator>
  <cp:lastModifiedBy>TNdarana</cp:lastModifiedBy>
  <cp:revision>4</cp:revision>
  <dcterms:created xsi:type="dcterms:W3CDTF">2016-01-15T08:48:00Z</dcterms:created>
  <dcterms:modified xsi:type="dcterms:W3CDTF">2016-02-02T14:13:00Z</dcterms:modified>
</cp:coreProperties>
</file>